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6477.xml.htm"/>
      <w:bookmarkStart w:id="1" w:name="kswkform4_17884764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Galloway Elizabeth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CHRO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29"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561"/>
        <w:gridCol w:w="276"/>
        <w:gridCol w:w="906"/>
        <w:gridCol w:w="801"/>
        <w:gridCol w:w="891"/>
        <w:gridCol w:w="636"/>
        <w:gridCol w:w="801"/>
        <w:gridCol w:w="936"/>
        <w:gridCol w:w="831"/>
        <w:gridCol w:w="846"/>
      </w:tblGrid>
      <w:tr>
        <w:trPr>
          <w:tblHeader w:val="true"/>
        </w:trPr>
        <w:tc>
          <w:tcPr>
            <w:tcW w:w="117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6.93</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110.02</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3,067.94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Program Units (each of which is the economic equivalent of one share of The Brink's Company ("BCO") common stock) credited to the Reporting Person's stock incentive account under the terms of the Key Employees' Deferred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Program, Program Units were credited to the Reporting Person's account as a result of a dividend payment with respect to BCO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Program Units credited to the Reporting Person's account on the transaction date is based upon a share price of $110.02, which was the closing price of BCO common stock on September 1, 2026,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8182"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738</Words>
  <Characters>3945</Characters>
  <CharactersWithSpaces>4609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