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283"/>
        <w:jc w:val="center"/>
        <w:rPr>
          <w:rFonts w:ascii="Times New Roman;serif" w:hAnsi="Times New Roman;serif"/>
          <w:b/>
          <w:color w:val="000000"/>
          <w:sz w:val="22"/>
        </w:rPr>
      </w:pPr>
      <w:r>
        <w:rPr>
          <w:rFonts w:ascii="Times New Roman;serif" w:hAnsi="Times New Roman;serif"/>
          <w:b/>
          <w:color w:val="000000"/>
          <w:sz w:val="22"/>
        </w:rPr>
        <w:t>UNITED STATES</w:t>
      </w:r>
    </w:p>
    <w:p>
      <w:pPr>
        <w:pStyle w:val="TextBody"/>
        <w:bidi w:val="0"/>
        <w:spacing w:lineRule="auto" w:line="288" w:before="60" w:after="283"/>
        <w:jc w:val="center"/>
        <w:rPr>
          <w:rFonts w:ascii="Times New Roman;serif" w:hAnsi="Times New Roman;serif"/>
          <w:b/>
          <w:color w:val="000000"/>
          <w:sz w:val="22"/>
        </w:rPr>
      </w:pPr>
      <w:r>
        <w:rPr>
          <w:rFonts w:ascii="Times New Roman;serif" w:hAnsi="Times New Roman;serif"/>
          <w:b/>
          <w:color w:val="000000"/>
          <w:sz w:val="22"/>
        </w:rPr>
        <w:t>SECURITIES AND EXCHANGE COMMISSION</w:t>
      </w:r>
    </w:p>
    <w:p>
      <w:pPr>
        <w:pStyle w:val="TextBody"/>
        <w:bidi w:val="0"/>
        <w:spacing w:lineRule="auto" w:line="288" w:before="60" w:after="283"/>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60" w:after="283"/>
        <w:jc w:val="center"/>
        <w:rPr>
          <w:rFonts w:ascii="Times New Roman;serif" w:hAnsi="Times New Roman;serif"/>
          <w:b/>
          <w:color w:val="000000"/>
          <w:sz w:val="22"/>
        </w:rPr>
      </w:pPr>
      <w:r>
        <w:rPr>
          <w:rFonts w:ascii="Times New Roman;serif" w:hAnsi="Times New Roman;serif"/>
          <w:b/>
          <w:color w:val="000000"/>
          <w:sz w:val="22"/>
        </w:rPr>
        <w:t xml:space="preserve">FORM 10-K </w:t>
      </w:r>
    </w:p>
    <w:p>
      <w:pPr>
        <w:pStyle w:val="TextBody"/>
        <w:bidi w:val="0"/>
        <w:spacing w:lineRule="auto" w:line="288" w:before="0" w:after="0"/>
        <w:ind w:left="0" w:right="0" w:firstLine="360"/>
        <w:jc w:val="left"/>
        <w:rPr>
          <w:rFonts w:ascii="Times New Roman;serif" w:hAnsi="Times New Roman;serif"/>
          <w:b/>
          <w:color w:val="000000"/>
          <w:sz w:val="16"/>
        </w:rPr>
      </w:pPr>
      <w:r>
        <w:rPr>
          <w:rFonts w:ascii="Times New Roman;serif" w:hAnsi="Times New Roman;serif"/>
          <w:b/>
          <w:color w:val="000000"/>
          <w:sz w:val="16"/>
        </w:rPr>
        <w:t>(Mark One)</w:t>
      </w:r>
    </w:p>
    <w:tbl>
      <w:tblPr>
        <w:tblW w:w="975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57"/>
        <w:gridCol w:w="2657"/>
        <w:gridCol w:w="377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7" w:type="dxa"/>
            <w:tcBorders/>
            <w:vAlign w:val="center"/>
          </w:tcPr>
          <w:p>
            <w:pPr>
              <w:pStyle w:val="TableContents"/>
              <w:bidi w:val="0"/>
              <w:spacing w:before="0" w:after="283"/>
              <w:jc w:val="left"/>
              <w:rPr>
                <w:sz w:val="4"/>
                <w:szCs w:val="4"/>
              </w:rPr>
            </w:pPr>
            <w:r>
              <w:rPr>
                <w:sz w:val="4"/>
                <w:szCs w:val="4"/>
              </w:rPr>
            </w:r>
          </w:p>
        </w:tc>
        <w:tc>
          <w:tcPr>
            <w:tcW w:w="2657" w:type="dxa"/>
            <w:tcBorders/>
            <w:vAlign w:val="center"/>
          </w:tcPr>
          <w:p>
            <w:pPr>
              <w:pStyle w:val="TableContents"/>
              <w:bidi w:val="0"/>
              <w:spacing w:before="0" w:after="283"/>
              <w:jc w:val="left"/>
              <w:rPr>
                <w:sz w:val="4"/>
                <w:szCs w:val="4"/>
              </w:rPr>
            </w:pPr>
            <w:r>
              <w:rPr>
                <w:sz w:val="4"/>
                <w:szCs w:val="4"/>
              </w:rPr>
            </w:r>
          </w:p>
        </w:tc>
        <w:tc>
          <w:tcPr>
            <w:tcW w:w="377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ANNUAL REPORT PURSUANT TO SECTION 13 OR 15 (d) OF THE SECURITIES EXCHANGE ACT OF 1934</w:t>
            </w:r>
          </w:p>
        </w:tc>
      </w:tr>
    </w:tbl>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For the fiscal year ended December 31, 2025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OR</w:t>
      </w:r>
    </w:p>
    <w:tbl>
      <w:tblPr>
        <w:tblW w:w="1008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For the transition period from ____________ to ____________</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Commission file number 001-09148 </w:t>
      </w:r>
    </w:p>
    <w:p>
      <w:pPr>
        <w:pStyle w:val="TextBody"/>
        <w:bidi w:val="0"/>
        <w:spacing w:lineRule="auto" w:line="288" w:before="60" w:after="283"/>
        <w:jc w:val="center"/>
        <w:rPr>
          <w:rFonts w:ascii="Times New Roman;serif" w:hAnsi="Times New Roman;serif"/>
          <w:b/>
          <w:color w:val="000000"/>
          <w:sz w:val="22"/>
        </w:rPr>
      </w:pPr>
      <w:r>
        <w:rPr>
          <w:rFonts w:ascii="Times New Roman;serif" w:hAnsi="Times New Roman;serif"/>
          <w:b/>
          <w:color w:val="000000"/>
          <w:sz w:val="22"/>
        </w:rPr>
        <w:t>THE BRINK’S COMPANY</w:t>
      </w:r>
    </w:p>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tbl>
      <w:tblPr>
        <w:tblW w:w="4836" w:type="dxa"/>
        <w:jc w:val="left"/>
        <w:tblInd w:w="0" w:type="dxa"/>
        <w:tblLayout w:type="fixed"/>
        <w:tblCellMar>
          <w:top w:w="28" w:type="dxa"/>
          <w:left w:w="28" w:type="dxa"/>
          <w:bottom w:w="28" w:type="dxa"/>
          <w:right w:w="28" w:type="dxa"/>
        </w:tblCellMar>
      </w:tblPr>
      <w:tblGrid>
        <w:gridCol w:w="124"/>
        <w:gridCol w:w="109"/>
        <w:gridCol w:w="109"/>
        <w:gridCol w:w="782"/>
        <w:gridCol w:w="782"/>
        <w:gridCol w:w="791"/>
        <w:gridCol w:w="109"/>
        <w:gridCol w:w="109"/>
        <w:gridCol w:w="109"/>
        <w:gridCol w:w="479"/>
        <w:gridCol w:w="479"/>
        <w:gridCol w:w="48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Virginia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54-1317776</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Identification No.)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jc w:val="center"/>
        <w:rPr/>
      </w:pPr>
      <w:r>
        <w:rPr/>
      </w:r>
    </w:p>
    <w:p>
      <w:pPr>
        <w:pStyle w:val="TextBody"/>
        <w:bidi w:val="0"/>
        <w:spacing w:lineRule="auto" w:line="216" w:before="0" w:after="0"/>
        <w:jc w:val="center"/>
        <w:rPr/>
      </w:pPr>
      <w:r>
        <w:rPr>
          <w:rFonts w:ascii="Times New Roman;serif" w:hAnsi="Times New Roman;serif"/>
          <w:b/>
          <w:color w:val="000000"/>
          <w:sz w:val="16"/>
          <w:u w:val="single"/>
        </w:rPr>
        <w:t>P.O. Box 18100</w:t>
      </w:r>
      <w:r>
        <w:rPr>
          <w:rFonts w:ascii="Times New Roman;serif" w:hAnsi="Times New Roman;serif"/>
          <w:b/>
          <w:color w:val="000000"/>
          <w:sz w:val="16"/>
        </w:rPr>
        <w:t xml:space="preserve">, </w:t>
      </w:r>
      <w:r>
        <w:rPr>
          <w:rFonts w:ascii="Times New Roman;serif" w:hAnsi="Times New Roman;serif"/>
          <w:b/>
          <w:color w:val="000000"/>
          <w:sz w:val="16"/>
          <w:u w:val="single"/>
        </w:rPr>
        <w:t>1801 Bayberry Court</w:t>
      </w:r>
      <w:r>
        <w:rPr>
          <w:rFonts w:ascii="Times New Roman;serif" w:hAnsi="Times New Roman;serif"/>
          <w:b/>
          <w:color w:val="000000"/>
          <w:sz w:val="16"/>
        </w:rPr>
        <w:t xml:space="preserve">, </w:t>
      </w:r>
      <w:r>
        <w:rPr>
          <w:rFonts w:ascii="Times New Roman;serif" w:hAnsi="Times New Roman;serif"/>
          <w:b/>
          <w:color w:val="000000"/>
          <w:sz w:val="16"/>
          <w:u w:val="single"/>
        </w:rPr>
        <w:t>Richmond</w:t>
      </w:r>
      <w:r>
        <w:rPr>
          <w:rFonts w:ascii="Times New Roman;serif" w:hAnsi="Times New Roman;serif"/>
          <w:b/>
          <w:color w:val="000000"/>
          <w:sz w:val="16"/>
        </w:rPr>
        <w:t xml:space="preserve">, </w:t>
      </w:r>
      <w:r>
        <w:rPr>
          <w:rFonts w:ascii="Times New Roman;serif" w:hAnsi="Times New Roman;serif"/>
          <w:b/>
          <w:color w:val="000000"/>
          <w:sz w:val="16"/>
          <w:u w:val="single"/>
        </w:rPr>
        <w:t>Virginia</w:t>
      </w:r>
      <w:r>
        <w:rPr>
          <w:color w:val="000000"/>
        </w:rPr>
        <w:t xml:space="preserve"> </w:t>
      </w:r>
      <w:r>
        <w:rPr>
          <w:rFonts w:ascii="Times New Roman;serif" w:hAnsi="Times New Roman;serif"/>
          <w:b/>
          <w:color w:val="000000"/>
          <w:sz w:val="16"/>
          <w:u w:val="single"/>
        </w:rPr>
        <w:t>23226-8100</w:t>
      </w:r>
      <w:r>
        <w:rPr>
          <w:color w:val="000000"/>
        </w:rPr>
        <w:t xml:space="preserve"> </w:t>
      </w:r>
    </w:p>
    <w:p>
      <w:pPr>
        <w:pStyle w:val="TextBody"/>
        <w:bidi w:val="0"/>
        <w:spacing w:before="0" w:after="0"/>
        <w:jc w:val="center"/>
        <w:rPr/>
      </w:pPr>
      <w:r>
        <w:rPr/>
      </w:r>
    </w:p>
    <w:p>
      <w:pPr>
        <w:pStyle w:val="TextBody"/>
        <w:bidi w:val="0"/>
        <w:spacing w:lineRule="auto" w:line="216"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before="0" w:after="0"/>
        <w:jc w:val="center"/>
        <w:rPr/>
      </w:pPr>
      <w:r>
        <w:rPr/>
      </w:r>
    </w:p>
    <w:p>
      <w:pPr>
        <w:pStyle w:val="TextBody"/>
        <w:bidi w:val="0"/>
        <w:spacing w:lineRule="auto" w:line="216" w:before="0" w:after="0"/>
        <w:jc w:val="center"/>
        <w:rPr>
          <w:rFonts w:ascii="Times New Roman;serif" w:hAnsi="Times New Roman;serif"/>
          <w:b/>
          <w:color w:val="000000"/>
          <w:sz w:val="16"/>
          <w:u w:val="single"/>
        </w:rPr>
      </w:pPr>
      <w:r>
        <w:rPr>
          <w:rFonts w:ascii="Times New Roman;serif" w:hAnsi="Times New Roman;serif"/>
          <w:b/>
          <w:color w:val="000000"/>
          <w:sz w:val="16"/>
          <w:u w:val="single"/>
        </w:rPr>
        <w:t xml:space="preserve">(804) 289-9600 </w:t>
      </w:r>
    </w:p>
    <w:p>
      <w:pPr>
        <w:pStyle w:val="TextBody"/>
        <w:bidi w:val="0"/>
        <w:spacing w:before="0" w:after="0"/>
        <w:jc w:val="center"/>
        <w:rPr/>
      </w:pPr>
      <w:r>
        <w:rPr/>
      </w:r>
    </w:p>
    <w:p>
      <w:pPr>
        <w:pStyle w:val="TextBody"/>
        <w:bidi w:val="0"/>
        <w:spacing w:lineRule="auto" w:line="216"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tbl>
      <w:tblPr>
        <w:tblW w:w="8596" w:type="dxa"/>
        <w:jc w:val="center"/>
        <w:tblInd w:w="0" w:type="dxa"/>
        <w:tblLayout w:type="fixed"/>
        <w:tblCellMar>
          <w:top w:w="28" w:type="dxa"/>
          <w:left w:w="28" w:type="dxa"/>
          <w:bottom w:w="28" w:type="dxa"/>
          <w:right w:w="28" w:type="dxa"/>
        </w:tblCellMar>
      </w:tblPr>
      <w:tblGrid>
        <w:gridCol w:w="1148"/>
        <w:gridCol w:w="1016"/>
        <w:gridCol w:w="1016"/>
        <w:gridCol w:w="699"/>
        <w:gridCol w:w="699"/>
        <w:gridCol w:w="704"/>
        <w:gridCol w:w="970"/>
        <w:gridCol w:w="970"/>
        <w:gridCol w:w="1374"/>
      </w:tblGrid>
      <w:tr>
        <w:trPr/>
        <w:tc>
          <w:tcPr>
            <w:tcW w:w="1148"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528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Securities registered pursuant to Section 12(b) of the Act:</w:t>
            </w:r>
          </w:p>
        </w:tc>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210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3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1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par value $1.00 per share</w:t>
            </w:r>
          </w:p>
        </w:tc>
        <w:tc>
          <w:tcPr>
            <w:tcW w:w="210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BCO</w:t>
            </w:r>
          </w:p>
        </w:tc>
        <w:tc>
          <w:tcPr>
            <w:tcW w:w="33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31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Securities registered pursuant to Section 12(g) of the Act:  None</w:t>
            </w:r>
          </w:p>
        </w:tc>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Indicate by check mark if the registrant is a well-known seasoned issuer, as defined in Rule 405 of the Securities Act.</w:t>
      </w:r>
    </w:p>
    <w:p>
      <w:pPr>
        <w:pStyle w:val="TextBody"/>
        <w:bidi w:val="0"/>
        <w:spacing w:lineRule="auto" w:line="288" w:before="60" w:after="283"/>
        <w:ind w:left="0" w:right="0" w:firstLine="4500"/>
        <w:jc w:val="left"/>
        <w:rPr/>
      </w:pPr>
      <w:r>
        <w:rPr>
          <w:rFonts w:ascii="Times New Roman;serif" w:hAnsi="Times New Roman;serif"/>
          <w:b w:val="false"/>
          <w:color w:val="000000"/>
          <w:sz w:val="15"/>
        </w:rPr>
        <w:t xml:space="preserve">Yes </w:t>
      </w:r>
      <w:r>
        <w:rPr>
          <w:color w:val="000000"/>
        </w:rPr>
        <w:t>☒                      </w:t>
      </w:r>
      <w:r>
        <w:rPr>
          <w:rFonts w:ascii="Times New Roman;serif" w:hAnsi="Times New Roman;serif"/>
          <w:b w:val="false"/>
          <w:color w:val="000000"/>
          <w:sz w:val="15"/>
        </w:rPr>
        <w:t xml:space="preserve">No </w:t>
      </w:r>
      <w:r>
        <w:rPr>
          <w:color w:val="000000"/>
        </w:rPr>
        <w:t>☐</w:t>
      </w:r>
    </w:p>
    <w:p>
      <w:pPr>
        <w:pStyle w:val="TextBody"/>
        <w:bidi w:val="0"/>
        <w:spacing w:lineRule="auto" w:line="288" w:before="60" w:after="283"/>
        <w:jc w:val="left"/>
        <w:rPr>
          <w:rFonts w:ascii="Times New Roman;serif" w:hAnsi="Times New Roman;serif"/>
          <w:b w:val="false"/>
          <w:color w:val="000000"/>
          <w:sz w:val="15"/>
        </w:rPr>
      </w:pPr>
      <w:r>
        <w:rPr>
          <w:rFonts w:ascii="Times New Roman;serif" w:hAnsi="Times New Roman;serif"/>
          <w:b w:val="false"/>
          <w:color w:val="000000"/>
          <w:sz w:val="15"/>
        </w:rPr>
        <w:t>Indicate by check mark if the registrant is not required to file reports pursuant to Section 13 or Section 15(d) of the Act.</w:t>
      </w:r>
    </w:p>
    <w:p>
      <w:pPr>
        <w:pStyle w:val="TextBody"/>
        <w:bidi w:val="0"/>
        <w:spacing w:lineRule="auto" w:line="288" w:before="60" w:after="283"/>
        <w:ind w:left="0" w:right="0" w:firstLine="4500"/>
        <w:jc w:val="left"/>
        <w:rPr/>
      </w:pPr>
      <w:r>
        <w:rPr>
          <w:rFonts w:ascii="Times New Roman;serif" w:hAnsi="Times New Roman;serif"/>
          <w:b w:val="false"/>
          <w:color w:val="000000"/>
          <w:sz w:val="15"/>
        </w:rPr>
        <w:t xml:space="preserve">Yes </w:t>
      </w:r>
      <w:r>
        <w:rPr>
          <w:color w:val="000000"/>
        </w:rPr>
        <w:t>☐                      </w:t>
      </w:r>
      <w:r>
        <w:rPr>
          <w:rFonts w:ascii="Times New Roman;serif" w:hAnsi="Times New Roman;serif"/>
          <w:b w:val="false"/>
          <w:color w:val="000000"/>
          <w:sz w:val="15"/>
        </w:rPr>
        <w:t xml:space="preserve">No </w:t>
      </w:r>
      <w:r>
        <w:rPr>
          <w:color w:val="000000"/>
        </w:rPr>
        <w:t>☒</w:t>
      </w:r>
    </w:p>
    <w:p>
      <w:pPr>
        <w:pStyle w:val="TextBody"/>
        <w:bidi w:val="0"/>
        <w:spacing w:lineRule="auto" w:line="288" w:before="60" w:after="283"/>
        <w:jc w:val="left"/>
        <w:rPr>
          <w:rFonts w:ascii="Times New Roman;serif" w:hAnsi="Times New Roman;serif"/>
          <w:b w:val="false"/>
          <w:color w:val="000000"/>
          <w:sz w:val="15"/>
        </w:rPr>
      </w:pPr>
      <w:r>
        <w:rPr>
          <w:rFonts w:ascii="Times New Roman;serif" w:hAnsi="Times New Roman;serif"/>
          <w:b w:val="false"/>
          <w:color w:val="000000"/>
          <w:sz w:val="15"/>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60" w:after="283"/>
        <w:ind w:left="0" w:right="0" w:firstLine="4500"/>
        <w:jc w:val="left"/>
        <w:rPr/>
      </w:pPr>
      <w:r>
        <w:rPr>
          <w:rFonts w:ascii="Times New Roman;serif" w:hAnsi="Times New Roman;serif"/>
          <w:b w:val="false"/>
          <w:color w:val="000000"/>
          <w:sz w:val="15"/>
        </w:rPr>
        <w:t xml:space="preserve">Yes </w:t>
      </w:r>
      <w:r>
        <w:rPr>
          <w:color w:val="000000"/>
        </w:rPr>
        <w:t>☒                      </w:t>
      </w:r>
      <w:r>
        <w:rPr>
          <w:rFonts w:ascii="Times New Roman;serif" w:hAnsi="Times New Roman;serif"/>
          <w:b w:val="false"/>
          <w:color w:val="000000"/>
          <w:sz w:val="15"/>
        </w:rPr>
        <w:t xml:space="preserve">No </w:t>
      </w:r>
      <w:r>
        <w:rPr>
          <w:color w:val="000000"/>
        </w:rPr>
        <w:t>☐</w:t>
      </w:r>
    </w:p>
    <w:p>
      <w:pPr>
        <w:pStyle w:val="TextBody"/>
        <w:bidi w:val="0"/>
        <w:spacing w:lineRule="auto" w:line="288" w:before="60" w:after="283"/>
        <w:jc w:val="left"/>
        <w:rPr>
          <w:rFonts w:ascii="Times New Roman;serif" w:hAnsi="Times New Roman;serif"/>
          <w:b w:val="false"/>
          <w:color w:val="000000"/>
          <w:sz w:val="15"/>
        </w:rPr>
      </w:pPr>
      <w:r>
        <w:rPr>
          <w:rFonts w:ascii="Times New Roman;serif" w:hAnsi="Times New Roman;serif"/>
          <w:b w:val="false"/>
          <w:color w:val="000000"/>
          <w:sz w:val="15"/>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p>
    <w:p>
      <w:pPr>
        <w:pStyle w:val="TextBody"/>
        <w:bidi w:val="0"/>
        <w:spacing w:lineRule="auto" w:line="288" w:before="60" w:after="283"/>
        <w:jc w:val="center"/>
        <w:rPr/>
      </w:pPr>
      <w:r>
        <w:rPr>
          <w:rFonts w:ascii="Times New Roman;serif" w:hAnsi="Times New Roman;serif"/>
          <w:b w:val="false"/>
          <w:color w:val="000000"/>
          <w:sz w:val="15"/>
        </w:rPr>
        <w:t xml:space="preserve">Yes </w:t>
      </w:r>
      <w:r>
        <w:rPr>
          <w:color w:val="000000"/>
        </w:rPr>
        <w:t xml:space="preserve">☒  </w:t>
      </w:r>
      <w:r>
        <w:rPr>
          <w:rFonts w:ascii="Times New Roman;serif" w:hAnsi="Times New Roman;serif"/>
          <w:b w:val="false"/>
          <w:color w:val="000000"/>
          <w:sz w:val="15"/>
        </w:rPr>
        <w:t xml:space="preserve">No </w:t>
      </w:r>
      <w:r>
        <w:rPr>
          <w:color w:val="000000"/>
        </w:rPr>
        <w:t>☐</w:t>
      </w:r>
    </w:p>
    <w:p>
      <w:pPr>
        <w:pStyle w:val="TextBody"/>
        <w:bidi w:val="0"/>
        <w:spacing w:lineRule="auto" w:line="288" w:before="60" w:after="283"/>
        <w:jc w:val="both"/>
        <w:rPr>
          <w:rFonts w:ascii="Times New Roman;serif" w:hAnsi="Times New Roman;serif"/>
          <w:b w:val="false"/>
          <w:color w:val="000000"/>
          <w:sz w:val="15"/>
        </w:rPr>
      </w:pPr>
      <w:r>
        <w:rPr>
          <w:rFonts w:ascii="Times New Roman;serif" w:hAnsi="Times New Roman;serif"/>
          <w:b w:val="false"/>
          <w:color w:val="000000"/>
          <w:sz w:val="15"/>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bidi w:val="0"/>
        <w:spacing w:lineRule="auto" w:line="288" w:before="60" w:after="283"/>
        <w:jc w:val="center"/>
        <w:rPr/>
      </w:pPr>
      <w:r>
        <w:rPr>
          <w:rFonts w:ascii="Times New Roman;serif" w:hAnsi="Times New Roman;serif"/>
          <w:b w:val="false"/>
          <w:color w:val="000000"/>
          <w:sz w:val="15"/>
        </w:rPr>
        <w:t xml:space="preserve">Large accelerated filer </w:t>
      </w:r>
      <w:r>
        <w:rPr>
          <w:color w:val="000000"/>
        </w:rPr>
        <w:t>☒           </w:t>
      </w:r>
      <w:r>
        <w:rPr>
          <w:rFonts w:ascii="Times New Roman;serif" w:hAnsi="Times New Roman;serif"/>
          <w:b w:val="false"/>
          <w:color w:val="000000"/>
          <w:sz w:val="15"/>
        </w:rPr>
        <w:t xml:space="preserve">Accelerated filer </w:t>
      </w:r>
      <w:r>
        <w:rPr>
          <w:color w:val="000000"/>
        </w:rPr>
        <w:t>☐           </w:t>
      </w:r>
      <w:r>
        <w:rPr>
          <w:rFonts w:ascii="Times New Roman;serif" w:hAnsi="Times New Roman;serif"/>
          <w:b w:val="false"/>
          <w:color w:val="000000"/>
          <w:sz w:val="15"/>
        </w:rPr>
        <w:t xml:space="preserve">Non-accelerated filer </w:t>
      </w:r>
      <w:r>
        <w:rPr>
          <w:color w:val="000000"/>
        </w:rPr>
        <w:t>☐           </w:t>
      </w:r>
      <w:r>
        <w:rPr>
          <w:rFonts w:ascii="Times New Roman;serif" w:hAnsi="Times New Roman;serif"/>
          <w:b w:val="false"/>
          <w:color w:val="000000"/>
          <w:sz w:val="15"/>
        </w:rPr>
        <w:t xml:space="preserve">Smaller reporting company </w:t>
      </w:r>
      <w:r>
        <w:rPr>
          <w:color w:val="000000"/>
        </w:rPr>
        <w:t xml:space="preserve">☐ </w:t>
      </w:r>
      <w:r>
        <w:rPr>
          <w:rFonts w:ascii="Times New Roman;serif" w:hAnsi="Times New Roman;serif"/>
          <w:b w:val="false"/>
          <w:color w:val="000000"/>
          <w:sz w:val="15"/>
        </w:rPr>
        <w:t>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5"/>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5"/>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5"/>
        </w:rPr>
        <w:t>If securities are registered pursuant to Section 12(b) of the Act, indicate by check mark whether the financial statements of the registrant included in the filing reflect the correction of an error to previously issued financial statements.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Indicate by check mark whether the registrant is a shell company (as defined in Rule 12b-2 of the Exchange Act).</w:t>
      </w:r>
    </w:p>
    <w:p>
      <w:pPr>
        <w:pStyle w:val="TextBody"/>
        <w:bidi w:val="0"/>
        <w:spacing w:lineRule="auto" w:line="288" w:before="0" w:after="0"/>
        <w:ind w:left="0" w:right="0" w:firstLine="4500"/>
        <w:jc w:val="left"/>
        <w:rPr/>
      </w:pPr>
      <w:r>
        <w:rPr>
          <w:rFonts w:ascii="Times New Roman;serif" w:hAnsi="Times New Roman;serif"/>
          <w:b w:val="false"/>
          <w:color w:val="000000"/>
          <w:sz w:val="15"/>
        </w:rPr>
        <w:t>Yes </w:t>
      </w:r>
      <w:r>
        <w:rPr>
          <w:color w:val="000000"/>
        </w:rPr>
        <w:t>☐                      </w:t>
      </w:r>
      <w:r>
        <w:rPr>
          <w:rFonts w:ascii="Times New Roman;serif" w:hAnsi="Times New Roman;serif"/>
          <w:b w:val="false"/>
          <w:color w:val="000000"/>
          <w:sz w:val="15"/>
        </w:rPr>
        <w:t xml:space="preserve">No </w:t>
      </w:r>
      <w:r>
        <w:rPr>
          <w:color w:val="000000"/>
        </w:rPr>
        <w:t>☒</w:t>
      </w:r>
    </w:p>
    <w:p>
      <w:pPr>
        <w:pStyle w:val="TextBody"/>
        <w:bidi w:val="0"/>
        <w:spacing w:lineRule="auto" w:line="288" w:before="0" w:after="0"/>
        <w:jc w:val="left"/>
        <w:rPr>
          <w:rFonts w:ascii="Times New Roman;serif" w:hAnsi="Times New Roman;serif"/>
          <w:b w:val="false"/>
          <w:color w:val="000000"/>
          <w:sz w:val="15"/>
        </w:rPr>
      </w:pPr>
      <w:r>
        <w:rPr>
          <w:rFonts w:ascii="Times New Roman;serif" w:hAnsi="Times New Roman;serif"/>
          <w:b w:val="false"/>
          <w:color w:val="000000"/>
          <w:sz w:val="15"/>
        </w:rPr>
        <w:t>As of February 20, 2026, there were issued and outstanding 41,152,517 shares of common stock. The aggregate market value of shares of common stock held by non-affiliates as of June 30, 2025, was $3,704,193,507 based on the closing sale price as reported on the New York Stock Exchange.</w:t>
      </w:r>
    </w:p>
    <w:p>
      <w:pPr>
        <w:pStyle w:val="TextBody"/>
        <w:bidi w:val="0"/>
        <w:spacing w:lineRule="auto" w:line="288" w:before="60" w:after="283"/>
        <w:jc w:val="left"/>
        <w:rPr>
          <w:rFonts w:ascii="Times New Roman;serif" w:hAnsi="Times New Roman;serif"/>
          <w:b w:val="false"/>
          <w:color w:val="000000"/>
          <w:sz w:val="15"/>
        </w:rPr>
      </w:pPr>
      <w:r>
        <w:rPr>
          <w:rFonts w:ascii="Times New Roman;serif" w:hAnsi="Times New Roman;serif"/>
          <w:b w:val="false"/>
          <w:color w:val="000000"/>
          <w:sz w:val="15"/>
        </w:rPr>
        <w:t>Documents incorporated by reference:  Part III of this Form 10-K incorporates by reference portions of the Registrant’s definitive 2026 Proxy Statement expected to be filed pursuant to Regulation 14A within 120 days from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center"/>
        <w:rPr>
          <w:rFonts w:ascii="Times New Roman;serif" w:hAnsi="Times New Roman;serif"/>
          <w:b/>
          <w:color w:val="000000"/>
          <w:sz w:val="18"/>
        </w:rPr>
      </w:pPr>
      <w:r>
        <w:rPr>
          <w:rFonts w:ascii="Times New Roman;serif" w:hAnsi="Times New Roman;serif"/>
          <w:b/>
          <w:color w:val="000000"/>
          <w:sz w:val="18"/>
        </w:rPr>
        <w:t>THE BRINK’S COMPANY</w:t>
      </w:r>
    </w:p>
    <w:p>
      <w:pPr>
        <w:pStyle w:val="TextBody"/>
        <w:bidi w:val="0"/>
        <w:spacing w:lineRule="auto" w:line="288" w:before="180" w:after="283"/>
        <w:jc w:val="center"/>
        <w:rPr>
          <w:rFonts w:ascii="Times New Roman;serif" w:hAnsi="Times New Roman;serif"/>
          <w:b/>
          <w:color w:val="000000"/>
          <w:sz w:val="18"/>
        </w:rPr>
      </w:pPr>
      <w:r>
        <w:rPr>
          <w:rFonts w:ascii="Times New Roman;serif" w:hAnsi="Times New Roman;serif"/>
          <w:b/>
          <w:color w:val="000000"/>
          <w:sz w:val="18"/>
        </w:rPr>
        <w:t>FORM 10-K</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FOR THE YEAR ENDED DECEMBER 31, 2025 </w:t>
      </w:r>
    </w:p>
    <w:p>
      <w:pPr>
        <w:pStyle w:val="TextBody"/>
        <w:bidi w:val="0"/>
        <w:spacing w:lineRule="auto" w:line="288" w:before="180" w:after="283"/>
        <w:jc w:val="center"/>
        <w:rPr>
          <w:rFonts w:ascii="Times New Roman;serif" w:hAnsi="Times New Roman;serif"/>
          <w:b/>
          <w:color w:val="000000"/>
          <w:sz w:val="18"/>
        </w:rPr>
      </w:pPr>
      <w:r>
        <w:rPr>
          <w:rFonts w:ascii="Times New Roman;serif" w:hAnsi="Times New Roman;serif"/>
          <w:b/>
          <w:color w:val="000000"/>
          <w:sz w:val="18"/>
        </w:rPr>
        <w:t>TABLE OF CONTENTS</w:t>
      </w:r>
    </w:p>
    <w:tbl>
      <w:tblPr>
        <w:tblW w:w="9330" w:type="dxa"/>
        <w:jc w:val="left"/>
        <w:tblInd w:w="0" w:type="dxa"/>
        <w:tblLayout w:type="fixed"/>
        <w:tblCellMar>
          <w:top w:w="28" w:type="dxa"/>
          <w:left w:w="28" w:type="dxa"/>
          <w:bottom w:w="28" w:type="dxa"/>
          <w:right w:w="28" w:type="dxa"/>
        </w:tblCellMar>
      </w:tblPr>
      <w:tblGrid>
        <w:gridCol w:w="272"/>
        <w:gridCol w:w="237"/>
        <w:gridCol w:w="240"/>
        <w:gridCol w:w="2676"/>
        <w:gridCol w:w="2676"/>
        <w:gridCol w:w="2718"/>
        <w:gridCol w:w="149"/>
        <w:gridCol w:w="149"/>
        <w:gridCol w:w="213"/>
      </w:tblGrid>
      <w:tr>
        <w:trPr/>
        <w:tc>
          <w:tcPr>
            <w:tcW w:w="27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676" w:type="dxa"/>
            <w:tcBorders/>
            <w:vAlign w:val="center"/>
          </w:tcPr>
          <w:p>
            <w:pPr>
              <w:pStyle w:val="TableContents"/>
              <w:bidi w:val="0"/>
              <w:spacing w:before="0" w:after="283"/>
              <w:jc w:val="left"/>
              <w:rPr>
                <w:sz w:val="4"/>
                <w:szCs w:val="4"/>
              </w:rPr>
            </w:pPr>
            <w:r>
              <w:rPr>
                <w:sz w:val="4"/>
                <w:szCs w:val="4"/>
              </w:rPr>
            </w:r>
          </w:p>
        </w:tc>
        <w:tc>
          <w:tcPr>
            <w:tcW w:w="2676" w:type="dxa"/>
            <w:tcBorders/>
            <w:vAlign w:val="center"/>
          </w:tcPr>
          <w:p>
            <w:pPr>
              <w:pStyle w:val="TableContents"/>
              <w:bidi w:val="0"/>
              <w:spacing w:before="0" w:after="283"/>
              <w:jc w:val="left"/>
              <w:rPr>
                <w:sz w:val="4"/>
                <w:szCs w:val="4"/>
              </w:rPr>
            </w:pPr>
            <w:r>
              <w:rPr>
                <w:sz w:val="4"/>
                <w:szCs w:val="4"/>
              </w:rPr>
            </w:r>
          </w:p>
        </w:tc>
        <w:tc>
          <w:tcPr>
            <w:tcW w:w="271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75bec4631da4b22a64426a3a4f02a78_10">
              <w:r>
                <w:rPr>
                  <w:rStyle w:val="InternetLink"/>
                  <w:rFonts w:ascii="Times New Roman;serif" w:hAnsi="Times New Roman;serif"/>
                  <w:b/>
                  <w:strike w:val="false"/>
                  <w:dstrike w:val="false"/>
                  <w:color w:val="000000"/>
                  <w:sz w:val="18"/>
                  <w:u w:val="none"/>
                  <w:effect w:val="none"/>
                </w:rPr>
                <w:t>PART I</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Page</w:t>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75bec4631da4b22a64426a3a4f02a78_13">
              <w:r>
                <w:rPr>
                  <w:rStyle w:val="InternetLink"/>
                  <w:rFonts w:ascii="Times New Roman;serif" w:hAnsi="Times New Roman;serif"/>
                  <w:b w:val="false"/>
                  <w:strike w:val="false"/>
                  <w:dstrike w:val="false"/>
                  <w:color w:val="000000"/>
                  <w:sz w:val="18"/>
                  <w:u w:val="none"/>
                  <w:effect w:val="none"/>
                </w:rPr>
                <w:t>Item 1.</w:t>
              </w:r>
            </w:hyperlink>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75bec4631da4b22a64426a3a4f02a78_13">
              <w:r>
                <w:rPr>
                  <w:rStyle w:val="InternetLink"/>
                  <w:rFonts w:ascii="Times New Roman;serif" w:hAnsi="Times New Roman;serif"/>
                  <w:b w:val="false"/>
                  <w:strike w:val="false"/>
                  <w:dstrike w:val="false"/>
                  <w:color w:val="000000"/>
                  <w:sz w:val="18"/>
                  <w:u w:val="none"/>
                  <w:effect w:val="none"/>
                </w:rPr>
                <w:t>Business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75bec4631da4b22a64426a3a4f02a78_13">
              <w:r>
                <w:rPr>
                  <w:rStyle w:val="InternetLink"/>
                  <w:rFonts w:ascii="Times New Roman;serif" w:hAnsi="Times New Roman;serif"/>
                  <w:b w:val="false"/>
                  <w:strike w:val="false"/>
                  <w:dstrike w:val="false"/>
                  <w:color w:val="000000"/>
                  <w:sz w:val="18"/>
                  <w:u w:val="none"/>
                  <w:effect w:val="none"/>
                </w:rPr>
                <w:t>1</w:t>
              </w:r>
            </w:hyperlink>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75bec4631da4b22a64426a3a4f02a78_34">
              <w:r>
                <w:rPr>
                  <w:rStyle w:val="InternetLink"/>
                  <w:rFonts w:ascii="Times New Roman;serif" w:hAnsi="Times New Roman;serif"/>
                  <w:b w:val="false"/>
                  <w:strike w:val="false"/>
                  <w:dstrike w:val="false"/>
                  <w:color w:val="000000"/>
                  <w:sz w:val="18"/>
                  <w:u w:val="none"/>
                  <w:effect w:val="none"/>
                </w:rPr>
                <w:t>Item 1A.</w:t>
              </w:r>
            </w:hyperlink>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75bec4631da4b22a64426a3a4f02a78_34">
              <w:r>
                <w:rPr>
                  <w:rStyle w:val="InternetLink"/>
                  <w:rFonts w:ascii="Times New Roman;serif" w:hAnsi="Times New Roman;serif"/>
                  <w:b w:val="false"/>
                  <w:strike w:val="false"/>
                  <w:dstrike w:val="false"/>
                  <w:color w:val="000000"/>
                  <w:sz w:val="18"/>
                  <w:u w:val="none"/>
                  <w:effect w:val="non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75bec4631da4b22a64426a3a4f02a78_34">
              <w:r>
                <w:rPr>
                  <w:rStyle w:val="InternetLink"/>
                  <w:rFonts w:ascii="Times New Roman;serif" w:hAnsi="Times New Roman;serif"/>
                  <w:b w:val="false"/>
                  <w:strike w:val="false"/>
                  <w:dstrike w:val="false"/>
                  <w:color w:val="000000"/>
                  <w:sz w:val="18"/>
                  <w:u w:val="none"/>
                  <w:effect w:val="none"/>
                </w:rPr>
                <w:t>7</w:t>
              </w:r>
            </w:hyperlink>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75bec4631da4b22a64426a3a4f02a78_40">
              <w:r>
                <w:rPr>
                  <w:rStyle w:val="InternetLink"/>
                  <w:rFonts w:ascii="Times New Roman;serif" w:hAnsi="Times New Roman;serif"/>
                  <w:b w:val="false"/>
                  <w:strike w:val="false"/>
                  <w:dstrike w:val="false"/>
                  <w:color w:val="000000"/>
                  <w:sz w:val="18"/>
                  <w:u w:val="none"/>
                  <w:effect w:val="none"/>
                </w:rPr>
                <w:t>Item 1B.</w:t>
              </w:r>
            </w:hyperlink>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75bec4631da4b22a64426a3a4f02a78_40">
              <w:r>
                <w:rPr>
                  <w:rStyle w:val="InternetLink"/>
                  <w:rFonts w:ascii="Times New Roman;serif" w:hAnsi="Times New Roman;serif"/>
                  <w:b w:val="false"/>
                  <w:strike w:val="false"/>
                  <w:dstrike w:val="false"/>
                  <w:color w:val="000000"/>
                  <w:sz w:val="18"/>
                  <w:u w:val="none"/>
                  <w:effect w:val="none"/>
                </w:rPr>
                <w:t>Unresolved Staff Comments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75bec4631da4b22a64426a3a4f02a78_40">
              <w:r>
                <w:rPr>
                  <w:rStyle w:val="InternetLink"/>
                  <w:rFonts w:ascii="Times New Roman;serif" w:hAnsi="Times New Roman;serif"/>
                  <w:b w:val="false"/>
                  <w:strike w:val="false"/>
                  <w:dstrike w:val="false"/>
                  <w:color w:val="000000"/>
                  <w:sz w:val="18"/>
                  <w:u w:val="none"/>
                  <w:effect w:val="none"/>
                </w:rPr>
                <w:t>16</w:t>
              </w:r>
            </w:hyperlink>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75bec4631da4b22a64426a3a4f02a78_43">
              <w:r>
                <w:rPr>
                  <w:rStyle w:val="InternetLink"/>
                  <w:rFonts w:ascii="Times New Roman;serif" w:hAnsi="Times New Roman;serif"/>
                  <w:b w:val="false"/>
                  <w:strike w:val="false"/>
                  <w:dstrike w:val="false"/>
                  <w:color w:val="000000"/>
                  <w:sz w:val="18"/>
                  <w:u w:val="none"/>
                  <w:effect w:val="none"/>
                </w:rPr>
                <w:t>Item 1C.</w:t>
              </w:r>
            </w:hyperlink>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75bec4631da4b22a64426a3a4f02a78_43">
              <w:r>
                <w:rPr>
                  <w:rStyle w:val="InternetLink"/>
                  <w:rFonts w:ascii="Times New Roman;serif" w:hAnsi="Times New Roman;serif"/>
                  <w:b w:val="false"/>
                  <w:strike w:val="false"/>
                  <w:dstrike w:val="false"/>
                  <w:color w:val="000000"/>
                  <w:sz w:val="18"/>
                  <w:u w:val="none"/>
                  <w:effect w:val="none"/>
                </w:rPr>
                <w:t>Cybersecurity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75bec4631da4b22a64426a3a4f02a78_43">
              <w:r>
                <w:rPr>
                  <w:rStyle w:val="InternetLink"/>
                  <w:rFonts w:ascii="Times New Roman;serif" w:hAnsi="Times New Roman;serif"/>
                  <w:b w:val="false"/>
                  <w:strike w:val="false"/>
                  <w:dstrike w:val="false"/>
                  <w:color w:val="000000"/>
                  <w:sz w:val="18"/>
                  <w:u w:val="none"/>
                  <w:effect w:val="none"/>
                </w:rPr>
                <w:t>16</w:t>
              </w:r>
            </w:hyperlink>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75bec4631da4b22a64426a3a4f02a78_46">
              <w:r>
                <w:rPr>
                  <w:rStyle w:val="InternetLink"/>
                  <w:rFonts w:ascii="Times New Roman;serif" w:hAnsi="Times New Roman;serif"/>
                  <w:b w:val="false"/>
                  <w:strike w:val="false"/>
                  <w:dstrike w:val="false"/>
                  <w:color w:val="000000"/>
                  <w:sz w:val="18"/>
                  <w:u w:val="none"/>
                  <w:effect w:val="none"/>
                </w:rPr>
                <w:t>Item 2.</w:t>
              </w:r>
            </w:hyperlink>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75bec4631da4b22a64426a3a4f02a78_46">
              <w:r>
                <w:rPr>
                  <w:rStyle w:val="InternetLink"/>
                  <w:rFonts w:ascii="Times New Roman;serif" w:hAnsi="Times New Roman;serif"/>
                  <w:b w:val="false"/>
                  <w:strike w:val="false"/>
                  <w:dstrike w:val="false"/>
                  <w:color w:val="000000"/>
                  <w:sz w:val="18"/>
                  <w:u w:val="none"/>
                  <w:effect w:val="none"/>
                </w:rPr>
                <w:t>Properties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75bec4631da4b22a64426a3a4f02a78_46">
              <w:r>
                <w:rPr>
                  <w:rStyle w:val="InternetLink"/>
                  <w:rFonts w:ascii="Times New Roman;serif" w:hAnsi="Times New Roman;serif"/>
                  <w:b w:val="false"/>
                  <w:strike w:val="false"/>
                  <w:dstrike w:val="false"/>
                  <w:color w:val="000000"/>
                  <w:sz w:val="18"/>
                  <w:u w:val="none"/>
                  <w:effect w:val="none"/>
                </w:rPr>
                <w:t>18</w:t>
              </w:r>
            </w:hyperlink>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75bec4631da4b22a64426a3a4f02a78_49">
              <w:r>
                <w:rPr>
                  <w:rStyle w:val="InternetLink"/>
                  <w:rFonts w:ascii="Times New Roman;serif" w:hAnsi="Times New Roman;serif"/>
                  <w:b w:val="false"/>
                  <w:strike w:val="false"/>
                  <w:dstrike w:val="false"/>
                  <w:color w:val="000000"/>
                  <w:sz w:val="18"/>
                  <w:u w:val="none"/>
                  <w:effect w:val="none"/>
                </w:rPr>
                <w:t>Item 3.</w:t>
              </w:r>
            </w:hyperlink>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75bec4631da4b22a64426a3a4f02a78_49">
              <w:r>
                <w:rPr>
                  <w:rStyle w:val="InternetLink"/>
                  <w:rFonts w:ascii="Times New Roman;serif" w:hAnsi="Times New Roman;serif"/>
                  <w:b w:val="false"/>
                  <w:strike w:val="false"/>
                  <w:dstrike w:val="false"/>
                  <w:color w:val="000000"/>
                  <w:sz w:val="18"/>
                  <w:u w:val="none"/>
                  <w:effect w:val="none"/>
                </w:rPr>
                <w:t>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75bec4631da4b22a64426a3a4f02a78_49">
              <w:r>
                <w:rPr>
                  <w:rStyle w:val="InternetLink"/>
                  <w:rFonts w:ascii="Times New Roman;serif" w:hAnsi="Times New Roman;serif"/>
                  <w:b w:val="false"/>
                  <w:strike w:val="false"/>
                  <w:dstrike w:val="false"/>
                  <w:color w:val="000000"/>
                  <w:sz w:val="18"/>
                  <w:u w:val="none"/>
                  <w:effect w:val="none"/>
                </w:rPr>
                <w:t>18</w:t>
              </w:r>
            </w:hyperlink>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75bec4631da4b22a64426a3a4f02a78_52">
              <w:r>
                <w:rPr>
                  <w:rStyle w:val="InternetLink"/>
                  <w:rFonts w:ascii="Times New Roman;serif" w:hAnsi="Times New Roman;serif"/>
                  <w:b w:val="false"/>
                  <w:strike w:val="false"/>
                  <w:dstrike w:val="false"/>
                  <w:color w:val="000000"/>
                  <w:sz w:val="18"/>
                  <w:u w:val="none"/>
                  <w:effect w:val="none"/>
                </w:rPr>
                <w:t>Item 4.</w:t>
              </w:r>
            </w:hyperlink>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75bec4631da4b22a64426a3a4f02a78_52">
              <w:r>
                <w:rPr>
                  <w:rStyle w:val="InternetLink"/>
                  <w:rFonts w:ascii="Times New Roman;serif" w:hAnsi="Times New Roman;serif"/>
                  <w:b w:val="false"/>
                  <w:strike w:val="false"/>
                  <w:dstrike w:val="false"/>
                  <w:color w:val="000000"/>
                  <w:sz w:val="18"/>
                  <w:u w:val="none"/>
                  <w:effect w:val="none"/>
                </w:rPr>
                <w:t>Mine Safety Disclosures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75bec4631da4b22a64426a3a4f02a78_52">
              <w:r>
                <w:rPr>
                  <w:rStyle w:val="InternetLink"/>
                  <w:rFonts w:ascii="Times New Roman;serif" w:hAnsi="Times New Roman;serif"/>
                  <w:b w:val="false"/>
                  <w:strike w:val="false"/>
                  <w:dstrike w:val="false"/>
                  <w:color w:val="000000"/>
                  <w:sz w:val="18"/>
                  <w:u w:val="none"/>
                  <w:effect w:val="none"/>
                </w:rPr>
                <w:t>18</w:t>
              </w:r>
            </w:hyperlink>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75bec4631da4b22a64426a3a4f02a78_58">
              <w:r>
                <w:rPr>
                  <w:rStyle w:val="InternetLink"/>
                  <w:rFonts w:ascii="Times New Roman;serif" w:hAnsi="Times New Roman;serif"/>
                  <w:b/>
                  <w:strike w:val="false"/>
                  <w:dstrike w:val="false"/>
                  <w:color w:val="000000"/>
                  <w:sz w:val="18"/>
                  <w:u w:val="none"/>
                  <w:effect w:val="none"/>
                </w:rPr>
                <w:t>PART II</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75bec4631da4b22a64426a3a4f02a78_61">
              <w:r>
                <w:rPr>
                  <w:rStyle w:val="InternetLink"/>
                  <w:rFonts w:ascii="Times New Roman;serif" w:hAnsi="Times New Roman;serif"/>
                  <w:b w:val="false"/>
                  <w:strike w:val="false"/>
                  <w:dstrike w:val="false"/>
                  <w:color w:val="000000"/>
                  <w:sz w:val="18"/>
                  <w:u w:val="none"/>
                  <w:effect w:val="none"/>
                </w:rPr>
                <w:t>Item 5.</w:t>
              </w:r>
            </w:hyperlink>
          </w:p>
        </w:tc>
        <w:tc>
          <w:tcPr>
            <w:tcW w:w="8070"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275bec4631da4b22a64426a3a4f02a78_61">
              <w:r>
                <w:rPr>
                  <w:rStyle w:val="InternetLink"/>
                  <w:rFonts w:ascii="Times New Roman;serif" w:hAnsi="Times New Roman;serif"/>
                  <w:b w:val="false"/>
                  <w:strike w:val="false"/>
                  <w:dstrike w:val="false"/>
                  <w:color w:val="000000"/>
                  <w:sz w:val="18"/>
                  <w:u w:val="none"/>
                  <w:effect w:val="none"/>
                </w:rPr>
                <w:t>Market for Registrant’s Common Equity, Related Stockholder Matters and Issuer Purchases of Equity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75bec4631da4b22a64426a3a4f02a78_61">
              <w:r>
                <w:rPr>
                  <w:rStyle w:val="InternetLink"/>
                  <w:rFonts w:ascii="Times New Roman;serif" w:hAnsi="Times New Roman;serif"/>
                  <w:b w:val="false"/>
                  <w:strike w:val="false"/>
                  <w:dstrike w:val="false"/>
                  <w:color w:val="000000"/>
                  <w:sz w:val="18"/>
                  <w:u w:val="none"/>
                  <w:effect w:val="none"/>
                </w:rPr>
                <w:t>20</w:t>
              </w:r>
            </w:hyperlink>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75bec4631da4b22a64426a3a4f02a78_64">
              <w:r>
                <w:rPr>
                  <w:rStyle w:val="InternetLink"/>
                  <w:rFonts w:ascii="Times New Roman;serif" w:hAnsi="Times New Roman;serif"/>
                  <w:b w:val="false"/>
                  <w:strike w:val="false"/>
                  <w:dstrike w:val="false"/>
                  <w:color w:val="000000"/>
                  <w:sz w:val="18"/>
                  <w:u w:val="none"/>
                  <w:effect w:val="none"/>
                </w:rPr>
                <w:t>Item 7.</w:t>
              </w:r>
            </w:hyperlink>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75bec4631da4b22a64426a3a4f02a78_64">
              <w:r>
                <w:rPr>
                  <w:rStyle w:val="InternetLink"/>
                  <w:rFonts w:ascii="Times New Roman;serif" w:hAnsi="Times New Roman;serif"/>
                  <w:b w:val="false"/>
                  <w:strike w:val="false"/>
                  <w:dstrike w:val="false"/>
                  <w:color w:val="000000"/>
                  <w:sz w:val="18"/>
                  <w:u w:val="none"/>
                  <w:effect w:val="none"/>
                </w:rPr>
                <w:t>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75bec4631da4b22a64426a3a4f02a78_64">
              <w:r>
                <w:rPr>
                  <w:rStyle w:val="InternetLink"/>
                  <w:rFonts w:ascii="Times New Roman;serif" w:hAnsi="Times New Roman;serif"/>
                  <w:b w:val="false"/>
                  <w:strike w:val="false"/>
                  <w:dstrike w:val="false"/>
                  <w:color w:val="000000"/>
                  <w:sz w:val="18"/>
                  <w:u w:val="none"/>
                  <w:effect w:val="none"/>
                </w:rPr>
                <w:t>22</w:t>
              </w:r>
            </w:hyperlink>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75bec4631da4b22a64426a3a4f02a78_148">
              <w:r>
                <w:rPr>
                  <w:rStyle w:val="InternetLink"/>
                  <w:rFonts w:ascii="Times New Roman;serif" w:hAnsi="Times New Roman;serif"/>
                  <w:b w:val="false"/>
                  <w:strike w:val="false"/>
                  <w:dstrike w:val="false"/>
                  <w:color w:val="000000"/>
                  <w:sz w:val="18"/>
                  <w:u w:val="none"/>
                  <w:effect w:val="none"/>
                </w:rPr>
                <w:t>Item 7A.</w:t>
              </w:r>
            </w:hyperlink>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75bec4631da4b22a64426a3a4f02a78_148">
              <w:r>
                <w:rPr>
                  <w:rStyle w:val="InternetLink"/>
                  <w:rFonts w:ascii="Times New Roman;serif" w:hAnsi="Times New Roman;serif"/>
                  <w:b w:val="false"/>
                  <w:strike w:val="false"/>
                  <w:dstrike w:val="false"/>
                  <w:color w:val="000000"/>
                  <w:sz w:val="18"/>
                  <w:u w:val="none"/>
                  <w:effect w:val="none"/>
                </w:rPr>
                <w:t>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75bec4631da4b22a64426a3a4f02a78_148">
              <w:r>
                <w:rPr>
                  <w:rStyle w:val="InternetLink"/>
                  <w:rFonts w:ascii="Times New Roman;serif" w:hAnsi="Times New Roman;serif"/>
                  <w:b w:val="false"/>
                  <w:strike w:val="false"/>
                  <w:dstrike w:val="false"/>
                  <w:color w:val="000000"/>
                  <w:sz w:val="18"/>
                  <w:u w:val="none"/>
                  <w:effect w:val="none"/>
                </w:rPr>
                <w:t>57</w:t>
              </w:r>
            </w:hyperlink>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75bec4631da4b22a64426a3a4f02a78_151">
              <w:r>
                <w:rPr>
                  <w:rStyle w:val="InternetLink"/>
                  <w:rFonts w:ascii="Times New Roman;serif" w:hAnsi="Times New Roman;serif"/>
                  <w:b w:val="false"/>
                  <w:strike w:val="false"/>
                  <w:dstrike w:val="false"/>
                  <w:color w:val="000000"/>
                  <w:sz w:val="18"/>
                  <w:u w:val="none"/>
                  <w:effect w:val="none"/>
                </w:rPr>
                <w:t>Item 8.</w:t>
              </w:r>
            </w:hyperlink>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75bec4631da4b22a64426a3a4f02a78_151">
              <w:r>
                <w:rPr>
                  <w:rStyle w:val="InternetLink"/>
                  <w:rFonts w:ascii="Times New Roman;serif" w:hAnsi="Times New Roman;serif"/>
                  <w:b w:val="false"/>
                  <w:strike w:val="false"/>
                  <w:dstrike w:val="false"/>
                  <w:color w:val="000000"/>
                  <w:sz w:val="18"/>
                  <w:u w:val="none"/>
                  <w:effect w:val="none"/>
                </w:rPr>
                <w:t>Financial Statements and Supplementary Data</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75bec4631da4b22a64426a3a4f02a78_151">
              <w:r>
                <w:rPr>
                  <w:rStyle w:val="InternetLink"/>
                  <w:rFonts w:ascii="Times New Roman;serif" w:hAnsi="Times New Roman;serif"/>
                  <w:b w:val="false"/>
                  <w:strike w:val="false"/>
                  <w:dstrike w:val="false"/>
                  <w:color w:val="000000"/>
                  <w:sz w:val="18"/>
                  <w:u w:val="none"/>
                  <w:effect w:val="none"/>
                </w:rPr>
                <w:t>59</w:t>
              </w:r>
            </w:hyperlink>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75bec4631da4b22a64426a3a4f02a78_256">
              <w:r>
                <w:rPr>
                  <w:rStyle w:val="InternetLink"/>
                  <w:rFonts w:ascii="Times New Roman;serif" w:hAnsi="Times New Roman;serif"/>
                  <w:b w:val="false"/>
                  <w:strike w:val="false"/>
                  <w:dstrike w:val="false"/>
                  <w:color w:val="000000"/>
                  <w:sz w:val="18"/>
                  <w:u w:val="none"/>
                  <w:effect w:val="none"/>
                </w:rPr>
                <w:t>Item 9.</w:t>
              </w:r>
            </w:hyperlink>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75bec4631da4b22a64426a3a4f02a78_256">
              <w:r>
                <w:rPr>
                  <w:rStyle w:val="InternetLink"/>
                  <w:rFonts w:ascii="Times New Roman;serif" w:hAnsi="Times New Roman;serif"/>
                  <w:b w:val="false"/>
                  <w:strike w:val="false"/>
                  <w:dstrike w:val="false"/>
                  <w:color w:val="000000"/>
                  <w:sz w:val="18"/>
                  <w:u w:val="none"/>
                  <w:effect w:val="none"/>
                </w:rPr>
                <w:t>Changes in and Disagreements with Accountants on Accounting and Financial Disclosure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75bec4631da4b22a64426a3a4f02a78_256">
              <w:r>
                <w:rPr>
                  <w:rStyle w:val="InternetLink"/>
                  <w:rFonts w:ascii="Times New Roman;serif" w:hAnsi="Times New Roman;serif"/>
                  <w:b w:val="false"/>
                  <w:strike w:val="false"/>
                  <w:dstrike w:val="false"/>
                  <w:color w:val="000000"/>
                  <w:sz w:val="18"/>
                  <w:u w:val="none"/>
                  <w:effect w:val="none"/>
                </w:rPr>
                <w:t>119</w:t>
              </w:r>
            </w:hyperlink>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75bec4631da4b22a64426a3a4f02a78_259">
              <w:r>
                <w:rPr>
                  <w:rStyle w:val="InternetLink"/>
                  <w:rFonts w:ascii="Times New Roman;serif" w:hAnsi="Times New Roman;serif"/>
                  <w:b w:val="false"/>
                  <w:strike w:val="false"/>
                  <w:dstrike w:val="false"/>
                  <w:color w:val="000000"/>
                  <w:sz w:val="18"/>
                  <w:u w:val="none"/>
                  <w:effect w:val="none"/>
                </w:rPr>
                <w:t>Item 9A.</w:t>
              </w:r>
            </w:hyperlink>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75bec4631da4b22a64426a3a4f02a78_259">
              <w:r>
                <w:rPr>
                  <w:rStyle w:val="InternetLink"/>
                  <w:rFonts w:ascii="Times New Roman;serif" w:hAnsi="Times New Roman;serif"/>
                  <w:b w:val="false"/>
                  <w:strike w:val="false"/>
                  <w:dstrike w:val="false"/>
                  <w:color w:val="000000"/>
                  <w:sz w:val="18"/>
                  <w:u w:val="none"/>
                  <w:effect w:val="none"/>
                </w:rPr>
                <w:t>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75bec4631da4b22a64426a3a4f02a78_259">
              <w:r>
                <w:rPr>
                  <w:rStyle w:val="InternetLink"/>
                  <w:rFonts w:ascii="Times New Roman;serif" w:hAnsi="Times New Roman;serif"/>
                  <w:b w:val="false"/>
                  <w:strike w:val="false"/>
                  <w:dstrike w:val="false"/>
                  <w:color w:val="000000"/>
                  <w:sz w:val="18"/>
                  <w:u w:val="none"/>
                  <w:effect w:val="none"/>
                </w:rPr>
                <w:t>119</w:t>
              </w:r>
            </w:hyperlink>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75bec4631da4b22a64426a3a4f02a78_262">
              <w:r>
                <w:rPr>
                  <w:rStyle w:val="InternetLink"/>
                  <w:rFonts w:ascii="Times New Roman;serif" w:hAnsi="Times New Roman;serif"/>
                  <w:b w:val="false"/>
                  <w:strike w:val="false"/>
                  <w:dstrike w:val="false"/>
                  <w:color w:val="000000"/>
                  <w:sz w:val="18"/>
                  <w:u w:val="none"/>
                  <w:effect w:val="none"/>
                </w:rPr>
                <w:t>Item 9B.</w:t>
              </w:r>
            </w:hyperlink>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75bec4631da4b22a64426a3a4f02a78_262">
              <w:r>
                <w:rPr>
                  <w:rStyle w:val="InternetLink"/>
                  <w:rFonts w:ascii="Times New Roman;serif" w:hAnsi="Times New Roman;serif"/>
                  <w:b w:val="false"/>
                  <w:strike w:val="false"/>
                  <w:dstrike w:val="false"/>
                  <w:color w:val="000000"/>
                  <w:sz w:val="18"/>
                  <w:u w:val="none"/>
                  <w:effect w:val="non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75bec4631da4b22a64426a3a4f02a78_262">
              <w:r>
                <w:rPr>
                  <w:rStyle w:val="InternetLink"/>
                  <w:rFonts w:ascii="Times New Roman;serif" w:hAnsi="Times New Roman;serif"/>
                  <w:b w:val="false"/>
                  <w:strike w:val="false"/>
                  <w:dstrike w:val="false"/>
                  <w:color w:val="000000"/>
                  <w:sz w:val="18"/>
                  <w:u w:val="none"/>
                  <w:effect w:val="none"/>
                </w:rPr>
                <w:t>121</w:t>
              </w:r>
            </w:hyperlink>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9C.</w:t>
            </w:r>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75bec4631da4b22a64426a3a4f02a78_265">
              <w:r>
                <w:rPr>
                  <w:rStyle w:val="InternetLink"/>
                  <w:rFonts w:ascii="Times New Roman;serif" w:hAnsi="Times New Roman;serif"/>
                  <w:b w:val="false"/>
                  <w:strike w:val="false"/>
                  <w:dstrike w:val="false"/>
                  <w:color w:val="000000"/>
                  <w:sz w:val="18"/>
                  <w:u w:val="none"/>
                  <w:effect w:val="none"/>
                </w:rPr>
                <w:t>Disclosure Regarding Foreign Jurisdictions that Prevent Inspections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75bec4631da4b22a64426a3a4f02a78_262">
              <w:r>
                <w:rPr>
                  <w:rStyle w:val="InternetLink"/>
                  <w:rFonts w:ascii="Times New Roman;serif" w:hAnsi="Times New Roman;serif"/>
                  <w:b w:val="false"/>
                  <w:strike w:val="false"/>
                  <w:dstrike w:val="false"/>
                  <w:color w:val="000000"/>
                  <w:sz w:val="18"/>
                  <w:u w:val="none"/>
                  <w:effect w:val="none"/>
                </w:rPr>
                <w:t>121</w:t>
              </w:r>
            </w:hyperlink>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75bec4631da4b22a64426a3a4f02a78_268">
              <w:r>
                <w:rPr>
                  <w:rStyle w:val="InternetLink"/>
                  <w:rFonts w:ascii="Times New Roman;serif" w:hAnsi="Times New Roman;serif"/>
                  <w:b/>
                  <w:strike w:val="false"/>
                  <w:dstrike w:val="false"/>
                  <w:color w:val="000000"/>
                  <w:sz w:val="18"/>
                  <w:u w:val="none"/>
                  <w:effect w:val="none"/>
                </w:rPr>
                <w:t>PART III</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75bec4631da4b22a64426a3a4f02a78_271">
              <w:r>
                <w:rPr>
                  <w:rStyle w:val="InternetLink"/>
                  <w:rFonts w:ascii="Times New Roman;serif" w:hAnsi="Times New Roman;serif"/>
                  <w:b w:val="false"/>
                  <w:strike w:val="false"/>
                  <w:dstrike w:val="false"/>
                  <w:color w:val="000000"/>
                  <w:sz w:val="18"/>
                  <w:u w:val="none"/>
                  <w:effect w:val="none"/>
                </w:rPr>
                <w:t>Item 10.</w:t>
              </w:r>
            </w:hyperlink>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75bec4631da4b22a64426a3a4f02a78_271">
              <w:r>
                <w:rPr>
                  <w:rStyle w:val="InternetLink"/>
                  <w:rFonts w:ascii="Times New Roman;serif" w:hAnsi="Times New Roman;serif"/>
                  <w:b w:val="false"/>
                  <w:strike w:val="false"/>
                  <w:dstrike w:val="false"/>
                  <w:color w:val="000000"/>
                  <w:sz w:val="18"/>
                  <w:u w:val="none"/>
                  <w:effect w:val="none"/>
                </w:rPr>
                <w:t>Directors, Executive Officers and Corporate Governance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75bec4631da4b22a64426a3a4f02a78_271">
              <w:r>
                <w:rPr>
                  <w:rStyle w:val="InternetLink"/>
                  <w:rFonts w:ascii="Times New Roman;serif" w:hAnsi="Times New Roman;serif"/>
                  <w:b w:val="false"/>
                  <w:strike w:val="false"/>
                  <w:dstrike w:val="false"/>
                  <w:color w:val="000000"/>
                  <w:sz w:val="18"/>
                  <w:u w:val="none"/>
                  <w:effect w:val="none"/>
                </w:rPr>
                <w:t>122</w:t>
              </w:r>
            </w:hyperlink>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75bec4631da4b22a64426a3a4f02a78_274">
              <w:r>
                <w:rPr>
                  <w:rStyle w:val="InternetLink"/>
                  <w:rFonts w:ascii="Times New Roman;serif" w:hAnsi="Times New Roman;serif"/>
                  <w:b w:val="false"/>
                  <w:strike w:val="false"/>
                  <w:dstrike w:val="false"/>
                  <w:color w:val="000000"/>
                  <w:sz w:val="18"/>
                  <w:u w:val="none"/>
                  <w:effect w:val="none"/>
                </w:rPr>
                <w:t>Item 11.</w:t>
              </w:r>
            </w:hyperlink>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75bec4631da4b22a64426a3a4f02a78_274">
              <w:r>
                <w:rPr>
                  <w:rStyle w:val="InternetLink"/>
                  <w:rFonts w:ascii="Times New Roman;serif" w:hAnsi="Times New Roman;serif"/>
                  <w:b w:val="false"/>
                  <w:strike w:val="false"/>
                  <w:dstrike w:val="false"/>
                  <w:color w:val="000000"/>
                  <w:sz w:val="18"/>
                  <w:u w:val="none"/>
                  <w:effect w:val="none"/>
                </w:rPr>
                <w:t>Executive Compensation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75bec4631da4b22a64426a3a4f02a78_274">
              <w:r>
                <w:rPr>
                  <w:rStyle w:val="InternetLink"/>
                  <w:rFonts w:ascii="Times New Roman;serif" w:hAnsi="Times New Roman;serif"/>
                  <w:b w:val="false"/>
                  <w:strike w:val="false"/>
                  <w:dstrike w:val="false"/>
                  <w:color w:val="000000"/>
                  <w:sz w:val="18"/>
                  <w:u w:val="none"/>
                  <w:effect w:val="none"/>
                </w:rPr>
                <w:t>122</w:t>
              </w:r>
            </w:hyperlink>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75bec4631da4b22a64426a3a4f02a78_277">
              <w:r>
                <w:rPr>
                  <w:rStyle w:val="InternetLink"/>
                  <w:rFonts w:ascii="Times New Roman;serif" w:hAnsi="Times New Roman;serif"/>
                  <w:b w:val="false"/>
                  <w:strike w:val="false"/>
                  <w:dstrike w:val="false"/>
                  <w:color w:val="000000"/>
                  <w:sz w:val="18"/>
                  <w:u w:val="none"/>
                  <w:effect w:val="none"/>
                </w:rPr>
                <w:t>Item 12.</w:t>
              </w:r>
            </w:hyperlink>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75bec4631da4b22a64426a3a4f02a78_277">
              <w:r>
                <w:rPr>
                  <w:rStyle w:val="InternetLink"/>
                  <w:rFonts w:ascii="Times New Roman;serif" w:hAnsi="Times New Roman;serif"/>
                  <w:b w:val="false"/>
                  <w:strike w:val="false"/>
                  <w:dstrike w:val="false"/>
                  <w:color w:val="000000"/>
                  <w:sz w:val="18"/>
                  <w:u w:val="none"/>
                  <w:effect w:val="none"/>
                </w:rPr>
                <w:t>Security Ownership of Certain Beneficial Owners and Management and Related Stockholder Matters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75bec4631da4b22a64426a3a4f02a78_277">
              <w:r>
                <w:rPr>
                  <w:rStyle w:val="InternetLink"/>
                  <w:rFonts w:ascii="Times New Roman;serif" w:hAnsi="Times New Roman;serif"/>
                  <w:b w:val="false"/>
                  <w:strike w:val="false"/>
                  <w:dstrike w:val="false"/>
                  <w:color w:val="000000"/>
                  <w:sz w:val="18"/>
                  <w:u w:val="none"/>
                  <w:effect w:val="none"/>
                </w:rPr>
                <w:t>122</w:t>
              </w:r>
            </w:hyperlink>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75bec4631da4b22a64426a3a4f02a78_280">
              <w:r>
                <w:rPr>
                  <w:rStyle w:val="InternetLink"/>
                  <w:rFonts w:ascii="Times New Roman;serif" w:hAnsi="Times New Roman;serif"/>
                  <w:b w:val="false"/>
                  <w:strike w:val="false"/>
                  <w:dstrike w:val="false"/>
                  <w:color w:val="000000"/>
                  <w:sz w:val="18"/>
                  <w:u w:val="none"/>
                  <w:effect w:val="none"/>
                </w:rPr>
                <w:t>Item 13.</w:t>
              </w:r>
            </w:hyperlink>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75bec4631da4b22a64426a3a4f02a78_280">
              <w:r>
                <w:rPr>
                  <w:rStyle w:val="InternetLink"/>
                  <w:rFonts w:ascii="Times New Roman;serif" w:hAnsi="Times New Roman;serif"/>
                  <w:b w:val="false"/>
                  <w:strike w:val="false"/>
                  <w:dstrike w:val="false"/>
                  <w:color w:val="000000"/>
                  <w:sz w:val="18"/>
                  <w:u w:val="none"/>
                  <w:effect w:val="none"/>
                </w:rPr>
                <w:t>Certain Relationships and Related Transactions, and Director Independence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75bec4631da4b22a64426a3a4f02a78_280">
              <w:r>
                <w:rPr>
                  <w:rStyle w:val="InternetLink"/>
                  <w:rFonts w:ascii="Times New Roman;serif" w:hAnsi="Times New Roman;serif"/>
                  <w:b w:val="false"/>
                  <w:strike w:val="false"/>
                  <w:dstrike w:val="false"/>
                  <w:color w:val="000000"/>
                  <w:sz w:val="18"/>
                  <w:u w:val="none"/>
                  <w:effect w:val="none"/>
                </w:rPr>
                <w:t>122</w:t>
              </w:r>
            </w:hyperlink>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75bec4631da4b22a64426a3a4f02a78_283">
              <w:r>
                <w:rPr>
                  <w:rStyle w:val="InternetLink"/>
                  <w:rFonts w:ascii="Times New Roman;serif" w:hAnsi="Times New Roman;serif"/>
                  <w:b w:val="false"/>
                  <w:strike w:val="false"/>
                  <w:dstrike w:val="false"/>
                  <w:color w:val="000000"/>
                  <w:sz w:val="18"/>
                  <w:u w:val="none"/>
                  <w:effect w:val="none"/>
                </w:rPr>
                <w:t>Item 14.</w:t>
              </w:r>
            </w:hyperlink>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75bec4631da4b22a64426a3a4f02a78_283">
              <w:r>
                <w:rPr>
                  <w:rStyle w:val="InternetLink"/>
                  <w:rFonts w:ascii="Times New Roman;serif" w:hAnsi="Times New Roman;serif"/>
                  <w:b w:val="false"/>
                  <w:strike w:val="false"/>
                  <w:dstrike w:val="false"/>
                  <w:color w:val="000000"/>
                  <w:sz w:val="18"/>
                  <w:u w:val="none"/>
                  <w:effect w:val="none"/>
                </w:rPr>
                <w:t>Principal Accountant Fees and Services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75bec4631da4b22a64426a3a4f02a78_283">
              <w:r>
                <w:rPr>
                  <w:rStyle w:val="InternetLink"/>
                  <w:rFonts w:ascii="Times New Roman;serif" w:hAnsi="Times New Roman;serif"/>
                  <w:b w:val="false"/>
                  <w:strike w:val="false"/>
                  <w:dstrike w:val="false"/>
                  <w:color w:val="000000"/>
                  <w:sz w:val="18"/>
                  <w:u w:val="none"/>
                  <w:effect w:val="none"/>
                </w:rPr>
                <w:t>122</w:t>
              </w:r>
            </w:hyperlink>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75bec4631da4b22a64426a3a4f02a78_286">
              <w:r>
                <w:rPr>
                  <w:rStyle w:val="InternetLink"/>
                  <w:rFonts w:ascii="Times New Roman;serif" w:hAnsi="Times New Roman;serif"/>
                  <w:b/>
                  <w:strike w:val="false"/>
                  <w:dstrike w:val="false"/>
                  <w:color w:val="000000"/>
                  <w:sz w:val="18"/>
                  <w:u w:val="none"/>
                  <w:effect w:val="none"/>
                </w:rPr>
                <w:t>PART IV</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75bec4631da4b22a64426a3a4f02a78_289">
              <w:r>
                <w:rPr>
                  <w:rStyle w:val="InternetLink"/>
                  <w:rFonts w:ascii="Times New Roman;serif" w:hAnsi="Times New Roman;serif"/>
                  <w:b w:val="false"/>
                  <w:strike w:val="false"/>
                  <w:dstrike w:val="false"/>
                  <w:color w:val="000000"/>
                  <w:sz w:val="18"/>
                  <w:u w:val="none"/>
                  <w:effect w:val="none"/>
                </w:rPr>
                <w:t>Item 15.</w:t>
              </w:r>
            </w:hyperlink>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75bec4631da4b22a64426a3a4f02a78_289">
              <w:r>
                <w:rPr>
                  <w:rStyle w:val="InternetLink"/>
                  <w:rFonts w:ascii="Times New Roman;serif" w:hAnsi="Times New Roman;serif"/>
                  <w:b w:val="false"/>
                  <w:strike w:val="false"/>
                  <w:dstrike w:val="false"/>
                  <w:color w:val="000000"/>
                  <w:sz w:val="18"/>
                  <w:u w:val="none"/>
                  <w:effect w:val="none"/>
                </w:rPr>
                <w:t>Exhibits and Financial Statement Schedules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75bec4631da4b22a64426a3a4f02a78_289">
              <w:r>
                <w:rPr>
                  <w:rStyle w:val="InternetLink"/>
                  <w:rFonts w:ascii="Times New Roman;serif" w:hAnsi="Times New Roman;serif"/>
                  <w:b w:val="false"/>
                  <w:strike w:val="false"/>
                  <w:dstrike w:val="false"/>
                  <w:color w:val="000000"/>
                  <w:sz w:val="18"/>
                  <w:u w:val="none"/>
                  <w:effect w:val="none"/>
                </w:rPr>
                <w:t>123</w:t>
              </w:r>
            </w:hyperlink>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16.</w:t>
            </w:r>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75bec4631da4b22a64426a3a4f02a78_292">
              <w:r>
                <w:rPr>
                  <w:rStyle w:val="InternetLink"/>
                  <w:rFonts w:ascii="Times New Roman;serif" w:hAnsi="Times New Roman;serif"/>
                  <w:b w:val="false"/>
                  <w:strike w:val="false"/>
                  <w:dstrike w:val="false"/>
                  <w:color w:val="000000"/>
                  <w:sz w:val="18"/>
                  <w:u w:val="none"/>
                  <w:effect w:val="none"/>
                </w:rPr>
                <w:t>Form 10-K Summary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75bec4631da4b22a64426a3a4f02a78_292">
              <w:r>
                <w:rPr>
                  <w:rStyle w:val="InternetLink"/>
                  <w:rFonts w:ascii="Times New Roman;serif" w:hAnsi="Times New Roman;serif"/>
                  <w:b w:val="false"/>
                  <w:strike w:val="false"/>
                  <w:dstrike w:val="false"/>
                  <w:color w:val="000000"/>
                  <w:sz w:val="18"/>
                  <w:u w:val="none"/>
                  <w:effect w:val="none"/>
                </w:rPr>
                <w:t>123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989" w:type="dxa"/>
        <w:jc w:val="left"/>
        <w:tblInd w:w="0" w:type="dxa"/>
        <w:tblLayout w:type="fixed"/>
        <w:tblCellMar>
          <w:top w:w="28" w:type="dxa"/>
          <w:left w:w="28" w:type="dxa"/>
          <w:bottom w:w="28" w:type="dxa"/>
          <w:right w:w="28" w:type="dxa"/>
        </w:tblCellMar>
      </w:tblPr>
      <w:tblGrid>
        <w:gridCol w:w="316"/>
        <w:gridCol w:w="278"/>
        <w:gridCol w:w="395"/>
      </w:tblGrid>
      <w:tr>
        <w:trPr/>
        <w:tc>
          <w:tcPr>
            <w:tcW w:w="31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PART I</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erif" w:hAnsi="Times New Roman;serif"/>
          <w:b/>
          <w:color w:val="000000"/>
          <w:sz w:val="18"/>
        </w:rPr>
      </w:pPr>
      <w:r>
        <w:rPr>
          <w:rFonts w:ascii="Times New Roman;serif" w:hAnsi="Times New Roman;serif"/>
          <w:b/>
          <w:color w:val="000000"/>
          <w:sz w:val="18"/>
        </w:rPr>
        <w:t>ITEM 1.  BUSINESS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Overview</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The Brink’s Company is a leading global provider of cash and valuables management, digital retail solutions, and ATM managed services. Our customers include financial institutions, retailers, government agencies, mints, jewelers and other commercial operations around the world. Our global network serves customers in more than 100 countries. We have controlling ownership interests in companies in 51 countries and agency relationships with companies in additional countries. We employ approximately 65,400 people and our operations include approximately 1,200 facilities and 15,900 vehicles.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We manage our business in the following four segments: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North America – operations in the U.S. and Canada, including the Brink’s Global Services ("BGS") line of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Latin America – operations in Latin American countries where we have an ownership interest, including the BGS line of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 xml:space="preserve">Europe – predominantly operations in European countries that primarily provide services outside of the BGS line of business, and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Rest of World – operations in the Middle East, Africa and Asia. This segment also includes total operations in European countries that primarily provide BGS services and BGS activity in Latin American countries where we do not have an ownership interest.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Brink’s was founded in 1859 and The Brink’s Company was first incorporated in 1930 under the laws of the State of Delaware (at that time, the Company was named The Pittston Company). It succeeded to the business of a Virginia corporation in 1986 and was renamed The Brink’s Company in 2003. Our headquarters are located in Richmond, Virginia. The Brink’s Company, along with its subsidiaries, is referred to as “we,” “our,”, “us,” “Brink’s,” or “the Company” throughout this Annual Report on Form 10-K for the period ended December 31, 2025 ("this Form 10-K").</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1445"/>
                <wp:effectExtent l="0" t="0" r="0" b="0"/>
                <wp:wrapNone/>
                <wp:docPr id="3" name="Frame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Strategy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Our strategy is centered on delivering a superior customer experience and driving continuous improvement. Our four strategic pillars are: (1) Partner for Customer Success, (2) Innovate to Grow, (3) Run the Business Better and (4) Win as Team Brink’s. Our organizational purpose, “Together, we build partnerships to secure commerce” aligns our global workforce around a common, values-driven framework with a focus 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Placing customers at the center of everything we do and understanding their current and future needs to better define our value proposition;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Leveraging technology to drive product and business innovation to maintain our competitive advantage and increase revenue;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Sharing infrastructure and best practices across our operations to increase scale and profitability;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Establishing a workplace and employer brand that attracts, develops, and empowers the talent needed to ensure we have the best people and perspectives to achieve our goals.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We will prioritize Partnering for Customer Success by creating a consistent and exceptional experience across all service lines and deploying sales fundamentals and standardized processes.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will Innovate to Grow by using tech-enabled solutions to introduce new value propositions and optimize operations, challenging convention to differentiate our services and reshape our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will achieve operational excellence as we Run the Business Better by leveraging the Brink's Business System to drive a continuous improvement culture focused on customer experience and by building scale by sharing activities, infrastructure and knowledge.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will Win as Team Brink's by unleashing the power of our people through attracting, developing, and empowering the best people, strengthening core competencies across the company and fostering a culture that inspires excellence.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 xml:space="preserve">We are focusing on the implementation of the strategic pillars across our service lines: Cash and Valuables Management, Digital Retail Solutions and ATM Managed Services. We remain focused on how </w:t>
      </w:r>
      <w:r>
        <w:rPr>
          <w:rFonts w:ascii="Times New Roman;serif" w:hAnsi="Times New Roman;serif"/>
          <w:b w:val="false"/>
          <w:color w:val="010000"/>
          <w:sz w:val="18"/>
        </w:rPr>
        <w:t>we will accelerate revenue growth, margin improvement and cash flows and position Brink’s to win across the evolving payments ecosystem.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4"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Services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We design customized services to meet the needs of our customers. We enter into contracts with our customers to establish pricing and other terms. Cash logistics services contracts usually cover an initial term of at least one year and in many cases one to three years, and generally remain in effect thereafter until canceled by either party. Contracts for cash management services, digital retail solutions, and ATM managed services are typically longer. Following are descriptions of our service offerings: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u w:val="single"/>
        </w:rPr>
      </w:pPr>
      <w:r>
        <w:rPr>
          <w:rFonts w:ascii="Times New Roman;serif" w:hAnsi="Times New Roman;serif"/>
          <w:b/>
          <w:color w:val="000000"/>
          <w:sz w:val="18"/>
          <w:u w:val="single"/>
        </w:rPr>
        <w:t>Cash and Valuables Management ("CVS") (72% of total revenues in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CVS services are provided to customers throughout the world. Revenues are affected by the level of economic activity in various markets as well as the volume of business for specific customers. Cash management includes the secure transportation, handling and storage of currency for retail and financial institution customers. Valuables management includes the transportation and storage of banknotes, precious metals and other valuables across the world. These services may be impacted by global economic conditions, interest rates as well as regional demand for precious metals and luxury goods. CVS services generated approximately $3.8 billion of revenues in 2025 ($3.8 billion in 2024 and $3.9 billion in 2023).</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These services include: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u w:val="single"/>
        </w:rPr>
        <w:t>Cash-in-transit services</w:t>
      </w:r>
      <w:r>
        <w:rPr>
          <w:color w:val="000000"/>
        </w:rPr>
        <w:t xml:space="preserve"> – </w:t>
      </w:r>
      <w:r>
        <w:rPr>
          <w:rFonts w:ascii="Times New Roman;serif" w:hAnsi="Times New Roman;serif"/>
          <w:b w:val="false"/>
          <w:color w:val="000000"/>
          <w:sz w:val="18"/>
        </w:rPr>
        <w:t>Serving customers since 1859, our success in cash-in-transit ("CIT") is driven by a combination of rigorous security practices, high-quality customer service, risk management and logistics expertise. CIT services include the secure transportation of cash between retail businesses and financial institutions, such as banks and credit unions; cash, securities and other valuables between commercial banks, central banks and investment banking and brokerage firms; and new currency, coins, bullion and precious metals for central banks and other customers.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u w:val="single"/>
        </w:rPr>
        <w:t>Basic ATM services</w:t>
      </w:r>
      <w:r>
        <w:rPr>
          <w:color w:val="000000"/>
        </w:rPr>
        <w:t xml:space="preserve"> – </w:t>
      </w:r>
      <w:r>
        <w:rPr>
          <w:rFonts w:ascii="Times New Roman;serif" w:hAnsi="Times New Roman;serif"/>
          <w:b w:val="false"/>
          <w:color w:val="000000"/>
          <w:sz w:val="18"/>
        </w:rPr>
        <w:t xml:space="preserve">We provide customers who own and operate ATMs a variety of service options. Basic ATM services include cash replenishment, treasury management and first line maintenance.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u w:val="single"/>
        </w:rPr>
        <w:t>Brink's Global Services ("BGS")</w:t>
      </w:r>
      <w:r>
        <w:rPr>
          <w:color w:val="000000"/>
        </w:rPr>
        <w:t xml:space="preserve"> – </w:t>
      </w:r>
      <w:r>
        <w:rPr>
          <w:rFonts w:ascii="Times New Roman;serif" w:hAnsi="Times New Roman;serif"/>
          <w:b w:val="false"/>
          <w:color w:val="000000"/>
          <w:sz w:val="18"/>
        </w:rPr>
        <w:t xml:space="preserve">Serving customers in more than 100 countries, BGS is a leading global provider of secure transport of high-value commodities and goods, including diamonds, jewelry, luxury goods, precious metals, securities, banknotes, currency, high-tech devices, electronics, pharmaceuticals and fine art. Additional BGS services include pick-up, packaging, customs clearance, secure storage and inventory management. BGS also has specialized diamond and jewelry operations in the world’s major diamond and jewelry centers.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u w:val="single"/>
        </w:rPr>
        <w:t>Cash management services</w:t>
      </w:r>
      <w:r>
        <w:rPr>
          <w:color w:val="000000"/>
        </w:rPr>
        <w:t xml:space="preserve"> – </w:t>
      </w:r>
      <w:r>
        <w:rPr>
          <w:rFonts w:ascii="Times New Roman;serif" w:hAnsi="Times New Roman;serif"/>
          <w:b w:val="false"/>
          <w:color w:val="000000"/>
          <w:sz w:val="18"/>
        </w:rPr>
        <w:t>We offer a variety of cash management services, depending on customers’ unique needs. These include money processing (e.g., counting, sorting, wrapping, checking condition of bills, etc.), check imaging services and other cash management services (e.g., cashier balancing, counterfeit detection, account consolidation and electronic reporting).</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u w:val="single"/>
        </w:rPr>
        <w:t>Vaulting services</w:t>
      </w:r>
      <w:r>
        <w:rPr>
          <w:color w:val="000000"/>
        </w:rPr>
        <w:t xml:space="preserve"> – </w:t>
      </w:r>
      <w:r>
        <w:rPr>
          <w:rFonts w:ascii="Times New Roman;serif" w:hAnsi="Times New Roman;serif"/>
          <w:b w:val="false"/>
          <w:color w:val="000000"/>
          <w:sz w:val="18"/>
        </w:rPr>
        <w:t>Vaulting services combine CIT services, cash management services, vaulting and electronic reporting technologies to help banks expand into new markets while minimizing investment in vaults and branch facilities. In addition to providing secure storage, we process deposits, provide check imaging and reconciliation services, perform currency inventory management, process ATM replenishment orders and electronically transmit banking transactions.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u w:val="single"/>
        </w:rPr>
        <w:t>Other Services</w:t>
      </w:r>
      <w:r>
        <w:rPr>
          <w:color w:val="000000"/>
        </w:rPr>
        <w:t xml:space="preserve"> – </w:t>
      </w:r>
      <w:r>
        <w:rPr>
          <w:rFonts w:ascii="Times New Roman;serif" w:hAnsi="Times New Roman;serif"/>
          <w:b w:val="false"/>
          <w:color w:val="000000"/>
          <w:sz w:val="18"/>
        </w:rPr>
        <w:t>Guarding services, commercial security systems services, and payment services.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u w:val="single"/>
        </w:rPr>
      </w:pPr>
      <w:r>
        <w:rPr>
          <w:rFonts w:ascii="Times New Roman;serif" w:hAnsi="Times New Roman;serif"/>
          <w:b/>
          <w:color w:val="000000"/>
          <w:sz w:val="18"/>
          <w:u w:val="single"/>
        </w:rPr>
        <w:t>Digital Retail Solutions ("DRS"), and ATM Managed Services ("AMS") (28% of total revenues in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DRS and AMS are technology-enabled services provided to customers throughout the world. Revenues are typically contractually recurring with multi-year terms. DRS and AMS services generated approximately $1.5 billion of revenues in 2025 ($1.2 billion in 2024 and $1.0 billion in 2023).</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u w:val="single"/>
        </w:rPr>
        <w:t>Digital Retail Solutions</w:t>
      </w:r>
      <w:r>
        <w:rPr>
          <w:color w:val="000000"/>
        </w:rPr>
        <w:t xml:space="preserve"> – </w:t>
      </w:r>
      <w:r>
        <w:rPr>
          <w:rFonts w:ascii="Times New Roman;serif" w:hAnsi="Times New Roman;serif"/>
          <w:b w:val="false"/>
          <w:color w:val="000000"/>
          <w:sz w:val="18"/>
        </w:rPr>
        <w:t>Our DRS offerings are a combination of smart devices, software, analytics, and services to offer customers of all sizes an integrated and flawless solution to their cash management needs. They typically provide customers with a convenient solution offering more transparency, faster access to working capital, and integration into their unique operating systems. DRS includes our patented Brink’s Complete</w:t>
      </w:r>
      <w:r>
        <w:rPr>
          <w:rFonts w:ascii="Times New Roman;serif" w:hAnsi="Times New Roman;serif"/>
          <w:b w:val="false"/>
          <w:color w:val="000000"/>
          <w:sz w:val="12"/>
        </w:rPr>
        <w:t>TM</w:t>
      </w:r>
      <w:r>
        <w:rPr>
          <w:color w:val="000000"/>
        </w:rPr>
        <w:t xml:space="preserve"> </w:t>
      </w:r>
      <w:r>
        <w:rPr>
          <w:rFonts w:ascii="Times New Roman;serif" w:hAnsi="Times New Roman;serif"/>
          <w:b w:val="false"/>
          <w:color w:val="000000"/>
          <w:sz w:val="18"/>
        </w:rPr>
        <w:t>and CompuSafe® services.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u w:val="single"/>
        </w:rPr>
        <w:t>ATM Managed Services</w:t>
      </w:r>
      <w:r>
        <w:rPr>
          <w:color w:val="000000"/>
        </w:rPr>
        <w:t xml:space="preserve"> – </w:t>
      </w:r>
      <w:r>
        <w:rPr>
          <w:rFonts w:ascii="Times New Roman;serif" w:hAnsi="Times New Roman;serif"/>
          <w:b w:val="false"/>
          <w:color w:val="000000"/>
          <w:sz w:val="18"/>
        </w:rPr>
        <w:t xml:space="preserve">We provide comprehensive services for ATM management, including cash forecasting, cash optimization, remote monitoring, service call dispatching, transaction processing, first and second line maintenance, parts provisioning, funds settlements and installation services. AMS provides an economical solution for financial institutions, retailers and independent ATM owners to outsource day-to-day operation of ATMs. For certain customers, we take ownership of ATM devices as part of our managed services offering. </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1445"/>
                <wp:effectExtent l="0" t="0" r="0" b="0"/>
                <wp:wrapNone/>
                <wp:docPr id="5"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Industry and Competition</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Brink’s competes with large multinational, regional and smaller companies throughout the world. Our largest multinational competitors are Loomis AB (Sweden); Prosegur, Compania de Seguridad, S.A. (Spain); and GardaWorld Security Corporation (Canada).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believe the primary factors in attracting and retaining customers are security expertise, service quality, value-added solutions and price. Our competitive advantages include: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brand name recognition;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reputation for a high level of service and security;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risk management and logistics expertise;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global network and customer base;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proven operational excellence,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high-quality insurance coverage and financial strength.</w:t>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Although we face competitive pricing pressure in many markets, we resist competing on price alone. We believe our high levels of service, security expertise and value-added solutions differentiate us from competitors.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Seasonality</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Our revenues and earnings are typically higher in the second half of the year, particularly in the fourth quarter, due to generally increased customer activity associated with seasonal demand.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Insurance Coverage</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availability of high-quality and reliable insurance coverage is an important factor in our ability to attract and retain customers and manage the risks inherent in our business. We purchase insurance coverage for losses in excess of what we consider to be prudent levels of self-insurance. Our insurance policies cover losses from most causes, with the exception of war, nuclear risk and certain other exclusions typical in such policies.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Insurance for security is provided by different groups of underwriters at negotiated rates and terms. Premiums fluctuate depending on market conditions. The security loss experience of Brink’s and, to a limited extent, other armored carriers affect our premium rates.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Service Mark and Patents</w:t>
      </w:r>
    </w:p>
    <w:p>
      <w:pPr>
        <w:pStyle w:val="TextBody"/>
        <w:bidi w:val="0"/>
        <w:spacing w:lineRule="auto" w:line="288" w:before="0" w:after="0"/>
        <w:jc w:val="left"/>
        <w:rPr/>
      </w:pPr>
      <w:r>
        <w:rPr>
          <w:rFonts w:ascii="Times New Roman;serif" w:hAnsi="Times New Roman;serif"/>
          <w:b w:val="false"/>
          <w:color w:val="000000"/>
          <w:sz w:val="18"/>
        </w:rPr>
        <w:t>BRINKS is a registered service mark in the U.S. and certain foreign countries. Brink's name and marks are of material significance to our business. We own patents for safes, cash devices and related processes, including Brink’s Complete</w:t>
      </w:r>
      <w:r>
        <w:rPr>
          <w:rFonts w:ascii="Times New Roman;serif" w:hAnsi="Times New Roman;serif"/>
          <w:b w:val="false"/>
          <w:color w:val="000000"/>
          <w:sz w:val="12"/>
        </w:rPr>
        <w:t>TM</w:t>
      </w:r>
      <w:r>
        <w:rPr>
          <w:rFonts w:ascii="Times New Roman;serif" w:hAnsi="Times New Roman;serif"/>
          <w:b w:val="false"/>
          <w:color w:val="000000"/>
          <w:sz w:val="18"/>
        </w:rPr>
        <w:t>, CompuSafe</w:t>
      </w:r>
      <w:r>
        <w:rPr>
          <w:rFonts w:ascii="Times New Roman;serif" w:hAnsi="Times New Roman;serif"/>
          <w:b w:val="false"/>
          <w:color w:val="000000"/>
          <w:sz w:val="12"/>
        </w:rPr>
        <w:t>®</w:t>
      </w:r>
      <w:r>
        <w:rPr>
          <w:rFonts w:ascii="Times New Roman;serif" w:hAnsi="Times New Roman;serif"/>
          <w:b w:val="false"/>
          <w:color w:val="000000"/>
          <w:sz w:val="18"/>
        </w:rPr>
        <w:t>, iDeposit, and Daily Credit. Brink's patents will expire between 2028 and 2040. These patents provide us with important advantages. However, we are not dependent on the existence of these patents.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We have licensed the Brink’s name to a limited number of companies, including a company that provides residential smart home and home security services and a distributor of security products (padlocks, door hardware, etc.) to customers through major retail chains.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Government Regulation</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Aspects of our business are, and anticipated products and services may be, subject to regulation by various federal, state and foreign governmental agencies. Various federal, state and local agencies in the U.S. and other countries in which we operate regulate certain current aspects of our business, in areas such as commercial lending, safety of operations, equipment and financial responsibility. Movement of valuable shipments are generally subject to import/export regulations. We are also subject to certain firearm regulations in connection with our armored logistics operations. We must comply with licensing, permits and registration requirements imposed by various federal, state and local governmental agencies in the U.S. and other countries in which we operate. Our permits and licensing requirements vary by jurisdiction based on the scope of business conducted and applicable laws and regulations.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Human Capital Management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 xml:space="preserve">Purpose and Values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At Brink’s, our purpose is: Together, we build partnerships to secure commerce. The values underpinning our company culture are: We Drive Customer Success, We Strive for Excellence, We Protect, We Work Together, and We Do What’s Right. Our purpose and values are action-oriented and relevant to our current business, emphasize our collective effort, and ensure that we work safely to protect ourselves and others, consider the customer first in all we do, display the highest standards of ethics, engage and empower employees, and continually find new ways to improve the way we work.</w:t>
      </w:r>
    </w:p>
    <w:p>
      <w:pPr>
        <w:pStyle w:val="TextBody"/>
        <w:bidi w:val="0"/>
        <w:spacing w:before="0" w:after="0"/>
        <w:jc w:val="both"/>
        <w:rPr/>
      </w:pPr>
      <w:r>
        <w:rPr/>
      </w:r>
    </w:p>
    <w:p>
      <w:pPr>
        <w:pStyle w:val="TextBody"/>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With our purpose and values in mind, our Company-wide roadmap for our future (#Team Brink's - Better Together) embraces an enterprise-first mindset and reflects our continuing aspirations to be a global team working together to inspire trust, create value, and achieve excellence. Our purpose and values unite our team members around behaviors that guide our work across the organization and with our partners.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1445"/>
                <wp:effectExtent l="0" t="0" r="0" b="0"/>
                <wp:wrapNone/>
                <wp:docPr id="6"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Workforce Demographics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We have a culturally and geographically varied workforce that serves customers in more than 100 countries. Based upon business demand, we have a need for a flexible workforce. In certain geographic regions, statutory employee protections may limit our ability to increase or decrease our workforce without significant expense.</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At December 31, 2025, our company had approximately 63,600 full-time and 1,800 part-time employees. Approximately 89% or 58,000 of our employees are outside the United States. Of our approximately 7,400 employees in the United States, approximately 100 were classified as part-time employees. Certain employees in the United States provide corporate services for the various regions in which we operate.</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During 2025, we continued our efforts towards developing a talent pool to meet the ever-changing needs of our business. Specifically, we maintained focus on enhancing talent planning for critical roles, identifying high potential employees and enhancing our brand attractiveness by further establishing Brink’s as a company that is relevant, digital and growing. We also continually evaluate, and seek to maintain, the competitiveness of our compensation and benefits programs to assist with talent attraction and retention.</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Our commitment to engaging with our employees is a key component of our culture. In 2025, we launched a global engagement survey (the Employee Voice Program) to better understand employees’ perspectives and the factors that influence their experience at work. The survey addressed key aspects of the employee experience, including workplace culture, leadership and communication, career development opportunities, and overall engagement. The insights gained from the survey are being used to help strengthen our culture, enhance employee experience, and position the organization for long-term success.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Globally, we continue to communicate our vision of a winning culture to our leadership teams and reinforce our values through leadership capability-building programs (including our PowerYourTalent training) and streamlined performance reviews. We offer a range of developmental programs designed to strengthen leadership capabilities and effectiveness across the Company. These efforts are aimed at increasing organizational talent and capabilities and identifying and developing potential successors for key leadership positions.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Employee Safety and Wellness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Employee safety is of paramount importance as we strive to bring every employee home safely every night. We maintain our commitment to providing a safe workplace that protects against and limits personal injury and other types of harm for our employees and the communities in which we operate. We also follow international standards and regulations for employee safety and evaluate risks using both government-required procedures and best practices to ensure that we understand residual risk and appropriately protect our employees.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We believe in supporting our employees’ health and well-being. We offer our employees a wide array of market-competitive benefits tailored to the jurisdictions in which we operate, including life and health coverage and mental health resources. In addition, we offer fertility benefits for our U.S. employees.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Talent</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To maintain a competitive workforce, we continually evolve and enhance how we train, identify and promote key talent. We also regularly evaluate and improve our employee review process – encouraging regular performance reviews and feedback that set clear expectations, motivate employees and reinforce the connection between pay and performance.</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We are committed to accelerating the development of our leaders through various programs such as our “Future Leaders” program, which is designed to build capable and confident leaders who can lead and inspire our workforce in an ever-changing environment. Future Leaders is an intense and immersive 12-month leadership development program for our emerging leaders.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Our Talent Philosophy reflects a clear and consistent approach to how we define great performance, support development, and grow as an organization. It is built on two core principles: what we achieve and how we achieve it. We recognize not only results, but also the behaviors and values, such as collaboration, accountability, and integrity, that strengthen our culture and drive sustainable success. This philosophy provides a shared framework for aligning expectations, fostering growth, and creating a high-performing, values-driven organization.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Labor Relations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As of December 31, 2025, approximately 27,700 of our employees in various countries in which we operate, or approximately 42% of our total workforce, were represented by trade union organizations and/or covered by collective bargaining agreements, which have various expiration dates from 2026 to 2029. We believe our employee relations are satisfactory.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Sustainability Program</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For more information on our Sustainability Program, including our environmental, social and governance priorities, please refer to our most recent Sustainability Report, which can be found on our Sustainability page on our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1445"/>
                <wp:effectExtent l="0" t="0" r="0" b="0"/>
                <wp:wrapNone/>
                <wp:docPr id="7"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Business acquisitions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In 2024, we acquired three business operations in the North America, Latin America and Europe segments. The aggregate purchase consideration for these three acquisitions was approximately $27 million.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1445"/>
                <wp:effectExtent l="0" t="0" r="0" b="0"/>
                <wp:wrapNone/>
                <wp:docPr id="8"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Available Information and Corporate Governance Documents</w:t>
      </w:r>
    </w:p>
    <w:p>
      <w:pPr>
        <w:pStyle w:val="TextBody"/>
        <w:bidi w:val="0"/>
        <w:spacing w:lineRule="auto" w:line="288" w:before="0" w:after="0"/>
        <w:jc w:val="left"/>
        <w:rPr/>
      </w:pPr>
      <w:r>
        <w:rPr>
          <w:rFonts w:ascii="Times New Roman;serif" w:hAnsi="Times New Roman;serif"/>
          <w:b w:val="false"/>
          <w:color w:val="000000"/>
          <w:sz w:val="18"/>
        </w:rPr>
        <w:t>The following items are available free of charge on our website (</w:t>
      </w:r>
      <w:r>
        <w:rPr>
          <w:rFonts w:ascii="Times New Roman;serif" w:hAnsi="Times New Roman;serif"/>
          <w:b w:val="false"/>
          <w:color w:val="000000"/>
          <w:sz w:val="18"/>
          <w:u w:val="single"/>
        </w:rPr>
        <w:t>www.brinks.com</w:t>
      </w:r>
      <w:r>
        <w:rPr>
          <w:rFonts w:ascii="Times New Roman;serif" w:hAnsi="Times New Roman;serif"/>
          <w:b w:val="false"/>
          <w:color w:val="000000"/>
          <w:sz w:val="18"/>
        </w:rPr>
        <w:t>) as soon as reasonably possible after filing or furnishing them with the Securities and Exchange Commission (the “SEC”):</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Annual reports on Form 10-K</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Quarterly reports on Form 10-Q</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Current reports on Form 8-K, and amendments to those reports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documents are also available free of charge on our website: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Corporate Governance Guidelines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Code of Ethics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The charters of the following committees of our Board of Directors (the “Board”): Audit and Ethics, Compensation and Human Capital, Corporate Governance and Nominating, and Finance and Business Development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Printed versions of these items will be mailed free of charge to shareholders upon request. Such requests can be made by contacting the Corporate Secretary at 1801 Bayberry Court, P. O. Box 18100, Richmond, Virginia 23226-8100.</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 xml:space="preserve">Additional information about the Company may be found elsewhere in this report and in the Company's other public filings, which are available without charge through the SEC's website at </w:t>
      </w:r>
      <w:r>
        <w:rPr>
          <w:rFonts w:ascii="Times New Roman;serif" w:hAnsi="Times New Roman;serif"/>
          <w:b w:val="false"/>
          <w:color w:val="000000"/>
          <w:sz w:val="18"/>
          <w:u w:val="single"/>
        </w:rPr>
        <w:t>http://www.sec.gov</w:t>
      </w:r>
      <w:r>
        <w:rPr>
          <w:rFonts w:ascii="Times New Roman;serif" w:hAnsi="Times New Roman;serif"/>
          <w:b w:val="false"/>
          <w:color w:val="000000"/>
          <w:sz w:val="18"/>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18"/>
        </w:rPr>
      </w:pPr>
      <w:r>
        <w:rPr>
          <w:rFonts w:ascii="Times New Roman;serif" w:hAnsi="Times New Roman;serif"/>
          <w:b/>
          <w:color w:val="000000"/>
          <w:sz w:val="18"/>
        </w:rPr>
        <w:t>ITEM 1A.  RISK FACTORS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Business Risks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Our strategy may not be successful.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Our strategy is to grow Brink's by providing solutions that secure commerce through the delivery of customer-focused innovation while operating with excellence and efficiency. We may not be successful in growing revenue in our services lines or in improving the cost to serve our customers through process improvements. We also may not be successful in strengthening and leveraging our IT capabilities to deliver tech-enabled services. If we are unable to achieve our strategic objectives and anticipated operating profit improvements, our results of operations and cash flows may be adversely affected.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18"/>
        </w:rPr>
        <w:t>We operate in highly competitive industries.</w:t>
      </w: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compete in industries that are subject to significant competition and pricing pressures in most markets. In addition, our business model requires significant fixed costs associated with offering many of our services including costs to operate a fleet of armored vehicles and a network of secure branches. Because we believe we have competitive advantages such as brand name recognition and a reputation for a high level of service and security, we resist competing on price alone. However, continued pricing pressure from competitors, failure to achieve pricing based on the competitive advantages identified above and/or inability to offset inflationary cost increases through price increases could result in lost volume of business and have an adverse effect on our business, financial condition, results of operations and cash flows. In addition, given the highly competitive nature of our industries, it is important to develop new solutions and product and service offerings to help retain and expand our customer base. Failure to develop, sell and execute new solutions and offerings in a timely and efficient manner could also negatively affect our ability to retain our existing customer base or pricing structure and have an adverse effect on our business, financial condition, results of operations and cash flows.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Decreased use of cash could have a negative impact on our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While cash remains one of the most popular forms of consumer payment in the U.S. and globally, the growth of payment options other than cash could reduce the need for services related to cash, thereby affecting our financial results. We continue to develop new services that offer current and prospective customers the opportunity to streamline their cash processing to keep cash acceptance more competitive with other forms of payment. There is a risk that these initiatives may not offset the risks associated with a decline in the overall share of cash payments and that our business, financial condition, results of operations and cash flows could be negatively impacted.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We may not be successful in pursuing strategic investments or acquisitions or realize the expected benefits of those transactions because of integration difficulties and other challenges.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While we may identify opportunities for acquisitions and investments to support our growth strategy, our due diligence examinations and positions that we may take with respect to appropriate valuations for acquisitions and divestitures and other transaction terms and conditions may hinder our ability to successfully complete business transactions to achieve our strategic goals. We compete with others within and outside our industry for suitable acquisition candidates. This competition may increase the price for acquisitions and reduce the number of acquisition candidates available to us. As a result, our ability to acquire businesses in the future, and to acquire such businesses on favorable terms, may be limited. Our ability to realize the anticipated benefits from acquisitions will depend, in part, on successfully integrating each business with our company as well as improving operating performance and profitability through our management efforts and capital investments. The risks to a successful integration and improvement of operating performance and profitability include, among others, failure to implement our business plan, unanticipated issues in integrating operations with ours, unanticipated changes in laws and regulations, labor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1445"/>
                <wp:effectExtent l="0" t="0" r="0" b="0"/>
                <wp:wrapNone/>
                <wp:docPr id="9"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unrest resulting from union operations, regulatory, environmental and permitting issues, unfavorable customer reactions, the effect on our internal controls and compliance with the regulatory requirements under the Sarbanes-Oxley Act of 2002, and difficulties in fully identifying and evaluating potential liabilities, risks and operating issues. In order to finance such acquisitions, we may need to obtain additional funds either through public or private financings, including bank and other secured and unsecured borrowings and the issuance of debt or equity securities. There can be no assurance that such financings would be available to us on reasonable terms or that any future issuances of securities in connection with acquisitions will not be dilutive to our shareholders. The occurrence of any of these events may adversely affect our expected benefits of any acquisitions and may have a material adverse effect on our financial condition, results of operations or cash flows.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We have certain environmental and other exposures related to our former coal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may incur future environmental and other liabilities in connection with our former coal operations, which could materially and adversely affect our financial condition, results of operations and cash flows.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We may be exposed to certain regulatory and financial risks related to climate change.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Growing concerns about climate change may result in the imposition of additional environmental regulations to which we are subject. The U.S. federal government, certain U.S. states and certain other countries and regions have adopted or are considering emissions-limiting legislation or regulation on vehicle and other transportation engines. Such new laws or regulations, or stricter enforcement of existing laws and regulations, could increase the costs of operating our businesses, including, among other things, increased fuel prices or additional taxes or emission allowances, and reduce the demand for our products and services, any or all of which could adversely affect our operations. Additionally, we may not be able to recover the cost of compliance with new or more stringent environmental laws and regulations from our customers, which could adversely affect our business. Furthermore, the potential effects of climate change and related regulation on our customers are highly uncertain and may adversely affect our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may also incur additional expenses related to U.S. and international regulators requiring varied calculation, disclosure, and assurance methodologies regarding greenhouse gas ("GHG") emissions including, but not limited to, the European Sustainability Reporting Standards and Corporate Sustainability Reporting Directive and California SB219. Furthermore, many countries and U.S. states in which we operate or are subject to regulation may adopt, additional requirements related to the disclosure of GHG emission and related matters.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212529"/>
          <w:sz w:val="18"/>
        </w:rPr>
      </w:pPr>
      <w:r>
        <w:rPr>
          <w:rFonts w:ascii="Times New Roman;serif" w:hAnsi="Times New Roman;serif"/>
          <w:b/>
          <w:color w:val="212529"/>
          <w:sz w:val="18"/>
        </w:rPr>
        <w:t>Operational Risks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We have significant operations outside the United States.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currently serve customers in more than 100 countries, including 51 countries where we operate subsidiaries. Sixty-nine percent (69%) of our revenues in 2025 came from operations outside the U.S. We expect revenues outside the U.S. to continue to represent a significant portion of total revenues. Business operations outside the U.S. are subject to political, economic and other risks inherent in operating in foreign countries, such as: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the difficulty of enforcing agreements, collecting receivables and protecting assets through foreign legal systems;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trade protection measures and import or export licensing requirements;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difficulty in staffing and managing widespread operations;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required compliance with a variety of foreign laws and regulations;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enforcement of our global compliance program in foreign countries with a variety of laws, cultures and customs;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varying permitting and licensing requirements in different jurisdictions;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foreign ownership laws;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changes in the general political and economic conditions in the countries where we operate, particularly in emerging markets;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threat of nationalization and expropriation;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higher costs and risks of doing business in a number of foreign jurisdictions;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laws or other requirements and restrictions associated with organized labor;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limitations on the repatriation of earnings;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the imposition of new, increased, or otherwise changed international tariffs, including as a result of changes in trade policy or the legal authority under which tariffs are imposed, and the impact on our operations and costs;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fluctuations in equity, revenues and profits due to changes in foreign currency exchange rates, including measures taken by governments to devalue official currency exchange rates;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inflation levels exceeding that of the U.S.;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the inability to collect for services provided to government entities.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are exposed to certain risks when we operate in countries that have high levels of inflation, including the risk that:</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the rate of price increases for services will not keep pace with the cost of inflation;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adverse economic conditions may discourage business growth which could affect demand for our services;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the devaluation of the currency may exceed the rate of inflation and reported U.S. dollar revenues and profits may decline;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these countries may be deemed “highly inflationary” for U.S. generally accepted accounting principles (“GAAP”) purposes.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10"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manage these risks by monitoring current and anticipated political and economic developments, monitoring adherence to our global compliance program and adjusting operations as appropriate. Changes in the political or economic environments of the countries in which we operate could have a material adverse effect on our business, financial condition, results of operations and cash flows.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We operate in regulated industries, and our failure to comply with the laws regulating our operations, and the costs we may incur to comply, could have a material adverse effect on our business, financial condition, results of operations and cash flows.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Brink’s Capital LLC, a subsidiary of the Company, is federally registered as a “Money Services Business” with the U.S. Department of Treasury’s Financial Crimes Enforcement Network ("FinCEN"). It is also currently registered and/or licensed—and may in the future be registered and/or licensed—as a “money transmitter” or similar designation with various state or local jurisdictions in the U.S. related to delivering future products and services. These registrations subject us to, among other things, having an effective anti-money laundering ("AML") compliance program, record-keeping requirements and reporting requirements, and examination by state and federal regulatory agencies. In Canada, as of July 1, 2024, Brink’s armored transportation operations are subject to Proceeds of Crime (Money Laundering) and Terrorist Financing Act as a federally registered “Money Services Business” with the Financial Transactions and Reports Analysis Centre of Canada ("FINTRAC"). This registration subjects us to, among other things, having an effective AML compliance program, record-keeping requirements and reporting requirements, and periodic examination by FINTRAC. These and our other regulatory obligations may significantly increase our costs or impact our operations. Our failure to comply with or any determination that we have violated any applicable laws or regulations could result in, among other things, substantial fines or revocation of our Money Services Business status, which could have a material adverse effect on our business, financial condition, results of operations and cash flows.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Likewise, our foreign operating subsidiaries are subject to similar regulations, examinations and supervision by governmental entities. For instance, under the EU Payment Services Directives, as amended, and the EU Anti-Money Laundering Directives, as amended, our foreign operating subsidiaries that are operating in the EU may be subject to reporting, recordkeeping and anti-money laundering regulations, and agent oversight and monitoring requirements, as well as broader supervision by EU member states. Our Canadian business is subject to the Retail Payment Activities Act, which requires registration of our operations and our ongoing compliance with risk management, funds safeguarding, recordkeeping and reporting regulations. Legislation that has been enacted or proposed in other jurisdictions could have similar effects. These and our other regulatory obligations may significantly increase our costs or impact our operations. Any determination that we have violated these laws could have a material adverse effect on our business, financial condition, results of operations and cash flows.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are also subject to the Foreign Corrupt Practices Act ("FCPA") in the U.S. and similar laws in other countries, such as the Bribery Act in the UK, which generally prohibit companies and those acting on their behalf from making improper payments to foreign government officials for the purpose of obtaining or retaining business. Some of these laws, such as the Bribery Act, also prohibit improper payments between commercial enterprises. Because our services are offered in more than 100 countries, we face significant risks associated with our obligations under the FCPA, the Bribery Act and other national anti-corruption laws. Any determination that we have violated these laws could have a material adverse effect on our business, financial condition, results of operations and cash flows.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Our U.S. operations are subject to regulation by the U.S. Department of Transportation with respect to safety of operations and equipment and financial responsibility. Intrastate operations in the U.S. are subject to regulation by state regulatory authorities and interprovincial operations in Canada are subject to regulation by Canadian and provincial regulatory authorities. Our other international operations are regulated to varying degrees by the countries in which we operate. Many countries have permit requirements for security services and prohibit foreign companies from providing different types of security services. Our failure to comply with any applicable laws or regulations could result in, among other things, substantial fines or revocation of our operating permits and licenses, which could have a material adverse effect on our business, financial condition, results of operations and cash flows.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Finally, changes in laws or regulations, or the interpretations of such laws and regulations, could require a change in the way we operate, which could increase costs or otherwise disrupt operations. If laws and regulations were to change or we fail to comply with changes to any applicable laws or regulations, our business, financial condition, results of operations and cash flows could be materially and adversely affected.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We face risks related to our settlement agreements with the U.S. Department of Justice (“DOJ”) and FinCEN, including additional monetary penalties if we fail to comply with the terms of the settlement agreements and costs and burdens associated with our compliance undertakings.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In August 2020, we received a subpoena issued in connection with an investigation being conducted by the DOJ, primarily related to cross-border shipments of cash and things of value and anti-money laundering (“AML”) compliance. Subsequently, in March 2024, we received a Notice of Investigation from FinCEN related to Bank Secrecy Act (“BSA”)/AML compliance that involved substantially the same conduct that was the subject to the DOJ’s investigation.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On January 31, 2025, the Company resolved these matters with FinCEN and the DOJ. As part of these resolutions, the Company agreed to pay $42 million to these agencies over three years, beginning in January 2025. If we fail to comply with the terms of these settlement agreements, the DOJ or FinCEN could impose monetary penalties and the DOJ could determine that approximately $20 million of the total amount to be forfeited under the agreement with the DOJ would not be forgiven (as is contemplated under the agreement), but instead would be payable to the DOJ. These potential monetary penalties could have a material adverse effect on our business, financial condition and results of operations.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11"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 addition, compliance with the terms of these settlement agreements could impose significant additional burdens on us, including increased compliance costs and potential burdens on our business that could adversely affect our competitive advantage. These compliance costs and other burdens could have a material adverse effect on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 xml:space="preserve">We may be unable to achieve, or may be delayed in achieving, our initiatives to drive efficiency in controlling costs and managing cash flows.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We have launched a number of initiatives to improve efficiencies and reduce operating costs, as well as to improve working capital management and overall cash flows. Although we have achieved annual cost savings associated with these initiatives, we may be unable to sustain the cost savings that we have achieved. In addition, if we are unable to achieve, or have any unexpected delays in achieving additional cost savings, our results of operations and cash flows may be adversely affected. Also, while certain cash flow actions have benefit, and may further benefit, cash flow in the near term, cash flow may be negatively impacted in future periods if our programs do not meet expectations. Even if we meet our goals as a result of these initiatives, we may not receive the expected financial benefits of these initiatives.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Labor shortages and increased labor costs could have a material adverse effect on our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While we have historically experienced some level of ordinary course turnover of employees, labor shortages and turnover continue to be a widespread problem in the United States, resulting in higher labor costs. Labor is our largest operating cost. If we face labor shortages and increased labor costs as a result of increased competition for employees, higher employee turnover rates, inflationary pressures on employee wages and salaries or other employee benefits costs, our operating expenses could increase and our growth and results of operations could be adversely impacted. We may be unable to increase prices in order to pass future increased labor costs onto our customers, in which case our margins would be negatively affected. Additionally, if product prices are increased by us to cover increased labor costs, the higher prices could adversely affect sales volumes.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Financial Risks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18"/>
        </w:rPr>
        <w:t>We have significant retirement obligations.</w:t>
      </w:r>
      <w:r>
        <w:rPr>
          <w:color w:val="000000"/>
        </w:rPr>
        <w:t xml:space="preserve"> </w:t>
      </w:r>
      <w:r>
        <w:rPr>
          <w:rFonts w:ascii="Times New Roman;serif" w:hAnsi="Times New Roman;serif"/>
          <w:b/>
          <w:i/>
          <w:color w:val="000000"/>
          <w:sz w:val="18"/>
        </w:rPr>
        <w:t>Poor investment performance of retirement plan holdings and/or lower interest rates used to discount the obligations could unfavorably affect our liquidity and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We have substantial pension and retiree medical obligations, a portion of which have been funded. The amount of these obligations is significantly affected by factors that are not in our control, including interest rates used to determine the present value of future payment streams, investment returns, medical inflation rates, participation rates and changes in laws and regulations. The funded status of the primary U.S. pension plan was approximately 104% as of December 31, 2025. Based on our actuarial assumptions at the end of 2025, we do not expect to make contributions until 2046. A change in assumptions could result in funding obligations that could adversely affect our liquidity and our ability to use our resources to make acquisitions and to otherwise grow our business.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have $275 million of actuarial losses recorded in accumulated other comprehensive income (loss) at the end of 2025. These losses relate to changes in actuarial assumptions that have increased the net liability for benefit plans. These losses have not been recognized in earnings. These losses will be recognized in earnings in future periods to the extent they are not offset by future actuarial gains. Our projections of future cash requirements and expenses for these plans could be adversely affected if our retirement plans have additional actuarial losses.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We have significant deferred tax assets in the United States that may not be realized.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Deferred tax assets are future tax deductions that result primarily from the net tax effects of temporary differences between the carrying amount of assets and liabilities for financial statement and income tax purposes. At December 31, 2025, we had $179.8 million of U.S. deferred tax assets, net of valuation allowances, primarily related to our retirement plan obligations. These future tax deductions may not be realized if tax rules change in the future, or if forecasted U.S. operational results or any other U.S. projected future taxable income is insufficient. Consequently, not realizing our U.S. deferred tax assets may significantly and materially affect our financial condition, results of operations and cash flows.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Our effective income tax rate could change.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operate subsidiaries in 51 countries, all of which have different income tax laws and associated income tax rates. Our effective income tax rate can be significantly affected by changes in the mix of pretax earnings by country and the related income tax rates in those countries. In addition, our effective income tax rate is significantly affected by the ability to realize deferred tax assets, including those associated with net operating losses. Changes in income tax laws, income apportionment, or estimates of the ability to realize deferred tax assets, could significantly affect our effective income tax rate, financial position and results of operations. We are subject to the regular examination of our income tax returns by various tax authorities. We regularly assess the likelihood of adverse outcomes resulting from these examinations to determine the adequacy of our provision for income taxes. There can be no assurance that the outcomes from these examinations will not have a material adverse effect on our business.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1445"/>
                <wp:effectExtent l="0" t="0" r="0" b="0"/>
                <wp:wrapNone/>
                <wp:docPr id="12"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It is possible that our restructuring plans may not achieve their intended results and that we will incur restructuring charges in the future.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It is possible that our restructuring plans may not achieve their intended results and may have other consequences, such as attrition beyond our planned reduction in workforce or our ability to attract highly skilled employees. As a result, our restructuring plans may affect our revenue and other operating results in the future.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 addition, it is possible we will take additional restructuring actions, including in connection with acquisitions as well as global transformation initiatives, in one or more of our markets in the future to reduce expenses or enhance our customer facing and back-office delivery capabilities. These actions could result in significant restructuring charges at these subsidiaries, including recognizing impairment charges to write down assets and recording accruals for employee severance. Our restructuring activities may subject us to litigation risks and expenses. These charges, if required, could significantly and materially affect results of operations and cash flows.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18"/>
        </w:rPr>
        <w:t>Our inability to access capital or significant increases in our cost of capital could adversely affect our business</w:t>
      </w:r>
      <w:r>
        <w:rPr>
          <w:rFonts w:ascii="Times New Roman;serif" w:hAnsi="Times New Roman;serif"/>
          <w:b w:val="false"/>
          <w:i/>
          <w:color w:val="000000"/>
          <w:sz w:val="18"/>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Our ability to obtain adequate and cost-effective financing depends on our credit quality as well as the liquidity of financial markets. A negative change in our ratings outlook or any downgrade in our credit ratings by the rating agencies could adversely affect our cost and/or access to sources of liquidity and capital. Disruptions in the capital and credit markets could adversely affect our ability to access short-term and long-term capital. Our access to funds under current credit facilities is dependent on the ability of the participating banks to meet their funding commitments. Those banks may not be able to meet their funding commitments if they experience shortages of capital and liquidity. Longer disruptions in the capital and credit markets as a result of uncertainty, changing or increased regulation, reduced alternatives, or failures of significant financial institutions could adversely affect our access to capital needed for our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We are subject to covenants for our credit facilities and our unsecured notes.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Our senior secured credit facility, senior unsecured notes, letter of credit facilities and bank guarantee facilities contain various financial and other covenants. The financial covenants include a limit on the ratio of net secured debt to earnings before interest, taxes, depreciation and amortization and a limit on the ratio of earnings before interest, taxes, depreciation and amortization to interest expense. Other covenants, among other things, limit our ability to provide liens, restrict fundamental changes, limit transactions with affiliates and unrestricted subsidiaries, restrict changes to our fiscal year and to organization documents, limit asset dispositions, limit the use of proceeds from asset sales, limit sale and leaseback transactions, limit investments, limit the ability to incur debt, restrict certain payments to shareholders, limit negative pledges and limit the ability to change the nature of our business. Although we believe none of these covenants are presently restrictive to operations, the ability to meet financial and other covenants can be affected by changes in our results of operations or financial condition. We cannot provide assurance that we will meet these covenants. A breach of these covenants could result in a default under existing credit facilities. Upon the occurrence of an event of default under any of our credit facilities, the lenders could cause amounts outstanding to be immediately payable and terminate all commitments to extend further credit. The occurrence of these events would have a significant effect on our liquidity and cash flows.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Our earnings and cash flow could be materially affected by increased losses of customer valuables.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purchase insurance coverage for losses of customer valuables for amounts in excess of what we consider prudent deductibles and/or retentions. Insurance is provided by different groups of underwriters at negotiated rates and terms. Coverage is available to us in major insurance markets, although premiums charged are subject to fluctuations depending on market conditions. Our loss experience and that of other companies in our industry affects premium rates. We are not insured for losses below our coverage limits and recognize expense up to these limits for actual losses. Our insurance policies cover losses from most causes, with the exception of war, nuclear risk and various other exclusions typical for such policies. The availability of high-quality and reliable insurance coverage is an important factor in obtaining and retaining customers and managing the risks of our business. If our losses increase, or if we are unable to obtain adequate insurance coverage at reasonable rates, our financial condition, results of operations and cash flows could be materially and adversely affected.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Cybersecurity and Information Technology Risks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 xml:space="preserve">Risks associated with cybersecurity and information technology can expose Brink’s to business disruptions, cybersecurity breaches and regulatory violations.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We rely on our information technology ("IT") infrastructure, including the Brink's Global Information Security ("GIS") Program, which is designed to reduce risk by ensuring that computer systems are secure through protecting networks, systems, hardware, and data to mitigate cybersecurity risk and efficiently run our business. If there were to be significant problems with our IT infrastructure, such as IT data center or system failures or unplanned system disruptions, failure to develop new technology platforms to support new initiatives and product and service offerings, or a failure of our GIS Program, it could halt or delay our ability to service our customers, hinder our ability to conduct and expand our business and require significant remediation costs. Securing remote work by our personnel and remote access to our systems continues to be a priority as remote access to our systems represents a heightened level of cybersecurity risk to our business. We believe our cybersecurity risk profile will continue to expand as we broaden services, pursue mergers and acquisitions, and employ emerging technologies, mobile applications, third-party service providers and cloud-based services. Hacking, phishing attacks, ransomware, insider threats, physical breaches or other actions may cause confidential information belonging to Brink’s, its employees or customers to be misused. Moreover, the techniques used to obtain unauthorized access to networks or to sabotage systems change frequently and generally are not recognized until launched against a target. We may be unable to anticipate these emerging techniques, react in a timely manner,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1445"/>
                <wp:effectExtent l="0" t="0" r="0" b="0"/>
                <wp:wrapNone/>
                <wp:docPr id="13"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implement adequate preventative measures. We have experienced cybersecurity incidents and unplanned system disruptions in the past, but none of these incidents or disruptions, individually or in the aggregate, have had a material adverse effect on our business, financial condition or results of operations. A significant cybersecurity incident that impacts our systems, applications, cloud resources or data centers that house sensitive and confidential data, including, but not limited to, personally identifiable information and business sensitive information, could have a material adverse effect on our business, financial condition, results of operations and cash flows. Additionally, such an incident may result in significant challenges and costs related to coordination with third-party service providers in order to resolve related issues.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If our third-party providers do not respond in a timely manner to our needs, disaster recovery, business continuity and crisis management activities could be negatively impacted. We have programs in place that are intended to identify, protect against, detect, respond to, and recover from cybersecurity incidents and breaches and that provides employee awareness training regarding cyber risks; however, due to evolving and advanced sophisticated attackers, cyber attacks remain increasingly difficult to detect and we may need to allocate additional resources to continue to enhance our information security measures and/or to investigate and remediate any security vulnerabilities. Cyber attacks and security breaches may also persist undetected over extended periods of time and may not be mitigated in a timely manner to minimize the impact of a cyber attacks or security breach. A significant cybersecurity incident, involving Brink's or its third-party service providers, could damage our reputation, expose us to the risks of litigation and liability, disrupt our business or otherwise have a material adverse effect on our business, financial condition, results of operations and cash flows. Although the Company maintains cybersecurity insurance, the Company's insurance may not be adequate to cover all losses that may be incurred in the event of a significant disruption or failure of its information technology systems.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As a global company we must adhere to ever changing legal and regulatory environments in numerous regions regarding data privacy, data protection, and data security. Privacy and data protection laws vary between countries and are subject to interpretation, which may create inconsistent or conflicting requirements. For example, the European Union’s General Data Protection Regulation (“GDPR”), which became effective in May 2018, greatly increased the jurisdictional reach of European Union law. Since its inception, more geographies in which we operate have enacted laws similar to the GDPR, including several countries in Asia and Latin America, as well as several states in the U.S.</w:t>
      </w:r>
      <w:r>
        <w:rPr>
          <w:color w:val="000000"/>
        </w:rPr>
        <w:t xml:space="preserve"> </w:t>
      </w:r>
      <w:r>
        <w:rPr>
          <w:rFonts w:ascii="Times New Roman;serif" w:hAnsi="Times New Roman;serif"/>
          <w:b w:val="false"/>
          <w:color w:val="000000"/>
          <w:sz w:val="18"/>
        </w:rPr>
        <w:t>For example, the California Consumer Privacy Act (the “CCPA”), which became effective on January 1, 2020, imposes stringent data privacy and data protection requirements regarding the personal information of California residents, and provides for penalties for noncompliance, as well as a private right of action from individuals for certain security breaches.</w:t>
      </w:r>
      <w:r>
        <w:rPr>
          <w:color w:val="000000"/>
        </w:rPr>
        <w:t xml:space="preserve"> </w:t>
      </w:r>
      <w:r>
        <w:rPr>
          <w:rFonts w:ascii="Times New Roman;serif" w:hAnsi="Times New Roman;serif"/>
          <w:b w:val="false"/>
          <w:color w:val="000000"/>
          <w:sz w:val="18"/>
        </w:rPr>
        <w:t>Additionally, the California Privacy Rights Act, which became effective on January 1, 2023, significantly modified the CCPA and has resulted in further uncertainty. The GDPR and these other privacy and data protection laws impose requirements related to the handling of personal data, mandate public disclosure of certain data breaches, and provide for substantial penalties for non-compliance. Our efforts to comply with GDPR and other privacy and data protection laws may impose significant costs that are likely to increase over time. A breach of the GDPR or other such data protection regulations could result in regulatory investigations, reputational damages, fines and sanctions, orders to cease or change our processing of our data, enforcement notices, or assessment notices (for a compulsory audit). We could incur substantial penalties or be subject to litigation related to violation of existing or future data privacy laws, including representative actions and other class action-type litigation, which could result in significant compensation or damages liabilities, as well as associated costs, diversion of internal resources, and reputational harm, all of which may have a material adverse effect on our business, financial condition, results of operations and cash flows.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Risks Related to the Company’s Securities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 xml:space="preserve">We cannot guarantee that we will repurchase our common stock pursuant to our share repurchase program or that our share repurchase program will enhance long-term shareholder value. Share repurchases could also increase the volatility of the price of our common stock and could diminish our cash reserves.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On December 10, 2025, the Board authorized a new share repurchase program replacing the prior 2023 authorization. Under this program, which expires on December 31, 2027, we are authorized to repurchase shares of common stock for an aggregate purchase price not to exceed $750 million, excluding fees, commissions and other ancillary expenses.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On November 2, 2023, the Board authorized a share repurchase program that expired on December 31, 2025. Under this program, we were authorized to repurchase shares of common stock for an aggregate purchase price not to exceed $500 million, excluding fees, commissions and other ancillary expenses.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Although the Board has authorized the share repurchase program, the share repurchase program does not obligate the Company to repurchase any specific dollar amount or to acquire any specific number of shares. The timing and amount of repurchases, if any, will depend upon several factors, including market and business conditions, the trading price of the Company’s common stock and the nature of other investment opportunities. A potential tax on share repurchases that would make share repurchases more expensive, may also impact our decision to engage in share repurchases. Also, our ability to repurchase shares of stock may be limited by restrictive covenants in our debt agreements and indentures in our senior notes. The repurchase program may be limited, suspended or discontinued at any time without prior notice. In addition, repurchases of our common stock pursuant to our share repurchase program could affect our stock price and increase its volatility. The existence of a share repurchase program could cause our stock price to be higher than it would be in the absence of such a program and could potentially reduce the market liquidity for our stock. Additionally, our share repurchase program could diminish our cash reserves, which may impact our ability to finance future growth and to pursue possible future strategic opportunities and acquisitions. There can be no assurance that any share repurchases will enhance stockholder value because the market price of our common stock may decline below the levels at which we repurchased shares of stock. Although our share repurchase program is intended to enhance long-term stockholder value, there is no assurance that it will do so and short-term stock price fluctuations could reduce the program’s effectiveness.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1445"/>
                <wp:effectExtent l="0" t="0" r="0" b="0"/>
                <wp:wrapNone/>
                <wp:docPr id="14"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General Risks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 xml:space="preserve">The identification of a material weakness in our internal control over financial reporting in the future could, if not remediated, adversely affect our ability to report our financial condition and results of operations in a timely and accurate manner, investor confidence in our company, and the value of our common stock.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Pursuant to the Sarbanes-Oxley Act of 2002, we are required to document and test our internal control procedures and to provide a report by management on internal control over financial reporting, including management’s assessment of the effectiveness of such controls. While the Company has not identified a material weakness in its internal control over financial reporting in this report, there can be no assurances that a material weakness will not occur in the future. Deficiencies, including any material weakness, in our internal control over financial reporting that may occur in the future could result in misstatements of our results of operations, restatements of our financial statements, a decline in our stock price, or otherwise materially adversely affect our business, reputation, results of operations, financial condition, or liquidity.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The Company could be negatively affected as a result of the actions of activist or hostile shareholders.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252525"/>
          <w:sz w:val="18"/>
        </w:rPr>
        <w:t>Shareholder</w:t>
      </w:r>
      <w:r>
        <w:rPr>
          <w:color w:val="212121"/>
        </w:rPr>
        <w:t> </w:t>
      </w:r>
      <w:r>
        <w:rPr>
          <w:rFonts w:ascii="Times New Roman;serif" w:hAnsi="Times New Roman;serif"/>
          <w:b w:val="false"/>
          <w:color w:val="252525"/>
          <w:sz w:val="18"/>
        </w:rPr>
        <w:t>activism</w:t>
      </w:r>
      <w:r>
        <w:rPr>
          <w:rFonts w:ascii="Times New Roman;serif" w:hAnsi="Times New Roman;serif"/>
          <w:b w:val="false"/>
          <w:color w:val="212121"/>
          <w:sz w:val="18"/>
        </w:rPr>
        <w:t xml:space="preserve">, which could take many forms and arise in a variety of situations, has been increasing among publicly traded companies. </w:t>
      </w:r>
      <w:r>
        <w:rPr>
          <w:rFonts w:ascii="Times New Roman;serif" w:hAnsi="Times New Roman;serif"/>
          <w:b w:val="false"/>
          <w:color w:val="252525"/>
          <w:sz w:val="18"/>
        </w:rPr>
        <w:t>Shareholder</w:t>
      </w:r>
      <w:r>
        <w:rPr>
          <w:color w:val="000000"/>
        </w:rPr>
        <w:t> </w:t>
      </w:r>
      <w:r>
        <w:rPr>
          <w:rFonts w:ascii="Times New Roman;serif" w:hAnsi="Times New Roman;serif"/>
          <w:b w:val="false"/>
          <w:color w:val="252525"/>
          <w:sz w:val="18"/>
        </w:rPr>
        <w:t>activism</w:t>
      </w:r>
      <w:r>
        <w:rPr>
          <w:rFonts w:ascii="Times New Roman;serif" w:hAnsi="Times New Roman;serif"/>
          <w:b w:val="false"/>
          <w:color w:val="000000"/>
          <w:sz w:val="18"/>
        </w:rPr>
        <w:t xml:space="preserve">, including potential proxy contests or other forms of engagement or pressure, requires significant time and attention by management and the Board, potentially hindering the Company’s ability to execute its strategic plan and negatively affecting the trading value of our common stock. Additionally, </w:t>
      </w:r>
      <w:r>
        <w:rPr>
          <w:rFonts w:ascii="Times New Roman;serif" w:hAnsi="Times New Roman;serif"/>
          <w:b w:val="false"/>
          <w:color w:val="252525"/>
          <w:sz w:val="18"/>
        </w:rPr>
        <w:t>shareholder</w:t>
      </w:r>
      <w:r>
        <w:rPr>
          <w:color w:val="000000"/>
        </w:rPr>
        <w:t> </w:t>
      </w:r>
      <w:r>
        <w:rPr>
          <w:rFonts w:ascii="Times New Roman;serif" w:hAnsi="Times New Roman;serif"/>
          <w:b w:val="false"/>
          <w:color w:val="252525"/>
          <w:sz w:val="18"/>
        </w:rPr>
        <w:t>activism</w:t>
      </w:r>
      <w:r>
        <w:rPr>
          <w:color w:val="000000"/>
        </w:rPr>
        <w:t> </w:t>
      </w:r>
      <w:r>
        <w:rPr>
          <w:rFonts w:ascii="Times New Roman;serif" w:hAnsi="Times New Roman;serif"/>
          <w:b w:val="false"/>
          <w:color w:val="000000"/>
          <w:sz w:val="18"/>
        </w:rPr>
        <w:t>could give rise to perceived uncertainties as to the Company’s future direction, adversely affect its relationships with key executives, customers and other business partners, or make it more difficult to attract and retain qualified personnel. If the Company is targeted by an activist shareholder, it could incur significant legal fees and other expenses related to activist shareholder matters. Any of these impacts could materially and adversely affect the Company and operating results.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 xml:space="preserve">Negative public perception of our reputation or brand could lead to a loss of revenues or profitability.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We are a leading global provider of cash and valuables management, digital retail solutions and ATM managed services, and our long-term success depends heavily on our ability to maintain and strengthen our reputation for trust, reliability and integrity. Our brand reputation, particularly the trust placed in us by our customers, could be negatively impacted if our customers perceive--or experience--any failure in our ability to operate our business ethically, securely and responsibly. In addition, we have licensing arrangements that permit certain entities to use Brink’s name and/or other intellectual property in connection with their businesses. If any of these entities were perceived as failing (or failed) to conduct business ethically, securely or responsibly, it could have a negative effect on our name and/or brand. Any damage to our reputation or brand could have a material adverse effect on our business, financial condition, results of operations and cash flows.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Our business success depends on retaining our leadership team and attracting and retaining qualified personnel.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Talent is a key enabler of our strategy. Our future success depends, in part, on the continuing services and contributions of our leadership team to execute on our strategic plan and to identify and pursue new opportunities. Our future success also depends, in part, on our continued ability to attract and retain the skills and capabilities in the many countries we operate. Any unplanned turnover in senior management or inability to attract and retain a workforce with the skills and in the locations we need to operate and grow our business could have a negative effect on our results. Unplanned turnover in key leadership positions within the Company may adversely affect our ability to manage the company efficiently and effectively, could be disruptive and distracting to management and may lead to additional departures of current personnel, any of which could have a material adverse effect on our business and overall results.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1445"/>
                <wp:effectExtent l="0" t="0" r="0" b="0"/>
                <wp:wrapNone/>
                <wp:docPr id="15" name="Frame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Forward-Looking Statements</w:t>
      </w:r>
    </w:p>
    <w:p>
      <w:pPr>
        <w:pStyle w:val="TextBody"/>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This document contains both historical and forward-looking information which is based on management’s current expectations, assumptions and beliefs and involves risks and uncertainties that could cause actual results to differ materially.which is based on management’s current expectations, assumptions and beliefs and involves risks and uncertainties that could cause actual results to differ materially.. Words such as “anticipates,” “assumes,” “estimates,” “expects,” “projects,” “predicts,” “intends,” “plans,” “potential,” “believes,” “could,” “may,” “should” and similar expressions may identify forward-looking information. Forward-looking information in this document includes, but is not limited to, statements concerning future performance of the Company and its global subsidiaries, including the anticipated results from the Company's strategic initiatives, including transformation initiatives and other technology and operational investments, which may take longer than expected to implement or may not deliver anticipated benefits; difficulty in repatriating cash; fluctuating strength of the U.S. dollar; anticipated costs of our reorganization and restructuring activities; our ability to consummate acquisitions and integrate their operations successfully; changes in allowance calculation methods; future working capital performance; our ability to generate operating and free cash flow and the timing and predictability of such cash flows; the impact of foreign currency forward and swap contracts; our effective tax rate; realization of deferred tax assets; the impact of foreign tax credit regulations; the ability to meet liquidity needs in light of operating requirements, strategic transactions, and macroeconomic conditions; expenses and payouts for the U.S. retirement plans and the funded status of the primary pension plan; expected liability for and future contributions to the UMWA plans; liability for black lung obligations; the effect of pending legal matters, including the Chile antitrust matter; the impacts of the operating environment in Argentina; and expected future payments under contractual obligations. Forward-looking information in this document is subject to known and unknown risks, uncertainties, and contingencies, which are difficult to quantify and which could cause actual results, performance or achievements to differ materially from those that are anticipated.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These risks, uncertainties and contingencies, many of which are beyond our control, include, but are not limited to:</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 xml:space="preserve">our ability to improve profitability and execute further cost and operational improvements and efficiencies in our core businesses;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 xml:space="preserve">our ability to improve service levels and quality in our core businesses;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 xml:space="preserve">market volatility and commodity price fluctuations;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general economic issues, including supply chain disruptions, fuel price increases, new or increased international tariffs and/or trade barriers, inflation, recessionary conditions and changes in interests rates;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 xml:space="preserve">seasonality, pricing and other competitive industry factors;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 xml:space="preserve">investment in information technology ("IT") and its impact on revenue and profit growth;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risks associated with the usage of artificial intelligence ("AI") technologies, including operational, regulatory, cybersecurity, data integrity and reputational risks;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our ability to maintain an effective IT infrastructure and safeguard confidential information and risks related to a failure of our IT systems and networks, including cloud-based applications, and risks associated with current and emerging technology threats, and damage from computer viruses, unauthorized access and cyber attacks, including increasingly sophisticated cyber attacks incorporating the use of AI and other similar disruptions;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 xml:space="preserve">our ability to effectively develop and implement solutions for our customers;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 xml:space="preserve">risks associated with operating in foreign countries, including changing political, labor and economic conditions (including political conflict or unrest), regulatory issues (including the imposition of international sanctions, including by the U.S. government), military conflicts (including but not limited to the conflict in Israel and surrounding areas and other regional or global conflicts, and the possible expansion of such conflicts and related geopolitical consequences, currency restrictions and devaluations, restrictions on and cost of repatriating earnings and capital, impact on the Company's financial results as a result of jurisdictions' higher-than-expected inflation and those determined to be highly inflationary, and restrictive government actions, including nationalization;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labor issues, including labor shortages, negotiations with organized labor and work stoppages;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pandemics, acts of terrorism, strikes or other extraordinary events that negatively affect global or regional cash commerce;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 xml:space="preserve">the strength of the U.S. dollar relative to foreign currencies and foreign currency exchange rates;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 xml:space="preserve">our ability to identify, evaluate and complete acquisitions and other strategic transactions and to successfully integrate acquired companies, including the costs, timing, financing arrangements, and realization of expected benefits of such transactions;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 xml:space="preserve">costs related to dispositions and product or market exits;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our ability to obtain appropriate insurance coverage, positions taken by insurers relative to claims and the financial condition of insurers;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safety and security performance and loss experience;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 xml:space="preserve">employee, environmental and other liabilities in connection with former coal operations, including black lung claims;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 xml:space="preserve">the impact of the American Rescue Plan Act and Patient Protection and Affordable Care Act on legacy liabilities and ongoing operations;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 xml:space="preserve">funding requirements, accounting treatment, and investment performance of our pension plans, the VEBA and other employee benefits;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 xml:space="preserve">changes to estimated liabilities and assets in actuarial assumptions;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 xml:space="preserve">the nature of hedging relationships and counterparty risk;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 xml:space="preserve">access to the capital and credit markets;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 xml:space="preserve">our ability to realize deferred tax assets;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the impact of foreign tax credit regulations;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the impact of significant U.S. tax or fiscal legislation, including the One Big Beautiful Bill Act ("OBBBA");</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 xml:space="preserve">the outcome of pending and future claims, litigation, and administrative proceedings;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our ability to comply with regulatory compliance obligations;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 xml:space="preserve">public perception of our business, reputation and brand;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 xml:space="preserve">our ability to identify, recruit and retain key employees;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changes in estimates and assumptions underlying our critical accounting policies;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1445"/>
                <wp:effectExtent l="0" t="0" r="0" b="0"/>
                <wp:wrapNone/>
                <wp:docPr id="16" name="Frame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the promulgation and adoption of new accounting standards, new government regulations and interpretation of existing standards and regulations.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shd w:fill="FFFFFF" w:val="clear"/>
        </w:rPr>
        <w:t xml:space="preserve">This list of risks, uncertainties and contingencies is not intended to be exhaustive. Additional factors that could cause our results to differ materially from those described in the forward-looking statements can be found under “Risk Factors” in Item 1A of this Form 10-K and in our other public filings with the SEC. </w:t>
      </w:r>
      <w:r>
        <w:rPr>
          <w:rFonts w:ascii="Times New Roman;serif" w:hAnsi="Times New Roman;serif"/>
          <w:b w:val="false"/>
          <w:color w:val="000000"/>
          <w:sz w:val="18"/>
        </w:rPr>
        <w:t>The information included in this document is representative only as of the date of this document, and The Brink’s Company undertakes no obligation to update any information contained in this document. All risk factors and uncertainties described herein and therein should be considered in evaluating forward-looking statements, and all of the forward-looking statements in this document are expressly qualified by the cautionary statements contained or referred to herein and therein. The actual results or developments anticipated may not be realized or, even if substantially realized, they may not have the expected consequences to or effects on the Company or our business or operations. Readers are cautioned not to rely too heavily on the forward-looking statements contained in this document. The forward looking information included in this document is representative only as of the date of this document, and The Brink’s Company undertakes no obligation to update, revise or clarify forward-looking statements, whether as a result of new information, future events or otherwise,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1445"/>
                <wp:effectExtent l="0" t="0" r="0" b="0"/>
                <wp:wrapNone/>
                <wp:docPr id="17" name="Frame1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ITEM 1B.  UNRESOLVED STAFF COMMENTS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ITEM 1C.  CYBERSECURITY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Overview</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Company’s Global Chief Information Officer (“Global CIO”) leads all aspects of the Company’s IT strategy, including digital capabilities and information systems. The Company’s Global Chief Information Security Officer (“Global CISO”), who reports to the Global CIO, is responsible for leading our enterprise-wide cybersecurity strategy, policy, standards, architecture and processes, including the Brink’s GIS Program. The Global CIO, with support from the Global CISO, provides periodic reports to the Board, the Chief Executive Officer, the Chief Financial Officer (“CFO”) (to whom the Global CIO reports) and other members of our senior management. These reports include updates on our cybersecurity risks and threats, the status of projects to strengthen our information security systems, assessments of the information security program and the emerging threat landscape. The GIS Program is regularly evaluated internally and externally, including by third-party experts, and the results of those evaluations are reported to senior management and the Board. The Company also actively engages with key vendors, industry participants and intelligence and law enforcement communities as part of its continuing efforts to evaluate and enhance the effectiveness of its information security program, policies and procedures.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Cybersecurity Risk Management and Strategy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The Company’s Processes for Assessing, Identifying, and Managing Material Cybersecurity Risks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Company's processes for assessing, identifying, and managing cybersecurity risks generally follow frameworks established by the International Organization for Standardization (ISO) and the U.S. National Institute of Standards and Technology (NIST). The Company relies on its IT infrastructure, including the GIS Program, which is designed to reduce cybersecurity risks by ensuring that computer systems are secure through protecting networks, systems, applications, hardware, and data to mitigate cyber attacks. Our business includes managing, processing, storing and transmitting proprietary and confidential data, including personally identifiable information and other confidential information. The Company’s IT infrastructure and GIS Program are critical to its business activities, and any unauthorized access to, unplanned disruptions or failures of, or cybersecurity attacks, on these systems pose risks to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The Company has an enterprise risk management ("ERM") program, for which the Board has oversight responsibility. Under the ERM program, senior leaders from across the Company’s global footprint annually evaluate risks according to likelihood, significance and velocity to identify and prioritize the most significant risks facing the Company. "IT and Cybersecurity risk" has been identified as part of the ERM program as a significant risk, and the CFO is assigned to this risk area to ensure the development of mitigation plans, monitor progress against those plans, and maintain and measure against a set of key risk indicators.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 addition, the Company’s Global Security Operations Center (the “GSOC”), an internal monitoring and reporting center that is a part of the GIS Program, provides 24/7 monitoring, detection and response capabilities for cybersecurity events. The GSOC also analyzes cyber threat intelligence from a variety of paid and non-paid sources.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Cybersecurity Risk Management and Mitigation</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Global CISO manages our risk monitoring and mitigation processes and is responsible for cybersecurity risk management. The Company has adopted physical, technological and administrative cybersecurity controls and has defined procedures for incident detection, containment, response and remediation. The Global CISO works with business units and IT to ensure the appropriate policies are in place and to improve efficiency. Our global IT governance, risk and compliance team, which is a part of the GIS Program, manages IT general controls and cybersecurity best practices. We have an internal cybersecurity incident response plan designed to minimize the impact of cyber incidents and ensure consistent responses to any such incident. This plan undergoes regular review and update by outside counsel.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Company builds information security awareness among our employees by conducting regular training on our cybersecurity and data protection policies and executing vulnerability testing with employee simulated email threats. The Company also regularly updates employees on cybersecurity issues, assesses for susceptibility to email phishing and provides tools to alert the global information security team to potential phishing activity. Our employees have multiple mechanisms for reporting cybersecurity and data privacy concerns to the Company, including the Brink’s GSOC and the Brink’s Ethics Hotline. We believe providing ongoing training and real-world learnings to the Company’s workforce is a crucial part of ensuring security and defending against future attacks.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The Company internally assesses its cybersecurity regularly and engages a third-party external auditor to conduct annual cybersecurity risk assessments, both of which allow us to identify key cybersecurity and data protection risks and develop plans, policies, and procedures to mitigate such risks.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We also have a vulnerability management program in place that is designed to protect our external and internal networks and critical assets. In addition, we have designed policies and procedures so that our Disclosure Committee, which is composed of members of management and is co-chaired by the Company’s CFO and Chief Legal Officer, is appropriately informed of significant cybersecurity matters to ensure compliance with applicable cybersecurity disclosure requirements for our public filings. The Disclosure Committee meets on a quarterly basis and more often as needed.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1445"/>
                <wp:effectExtent l="0" t="0" r="0" b="0"/>
                <wp:wrapNone/>
                <wp:docPr id="18" name="Frame1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maintain cybersecurity insurance and regularly consult with third-party cybersecurity experts during our review of existing cybersecurity controls. We also perform periodic assessments of our key vendors, which allow the Company to identify vendor cybersecurity risks and develop reasonable mitigation plans.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Impacts of Cybersecurity Threats and Prior Incidents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We have experienced and expect to continue to experience cybersecurity attacks and have expended human and financial resources to respond to such attacks.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Although we have taken significant steps to mitigate cybersecurity risk across a range of functions, such measures can never eliminate the risk entirely or provide absolute security. As of December 31, 2025, management has determined that none of the cyberattacks we have experienced, individually or in the aggregate, have had a material adverse effect on our business, financial condition, or results of operations, but we cannot provide assurance that we will not be materially affected in the future by such risks or any future material incidents. For more information about these risks, see the risk factor titled “</w:t>
      </w:r>
      <w:r>
        <w:rPr>
          <w:rFonts w:ascii="Times New Roman;serif" w:hAnsi="Times New Roman;serif"/>
          <w:b w:val="false"/>
          <w:i/>
          <w:color w:val="000000"/>
          <w:sz w:val="18"/>
        </w:rPr>
        <w:t>Risks associated with information technology can expose Brink’s to business disruptions, cybersecurity breaches and regulatory violations</w:t>
      </w:r>
      <w:r>
        <w:rPr>
          <w:color w:val="000000"/>
        </w:rPr>
        <w:t xml:space="preserve">” </w:t>
      </w:r>
      <w:r>
        <w:rPr>
          <w:rFonts w:ascii="Times New Roman;serif" w:hAnsi="Times New Roman;serif"/>
          <w:b w:val="false"/>
          <w:color w:val="000000"/>
          <w:sz w:val="18"/>
        </w:rPr>
        <w:t>under Item 1A of this Annual Report on Form 10-K and incorporated by reference herein.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18"/>
        </w:rPr>
        <w:t>Cybersecurity Governance</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Audit and Ethic Committee's Oversight of Risks from Cybersecurity Threats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The Board oversees our ERM program, and has delegated responsibility for cybersecurity and IT risk oversight to the Audit and Ethics Committee. The Committee receives regular briefings from the Global CIO, with support from the Global CISO, regarding our cybersecurity risk management framework and the actions taken, underway or planned to mitigate cybersecurity risks. These updates include assessments of our information security program, initiatives to enhance system resilience, and developments in the evolving cybersecurity threat landscape.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18"/>
        </w:rPr>
        <w:t>Management’s Role in Assessing and Managing our Material Risks from Cybersecurity Threats</w:t>
      </w:r>
      <w:r>
        <w:rPr>
          <w:color w:val="000000"/>
        </w:rPr>
        <w:t xml:space="preserve">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Neelu Sethi serves as the Global CIO and reports to Kurt McMaken, the CFO. Ms. Sethi has over 25 years of experience in the IT field and oversees all aspects of our IT, from planning and implementing enterprise IT systems to improving service quality, compliance and corporate development. Ms. Sethi sets our strategic vision and roadmap to define, build and optimize our IT systems, policies and operations.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James Holley, the Global CISO, oversees our information, cyber, and technology security and reports to the Company’s Global CIO. Mr. Holley has over 30 years of leadership, operational and technical experience in information security. He leads the development, implementation and enforcement of security policies and data breach resiliency plans, as well as works with internal and external cybersecurity and IT teams to monitor and maintain the security of our IT infrastructure. Mr. Holley holds a master's degree in computer science with a concentration in information security as well as multiple information security certifications.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1445"/>
                <wp:effectExtent l="0" t="0" r="0" b="0"/>
                <wp:wrapNone/>
                <wp:docPr id="19" name="Frame1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ITEM 2.  PROPERTIES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have property and equipment in locations throughout the world. Branch facilities generally have office space to support operations, a vault to securely process and store valuables and a garage to house armored vehicles and serve as a vehicle terminal. Many branches have additional space to repair and maintain vehicles.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own or lease armored vehicles, panel trucks and other vehicles that are primarily service vehicles. Our armored vehicles are of bullet-resistant construction and are specially designed and equipped to provide security for the crew and cargo.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table discloses leased and owned facilities and vehicles for Brink’s most significant operations as of December 31, 2025.</w:t>
      </w:r>
    </w:p>
    <w:p>
      <w:pPr>
        <w:pStyle w:val="TextBody"/>
        <w:bidi w:val="0"/>
        <w:spacing w:before="0" w:after="0"/>
        <w:jc w:val="left"/>
        <w:rPr/>
      </w:pPr>
      <w:r>
        <w:rPr/>
      </w:r>
    </w:p>
    <w:tbl>
      <w:tblPr>
        <w:tblW w:w="7394" w:type="dxa"/>
        <w:jc w:val="left"/>
        <w:tblInd w:w="0" w:type="dxa"/>
        <w:tblLayout w:type="fixed"/>
        <w:tblCellMar>
          <w:top w:w="28" w:type="dxa"/>
          <w:left w:w="28" w:type="dxa"/>
          <w:bottom w:w="28" w:type="dxa"/>
          <w:right w:w="28" w:type="dxa"/>
        </w:tblCellMar>
      </w:tblPr>
      <w:tblGrid>
        <w:gridCol w:w="462"/>
        <w:gridCol w:w="406"/>
        <w:gridCol w:w="407"/>
        <w:gridCol w:w="277"/>
        <w:gridCol w:w="279"/>
        <w:gridCol w:w="201"/>
        <w:gridCol w:w="109"/>
        <w:gridCol w:w="109"/>
        <w:gridCol w:w="109"/>
        <w:gridCol w:w="210"/>
        <w:gridCol w:w="211"/>
        <w:gridCol w:w="211"/>
        <w:gridCol w:w="109"/>
        <w:gridCol w:w="109"/>
        <w:gridCol w:w="109"/>
        <w:gridCol w:w="277"/>
        <w:gridCol w:w="279"/>
        <w:gridCol w:w="156"/>
        <w:gridCol w:w="109"/>
        <w:gridCol w:w="109"/>
        <w:gridCol w:w="109"/>
        <w:gridCol w:w="278"/>
        <w:gridCol w:w="278"/>
        <w:gridCol w:w="201"/>
        <w:gridCol w:w="109"/>
        <w:gridCol w:w="109"/>
        <w:gridCol w:w="109"/>
        <w:gridCol w:w="277"/>
        <w:gridCol w:w="279"/>
        <w:gridCol w:w="211"/>
        <w:gridCol w:w="109"/>
        <w:gridCol w:w="109"/>
        <w:gridCol w:w="109"/>
        <w:gridCol w:w="323"/>
        <w:gridCol w:w="323"/>
        <w:gridCol w:w="213"/>
      </w:tblGrid>
      <w:tr>
        <w:trPr/>
        <w:tc>
          <w:tcPr>
            <w:tcW w:w="46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75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Facilities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Vehicles</w:t>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Segments</w:t>
            </w:r>
          </w:p>
        </w:tc>
        <w:tc>
          <w:tcPr>
            <w:tcW w:w="7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Leased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Owned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Leased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Owned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12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North America</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Latin America</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Europe</w:t>
            </w:r>
            <w:r>
              <w:rPr>
                <w:rFonts w:ascii="Times New Roman;serif" w:hAnsi="Times New Roman;serif"/>
                <w:b w:val="false"/>
                <w:color w:val="000000"/>
                <w:sz w:val="12"/>
              </w:rPr>
              <w:t>(a)</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Rest of World</w:t>
            </w:r>
            <w:r>
              <w:rPr>
                <w:rFonts w:ascii="Times New Roman;serif" w:hAnsi="Times New Roman;serif"/>
                <w:b w:val="false"/>
                <w:color w:val="000000"/>
                <w:sz w:val="12"/>
              </w:rPr>
              <w:t>(a)</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Items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55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1,076 </w:t>
            </w:r>
          </w:p>
        </w:tc>
        <w:tc>
          <w:tcPr>
            <w:tcW w:w="20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1,238 </w:t>
            </w:r>
          </w:p>
        </w:tc>
        <w:tc>
          <w:tcPr>
            <w:tcW w:w="1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8,302 </w:t>
            </w:r>
          </w:p>
        </w:tc>
        <w:tc>
          <w:tcPr>
            <w:tcW w:w="20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7,587 </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15,889 </w:t>
            </w:r>
          </w:p>
        </w:tc>
        <w:tc>
          <w:tcPr>
            <w:tcW w:w="2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14"/>
        </w:rPr>
      </w:pPr>
      <w:r>
        <w:rPr>
          <w:rFonts w:ascii="Times New Roman;serif" w:hAnsi="Times New Roman;serif"/>
          <w:b w:val="false"/>
          <w:color w:val="000000"/>
          <w:sz w:val="14"/>
        </w:rPr>
        <w:t>(a)Effective December 31, 2025, operations in certain geographies were moved from the Rest of World segment to the Europe segment. See Note 3 for more information. As of December 31, 2024, the Rest of World segment had included 15 leased facilities, 112 leased vehicles, and 112 owned vehicles related to those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ITEM 3.  LEGAL PROCEEDINGS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For a discussion of legal proceedings, see Note 22 to the consolidated financial statements, “Other Commitments and Contingencies,” in Part II, Item 8 of this Form 10-K, which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ITEM 4.  MINE SAFETY DISCLOSURES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1445"/>
                <wp:effectExtent l="0" t="0" r="0" b="0"/>
                <wp:wrapNone/>
                <wp:docPr id="20" name="Frame2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Information about Our Executive Officers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is a list as of February 26, 2026, of the names and ages of the executive officers of the Company indicating the principal positions and offices held by each. There are no family relationships among any of the officers named.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14"/>
        <w:gridCol w:w="611"/>
        <w:gridCol w:w="623"/>
        <w:gridCol w:w="165"/>
        <w:gridCol w:w="166"/>
        <w:gridCol w:w="136"/>
        <w:gridCol w:w="109"/>
        <w:gridCol w:w="109"/>
        <w:gridCol w:w="109"/>
        <w:gridCol w:w="2089"/>
        <w:gridCol w:w="2080"/>
        <w:gridCol w:w="2087"/>
        <w:gridCol w:w="109"/>
        <w:gridCol w:w="109"/>
        <w:gridCol w:w="109"/>
        <w:gridCol w:w="256"/>
        <w:gridCol w:w="256"/>
        <w:gridCol w:w="368"/>
      </w:tblGrid>
      <w:tr>
        <w:trPr/>
        <w:tc>
          <w:tcPr>
            <w:tcW w:w="714"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9" w:type="dxa"/>
            <w:tcBorders/>
            <w:vAlign w:val="center"/>
          </w:tcPr>
          <w:p>
            <w:pPr>
              <w:pStyle w:val="TableContents"/>
              <w:bidi w:val="0"/>
              <w:spacing w:before="0" w:after="283"/>
              <w:jc w:val="left"/>
              <w:rPr>
                <w:sz w:val="4"/>
                <w:szCs w:val="4"/>
              </w:rPr>
            </w:pPr>
            <w:r>
              <w:rPr>
                <w:sz w:val="4"/>
                <w:szCs w:val="4"/>
              </w:rPr>
            </w:r>
          </w:p>
        </w:tc>
        <w:tc>
          <w:tcPr>
            <w:tcW w:w="2080" w:type="dxa"/>
            <w:tcBorders/>
            <w:vAlign w:val="center"/>
          </w:tcPr>
          <w:p>
            <w:pPr>
              <w:pStyle w:val="TableContents"/>
              <w:bidi w:val="0"/>
              <w:spacing w:before="0" w:after="283"/>
              <w:jc w:val="left"/>
              <w:rPr>
                <w:sz w:val="4"/>
                <w:szCs w:val="4"/>
              </w:rPr>
            </w:pPr>
            <w:r>
              <w:rPr>
                <w:sz w:val="4"/>
                <w:szCs w:val="4"/>
              </w:rPr>
            </w:r>
          </w:p>
        </w:tc>
        <w:tc>
          <w:tcPr>
            <w:tcW w:w="20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1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Name</w:t>
            </w:r>
          </w:p>
        </w:tc>
        <w:tc>
          <w:tcPr>
            <w:tcW w:w="4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Positions and Offices Held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Held Since</w:t>
            </w:r>
          </w:p>
        </w:tc>
      </w:tr>
      <w:tr>
        <w:trPr/>
        <w:tc>
          <w:tcPr>
            <w:tcW w:w="19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 Eubanks</w:t>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President and Chief Executive Officer</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2022</w:t>
            </w:r>
          </w:p>
        </w:tc>
      </w:tr>
      <w:tr>
        <w:trPr/>
        <w:tc>
          <w:tcPr>
            <w:tcW w:w="1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Kurt B. McMaken</w:t>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Executive Vice President and Chief Financial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2022</w:t>
            </w:r>
          </w:p>
        </w:tc>
      </w:tr>
      <w:tr>
        <w:trPr/>
        <w:tc>
          <w:tcPr>
            <w:tcW w:w="19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Guillermo Peschard Mijares</w:t>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Executive Vice President and President, Latin America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2024</w:t>
            </w:r>
          </w:p>
        </w:tc>
      </w:tr>
      <w:tr>
        <w:trPr/>
        <w:tc>
          <w:tcPr>
            <w:tcW w:w="1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Elizabeth A. Galloway</w:t>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Executive Vice President and Chief Human Resources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2023</w:t>
            </w:r>
          </w:p>
        </w:tc>
      </w:tr>
      <w:tr>
        <w:trPr/>
        <w:tc>
          <w:tcPr>
            <w:tcW w:w="1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Kristen Cook</w:t>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Executive Vice President, Chief Legal Officer and Corporate Secretary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1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Nader Antar</w:t>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Executive Vice President and President, Brink's Rest of World and Brink's Global Services (BGS)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1948"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Michael Gabay</w:t>
            </w:r>
          </w:p>
        </w:tc>
        <w:tc>
          <w:tcPr>
            <w:tcW w:w="33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3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5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Executive Vice President and President, Brink's Europe</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2025</w:t>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Executive and other officers of the Company are elected annually and serve at the pleasure of the Board.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 xml:space="preserve">Mr. Eubanks was appointed President and Chief Executive Officer, effective May 2022. Prior to that, he served as Executive Vice President and Chief Operating Officer of the Company from September 2021 to May 2022. Before joining Brink’s, Mr. Eubanks most recently </w:t>
      </w:r>
      <w:r>
        <w:rPr>
          <w:rFonts w:ascii="Times New Roman;serif" w:hAnsi="Times New Roman;serif"/>
          <w:b w:val="false"/>
          <w:color w:val="000000"/>
          <w:sz w:val="18"/>
          <w:shd w:fill="FFFFFF" w:val="clear"/>
        </w:rPr>
        <w:t>served as President, Europe, Middle East and Africa for Otis Worldwide Corporation, the leading elevator and escalator manufacturing, installation and service company, from April 2019 to September 2020. Prior to that, he was Group President, Electrical Products, for Eaton Corporation plc ("Eaton"), an intelligent power management company, from 2015 to 2019.</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Mr. McMaken was appointed Executive Vice President and Chief Financial Officer in August 2022. Prior to that, he served in a number of financial and management roles of increasing responsibility at Eaton from 2001 to 2022, most recently as Senior Vice President, Operations Finance and Transformation. Prior to joining Eaton, Mr. McMaken served in Audit &amp; Business Advisory Services at PricewaterhouseCoopers LLP from 1992 to 1999.</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Mr. Peschard was appointed as Executive Vice President and President, Latin America in December 2024. Prior to that, he served as Senior Vice President of Global Strategic Cost Transformation at PepsiCo, Inc. ("PepsiCo"), a multinational food, snack and beverage corporation, from 2020 to 2024 and previously as Chief Strategy and Transformation Officer for PepsiCo's Latin American business from 2015-2020. Prior to that, he served as the General Manager and Senior Vice President at Walmart Mexico and Central America's Financial Services business from 2014-2015 and served as the Chairman of the Board of Banco Walmart Mexico in 2015.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Ms. Galloway was appointed as the Company’s Executive Vice President and Chief Human Resources Officer in May 2023. Prior to that, she served as Executive Vice President and Chief Human Resources Officer at Invitation Homes, Inc., the leading single-family home leasing and management company in the United States, from 2019 to May 2023. Prior to that, she served as Chief Human Resources Officer at At Home Group Inc. ("At Home"), an operator of home decor superstores, from 2018 to 2019. Before At Home, Ms. Galloway also served in human resources leadership roles at PepsiCo, Owens Corning, a leading building and construction materials manufacturer, and Marathon Petroleum Corporation, a petroleum refining, marketing and transportation company.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Ms. Cook was appointed as the Company's Executive Vice President, Chief Legal Officer and Corporate Secretary in August 2025. Prior to joining Brink's, Ms. Cook held multiple senior leadership roles during her 15-year tenure at 7-Eleven, Inc., a global convenience retailer, including Chief of Staff to the Chief Executive Officer from 2023 to 2025 and Deputy General Counsel.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Mr. Antar was appointed Executive Vice President and President, Brink's Rest of World and Brink's Global Services (BGS) in April 2025. He initially joined Brink's in October 2024 as Executive Vice President and President of BGS. Prior to joining Brink's, he served as President of Saur International, an environmental services company specializing in water management treatment, from June 2022 to September 2024. Prior to that, he served as President - North, Central, Eastern Europe &amp; Middle East and CTO &amp; Head of Strategy - EMEA at Otis Worldwide Corporation, the leading elevator and escalator manufacturing, installation and service company, from June 2014 to May 2022.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Mr. Gabay was appointed as Executive Vice President and President, Brink's Europe in April, 2025. From 2021 to March 2025, he served a General Manager of Brink's France. Prior to that time, he held various management positions within the Company.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1445"/>
                <wp:effectExtent l="0" t="0" r="0" b="0"/>
                <wp:wrapNone/>
                <wp:docPr id="21" name="Frame2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19</w:t>
                      </w:r>
                    </w:p>
                  </w:txbxContent>
                </v:textbox>
                <w10:wrap type="none"/>
              </v:rect>
            </w:pict>
          </mc:Fallback>
        </mc:AlternateContent>
      </w:r>
    </w:p>
    <w:p>
      <w:pPr>
        <w:pStyle w:val="TextBody"/>
        <w:bidi w:val="0"/>
        <w:spacing w:before="0" w:after="0"/>
        <w:jc w:val="left"/>
        <w:rPr/>
      </w:pPr>
      <w:r>
        <w:rPr/>
      </w:r>
    </w:p>
    <w:tbl>
      <w:tblPr>
        <w:tblW w:w="1079" w:type="dxa"/>
        <w:jc w:val="left"/>
        <w:tblInd w:w="0" w:type="dxa"/>
        <w:tblLayout w:type="fixed"/>
        <w:tblCellMar>
          <w:top w:w="28" w:type="dxa"/>
          <w:left w:w="28" w:type="dxa"/>
          <w:bottom w:w="28" w:type="dxa"/>
          <w:right w:w="28" w:type="dxa"/>
        </w:tblCellMar>
      </w:tblPr>
      <w:tblGrid>
        <w:gridCol w:w="345"/>
        <w:gridCol w:w="303"/>
        <w:gridCol w:w="431"/>
      </w:tblGrid>
      <w:tr>
        <w:trPr/>
        <w:tc>
          <w:tcPr>
            <w:tcW w:w="345"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r>
      <w:tr>
        <w:trPr/>
        <w:tc>
          <w:tcPr>
            <w:tcW w:w="1079"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PART II</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ITEM 5. MARKET FOR REGISTRANT’S COMMON EQUITY, RELATED STOCKHOLDER MATTERS AND ISSUER PURCHASES OF EQUITY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Our common stock trades on the New York Stock Exchange under the symbol “BCO.” As of February 20, 2026, there were 914 shareholders of record of common stock. The number of record holders does not include beneficial owners of our securities whose shares are held in the names of various security brokers, dealers and registered clearing agencies.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 xml:space="preserve">Share Repurchase Program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 December 2025, our Board authorized a $750 million share repurchase program that expires on December 31, 2027 (the “2025 Repurchase Program”).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Under the 2025 Repurchase Program, we are not obligated to repurchase any specific dollar amount or number of shares. The timing and volume of share repurchases may be executed at the discretion of management on an opportunistic basis, or pursuant to trading plans or other arrangements. Share repurchases under the 2025 Repurchase Program may be made in the open market, in privately negotiated transactions, or otherwise.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On November 2, 2023, our Board authorized a $500 million share repurchase program (the “2023 Repurchase Program”). Under the 2023 Repurchase program, in 2025, we repurchased a total of 2,210,616 shares of our common stock for an aggregate of $209.4 million and an average price of $94.74 per share. In 2024, we repurchased a total of 2,108,544 shares of our common stock for an aggregate of $203.6 million and an average price of $96.54 per share. These shares were retired upon repurchase.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 October 2021, we announced that our Board authorized a $250 million share repurchase program (the "2021 Repurchase Program"). Under the 2021 Repurchase Program, in 2023, we repurchased a total of 2,297,955 shares of our common stock for an aggregate of $169.9 million and an average price of $73.92 per share. These shares were retired upon repurchase. The 2021 Repurchase Program expired on December 31, 2023.</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table provides information about common stock repurchases by the Company during the quarter then ended December 31, 2025.</w:t>
      </w:r>
    </w:p>
    <w:tbl>
      <w:tblPr>
        <w:tblW w:w="10205" w:type="dxa"/>
        <w:jc w:val="center"/>
        <w:tblInd w:w="0" w:type="dxa"/>
        <w:tblLayout w:type="fixed"/>
        <w:tblCellMar>
          <w:top w:w="28" w:type="dxa"/>
          <w:left w:w="28" w:type="dxa"/>
          <w:bottom w:w="28" w:type="dxa"/>
          <w:right w:w="28" w:type="dxa"/>
        </w:tblCellMar>
      </w:tblPr>
      <w:tblGrid>
        <w:gridCol w:w="462"/>
        <w:gridCol w:w="283"/>
        <w:gridCol w:w="288"/>
        <w:gridCol w:w="109"/>
        <w:gridCol w:w="109"/>
        <w:gridCol w:w="109"/>
        <w:gridCol w:w="564"/>
        <w:gridCol w:w="427"/>
        <w:gridCol w:w="429"/>
        <w:gridCol w:w="109"/>
        <w:gridCol w:w="109"/>
        <w:gridCol w:w="109"/>
        <w:gridCol w:w="453"/>
        <w:gridCol w:w="313"/>
        <w:gridCol w:w="314"/>
        <w:gridCol w:w="109"/>
        <w:gridCol w:w="109"/>
        <w:gridCol w:w="109"/>
        <w:gridCol w:w="817"/>
        <w:gridCol w:w="727"/>
        <w:gridCol w:w="730"/>
        <w:gridCol w:w="109"/>
        <w:gridCol w:w="109"/>
        <w:gridCol w:w="109"/>
        <w:gridCol w:w="431"/>
        <w:gridCol w:w="2314"/>
        <w:gridCol w:w="345"/>
      </w:tblGrid>
      <w:tr>
        <w:trPr/>
        <w:tc>
          <w:tcPr>
            <w:tcW w:w="46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31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rPr/>
        <w:tc>
          <w:tcPr>
            <w:tcW w:w="10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 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 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(c) Total Number of Shares Purchased as Part of Publicly Announced Plans or Programs</w:t>
            </w:r>
            <w:r>
              <w:rPr>
                <w:rFonts w:ascii="Times New Roman;serif" w:hAnsi="Times New Roman;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(d) Maximum Number (or Approximate Dollar Value) of Shares that May Yet be Purchased Under the Plans or Programs</w:t>
            </w:r>
            <w:r>
              <w:rPr>
                <w:rFonts w:ascii="Times New Roman;serif" w:hAnsi="Times New Roman;serif"/>
                <w:b w:val="false"/>
                <w:color w:val="000000"/>
                <w:sz w:val="12"/>
              </w:rPr>
              <w:t>(1)</w:t>
            </w:r>
          </w:p>
        </w:tc>
      </w:tr>
      <w:tr>
        <w:trPr/>
        <w:tc>
          <w:tcPr>
            <w:tcW w:w="10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October 1 through</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October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45,807 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$112.80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45,807 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3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137,725,565 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November 1 through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November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193,852 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$111.71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239,659 </w:t>
            </w:r>
          </w:p>
        </w:tc>
        <w:tc>
          <w:tcPr>
            <w:tcW w:w="7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116,071,030 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December 1 through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December 31, 2025</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246,648 </w:t>
            </w:r>
          </w:p>
        </w:tc>
        <w:tc>
          <w:tcPr>
            <w:tcW w:w="42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$117.83</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486,307 </w:t>
            </w:r>
          </w:p>
        </w:tc>
        <w:tc>
          <w:tcPr>
            <w:tcW w:w="730"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87,009,159 </w:t>
            </w:r>
          </w:p>
        </w:tc>
        <w:tc>
          <w:tcPr>
            <w:tcW w:w="345"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(1)In the fourth quarter of 2023, the Company's Board of Directors approved a $500 million share repurchase program that expired on December 31, 2025.</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1445"/>
                <wp:effectExtent l="0" t="0" r="0" b="0"/>
                <wp:wrapNone/>
                <wp:docPr id="22" name="Frame2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graph compares the cumulative 5-year total return provided to shareholders of The Brink’s Company’s common stock compared to the cumulative total returns of the S&amp;P Midcap 400 index and the common stocks of a selected peer group of companies. Given our unique service offerings, we do not believe that any single published industry index is appropriate for comparing shareholder return. Therefore, the peer group used in the performance graph combines publicly traded companies in the logistics services industry that have similar operational characteristics, such as route-based delivery of services. The companies included in the peer group are Cintas Corporation, Iron Mountain, Inc., Euronet Worldwide, Inc., UniFirst Corporation and Waste Management, Inc.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graph tracks the performance of a $100 investment in our common stock and in each index from December 31, 2020, through December 31, 2025. The performance of The Brink’s Company’s common stock assumes that the shareholder reinvested all dividends received during the period.</w:t>
      </w:r>
    </w:p>
    <w:p>
      <w:pPr>
        <w:pStyle w:val="TextBody"/>
        <w:bidi w:val="0"/>
        <w:spacing w:before="0" w:after="0"/>
        <w:jc w:val="center"/>
        <w:rPr/>
      </w:pPr>
      <w:r>
        <w:rPr/>
      </w:r>
    </w:p>
    <w:p>
      <w:pPr>
        <w:pStyle w:val="TextBody"/>
        <w:bidi w:val="0"/>
        <w:spacing w:before="0" w:after="0"/>
        <w:jc w:val="center"/>
        <w:rPr/>
      </w:pPr>
      <w:r>
        <w:rPr/>
        <w:drawing>
          <wp:inline distT="0" distB="0" distL="0" distR="0">
            <wp:extent cx="6515100" cy="3448050"/>
            <wp:effectExtent l="0" t="0" r="0" b="0"/>
            <wp:docPr id="2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 descr=""/>
                    <pic:cNvPicPr>
                      <a:picLocks noChangeAspect="1" noChangeArrowheads="1"/>
                    </pic:cNvPicPr>
                  </pic:nvPicPr>
                  <pic:blipFill>
                    <a:blip r:embed="rId2"/>
                    <a:stretch>
                      <a:fillRect/>
                    </a:stretch>
                  </pic:blipFill>
                  <pic:spPr bwMode="auto">
                    <a:xfrm>
                      <a:off x="0" y="0"/>
                      <a:ext cx="6515100" cy="3448050"/>
                    </a:xfrm>
                    <a:prstGeom prst="rect">
                      <a:avLst/>
                    </a:prstGeom>
                  </pic:spPr>
                </pic:pic>
              </a:graphicData>
            </a:graphic>
          </wp:inline>
        </w:drawing>
      </w:r>
      <w:bookmarkStart w:id="0" w:name="i-1"/>
      <w:bookmarkEnd w:id="0"/>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*$100 invested on 12/31/20 in stock or index, including reinvestment of dividends</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Fiscal Year ending December 31.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Source: Zacks Investment Research, Inc.</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18"/>
        </w:rPr>
        <w:t>Comparison of Five-Year Cumulative Total Return</w:t>
      </w:r>
      <w:r>
        <w:rPr>
          <w:rFonts w:ascii="Times New Roman;serif" w:hAnsi="Times New Roman;serif"/>
          <w:b/>
          <w:color w:val="000000"/>
          <w:sz w:val="12"/>
        </w:rPr>
        <w:t>(a)</w:t>
      </w:r>
    </w:p>
    <w:tbl>
      <w:tblPr>
        <w:tblW w:w="8528" w:type="dxa"/>
        <w:jc w:val="left"/>
        <w:tblInd w:w="0" w:type="dxa"/>
        <w:tblLayout w:type="fixed"/>
        <w:tblCellMar>
          <w:top w:w="28" w:type="dxa"/>
          <w:left w:w="28" w:type="dxa"/>
          <w:bottom w:w="28" w:type="dxa"/>
          <w:right w:w="28" w:type="dxa"/>
        </w:tblCellMar>
      </w:tblPr>
      <w:tblGrid>
        <w:gridCol w:w="675"/>
        <w:gridCol w:w="591"/>
        <w:gridCol w:w="594"/>
        <w:gridCol w:w="196"/>
        <w:gridCol w:w="646"/>
        <w:gridCol w:w="109"/>
        <w:gridCol w:w="109"/>
        <w:gridCol w:w="109"/>
        <w:gridCol w:w="109"/>
        <w:gridCol w:w="323"/>
        <w:gridCol w:w="323"/>
        <w:gridCol w:w="156"/>
        <w:gridCol w:w="109"/>
        <w:gridCol w:w="109"/>
        <w:gridCol w:w="109"/>
        <w:gridCol w:w="323"/>
        <w:gridCol w:w="323"/>
        <w:gridCol w:w="156"/>
        <w:gridCol w:w="109"/>
        <w:gridCol w:w="109"/>
        <w:gridCol w:w="109"/>
        <w:gridCol w:w="323"/>
        <w:gridCol w:w="323"/>
        <w:gridCol w:w="156"/>
        <w:gridCol w:w="109"/>
        <w:gridCol w:w="109"/>
        <w:gridCol w:w="109"/>
        <w:gridCol w:w="323"/>
        <w:gridCol w:w="323"/>
        <w:gridCol w:w="156"/>
        <w:gridCol w:w="109"/>
        <w:gridCol w:w="109"/>
        <w:gridCol w:w="109"/>
        <w:gridCol w:w="330"/>
        <w:gridCol w:w="331"/>
        <w:gridCol w:w="213"/>
      </w:tblGrid>
      <w:tr>
        <w:trPr/>
        <w:tc>
          <w:tcPr>
            <w:tcW w:w="67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Years Ended December 31,</w:t>
            </w:r>
          </w:p>
        </w:tc>
      </w:tr>
      <w:tr>
        <w:trPr/>
        <w:tc>
          <w:tcPr>
            <w:tcW w:w="18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8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Brink's Company</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171.45</w:t>
            </w: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S&amp;P MidCap 400 Index</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154.68</w:t>
            </w: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Peer Group</w:t>
            </w:r>
          </w:p>
        </w:tc>
        <w:tc>
          <w:tcPr>
            <w:tcW w:w="84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136.16 </w:t>
            </w:r>
          </w:p>
        </w:tc>
        <w:tc>
          <w:tcPr>
            <w:tcW w:w="1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134.35 </w:t>
            </w:r>
          </w:p>
        </w:tc>
        <w:tc>
          <w:tcPr>
            <w:tcW w:w="1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168.52 </w:t>
            </w:r>
          </w:p>
        </w:tc>
        <w:tc>
          <w:tcPr>
            <w:tcW w:w="1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205.40 </w:t>
            </w:r>
          </w:p>
        </w:tc>
        <w:tc>
          <w:tcPr>
            <w:tcW w:w="1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210.59</w:t>
            </w:r>
            <w:r>
              <w:rPr>
                <w:color w:val="000000"/>
              </w:rPr>
              <w:t> </w:t>
            </w:r>
          </w:p>
        </w:tc>
        <w:tc>
          <w:tcPr>
            <w:tcW w:w="213"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(a)For the line designated as “The Brink’s Company” the graph depicts the cumulative return on $100 invested in The Brink’s Company’s common stock at December 31, 2020. The cumulative return for each index is measured on an annual basis for the periods from December 31, 2020, through December 31, 2025, with the value of each index set to $100 on December 31, 2020. Total return assumes reinvestment of dividends. We chose the S&amp;P Midcap 400 Index and our custom peer group as we are included in the S&amp;P Midcap 400 Index, and we believe the custom peer group has more similar characteristics to our company for the factors noted above.</w:t>
      </w:r>
    </w:p>
    <w:p>
      <w:pPr>
        <w:pStyle w:val="TextBody"/>
        <w:bidi w:val="0"/>
        <w:spacing w:before="80" w:after="283"/>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ITEM 6. RESERVED</w:t>
      </w:r>
    </w:p>
    <w:p>
      <w:pPr>
        <w:pStyle w:val="TextBody"/>
        <w:bidi w:val="0"/>
        <w:spacing w:lineRule="auto" w:line="288" w:before="0" w:after="0"/>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Not Applicable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1445"/>
                <wp:effectExtent l="0" t="0" r="0" b="0"/>
                <wp:wrapNone/>
                <wp:docPr id="24" name="Frame2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ITEM 7. MANAGEMENT’S DISCUSSION AND ANALYSIS OF FINANCIAL CONDITION AND RESULTS OF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erif" w:hAnsi="Times New Roman;serif"/>
          <w:b/>
          <w:color w:val="000000"/>
          <w:sz w:val="18"/>
        </w:rPr>
      </w:pPr>
      <w:r>
        <w:rPr>
          <w:rFonts w:ascii="Times New Roman;serif" w:hAnsi="Times New Roman;serif"/>
          <w:b/>
          <w:color w:val="000000"/>
          <w:sz w:val="18"/>
        </w:rPr>
        <w:t>THE BRINK’S COMPANY</w:t>
      </w:r>
    </w:p>
    <w:p>
      <w:pPr>
        <w:pStyle w:val="TextBody"/>
        <w:bidi w:val="0"/>
        <w:spacing w:lineRule="auto" w:line="288" w:before="180" w:after="283"/>
        <w:jc w:val="center"/>
        <w:rPr>
          <w:rFonts w:ascii="Times New Roman;serif" w:hAnsi="Times New Roman;serif"/>
          <w:b/>
          <w:color w:val="000000"/>
          <w:sz w:val="18"/>
        </w:rPr>
      </w:pPr>
      <w:r>
        <w:rPr>
          <w:rFonts w:ascii="Times New Roman;serif" w:hAnsi="Times New Roman;serif"/>
          <w:b/>
          <w:color w:val="000000"/>
          <w:sz w:val="18"/>
        </w:rPr>
        <w:t>MANAGEMENT’S DISCUSSION AND ANALYSIS OF</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FINANCIAL CONDITION AND RESULTS OF OPERATIONS</w:t>
      </w:r>
    </w:p>
    <w:p>
      <w:pPr>
        <w:pStyle w:val="TextBody"/>
        <w:bidi w:val="0"/>
        <w:spacing w:lineRule="auto" w:line="288" w:before="180" w:after="283"/>
        <w:jc w:val="center"/>
        <w:rPr>
          <w:rFonts w:ascii="Times New Roman;serif" w:hAnsi="Times New Roman;serif"/>
          <w:b/>
          <w:color w:val="000000"/>
          <w:sz w:val="18"/>
        </w:rPr>
      </w:pPr>
      <w:r>
        <w:rPr>
          <w:rFonts w:ascii="Times New Roman;serif" w:hAnsi="Times New Roman;serif"/>
          <w:b/>
          <w:color w:val="000000"/>
          <w:sz w:val="18"/>
        </w:rPr>
        <w:t xml:space="preserve">AS OF DECEMBER 31, 2025 AND 2024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AND FOR EACH OF THE YEARS IN THE THREE-YEAR PERIOD ENDED DECEMBER 31, 2025</w:t>
      </w:r>
    </w:p>
    <w:p>
      <w:pPr>
        <w:pStyle w:val="TextBody"/>
        <w:bidi w:val="0"/>
        <w:spacing w:lineRule="auto" w:line="288" w:before="180" w:after="283"/>
        <w:jc w:val="center"/>
        <w:rPr>
          <w:rFonts w:ascii="Times New Roman;serif" w:hAnsi="Times New Roman;serif"/>
          <w:b/>
          <w:color w:val="000000"/>
          <w:sz w:val="18"/>
        </w:rPr>
      </w:pPr>
      <w:r>
        <w:rPr>
          <w:rFonts w:ascii="Times New Roman;serif" w:hAnsi="Times New Roman;serif"/>
          <w:b/>
          <w:color w:val="000000"/>
          <w:sz w:val="18"/>
        </w:rPr>
        <w:t>TABLE OF CONTENTS</w:t>
      </w:r>
    </w:p>
    <w:tbl>
      <w:tblPr>
        <w:tblW w:w="7210" w:type="dxa"/>
        <w:jc w:val="left"/>
        <w:tblInd w:w="0" w:type="dxa"/>
        <w:tblLayout w:type="fixed"/>
        <w:tblCellMar>
          <w:top w:w="28" w:type="dxa"/>
          <w:left w:w="28" w:type="dxa"/>
          <w:bottom w:w="28" w:type="dxa"/>
          <w:right w:w="28" w:type="dxa"/>
        </w:tblCellMar>
      </w:tblPr>
      <w:tblGrid>
        <w:gridCol w:w="460"/>
        <w:gridCol w:w="405"/>
        <w:gridCol w:w="405"/>
        <w:gridCol w:w="1804"/>
        <w:gridCol w:w="1804"/>
        <w:gridCol w:w="1821"/>
        <w:gridCol w:w="149"/>
        <w:gridCol w:w="149"/>
        <w:gridCol w:w="213"/>
      </w:tblGrid>
      <w:tr>
        <w:trPr/>
        <w:tc>
          <w:tcPr>
            <w:tcW w:w="460"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Page</w:t>
            </w:r>
          </w:p>
        </w:tc>
      </w:tr>
      <w:tr>
        <w:trPr/>
        <w:tc>
          <w:tcPr>
            <w:tcW w:w="669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275bec4631da4b22a64426a3a4f02a78_70">
              <w:r>
                <w:rPr>
                  <w:rStyle w:val="InternetLink"/>
                  <w:rFonts w:ascii="Times New Roman;serif" w:hAnsi="Times New Roman;serif"/>
                  <w:b/>
                  <w:strike w:val="false"/>
                  <w:dstrike w:val="false"/>
                  <w:color w:val="000000"/>
                  <w:sz w:val="18"/>
                  <w:u w:val="none"/>
                  <w:effect w:val="none"/>
                </w:rPr>
                <w:t>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75bec4631da4b22a64426a3a4f02a78_70">
              <w:r>
                <w:rPr>
                  <w:rStyle w:val="InternetLink"/>
                  <w:rFonts w:ascii="Times New Roman;serif" w:hAnsi="Times New Roman;serif"/>
                  <w:b w:val="false"/>
                  <w:strike w:val="false"/>
                  <w:dstrike w:val="false"/>
                  <w:color w:val="000000"/>
                  <w:sz w:val="18"/>
                  <w:u w:val="none"/>
                  <w:effect w:val="none"/>
                </w:rPr>
                <w:t>23</w:t>
              </w:r>
            </w:hyperlink>
          </w:p>
        </w:tc>
      </w:tr>
      <w:tr>
        <w:trPr/>
        <w:tc>
          <w:tcPr>
            <w:tcW w:w="12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669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275bec4631da4b22a64426a3a4f02a78_73">
              <w:r>
                <w:rPr>
                  <w:rStyle w:val="InternetLink"/>
                  <w:rFonts w:ascii="Times New Roman;serif" w:hAnsi="Times New Roman;serif"/>
                  <w:b/>
                  <w:strike w:val="false"/>
                  <w:dstrike w:val="false"/>
                  <w:color w:val="000000"/>
                  <w:sz w:val="18"/>
                  <w:u w:val="none"/>
                  <w:effect w:val="none"/>
                </w:rPr>
                <w:t>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2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75bec4631da4b22a64426a3a4f02a78_76">
              <w:r>
                <w:rPr>
                  <w:rStyle w:val="InternetLink"/>
                  <w:rFonts w:ascii="Times New Roman;serif" w:hAnsi="Times New Roman;serif"/>
                  <w:b w:val="false"/>
                  <w:strike w:val="false"/>
                  <w:dstrike w:val="false"/>
                  <w:color w:val="000000"/>
                  <w:sz w:val="18"/>
                  <w:u w:val="none"/>
                  <w:effect w:val="none"/>
                </w:rPr>
                <w:t>Analysis of Results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75bec4631da4b22a64426a3a4f02a78_76">
              <w:r>
                <w:rPr>
                  <w:rStyle w:val="InternetLink"/>
                  <w:rFonts w:ascii="Times New Roman;serif" w:hAnsi="Times New Roman;serif"/>
                  <w:b w:val="false"/>
                  <w:strike w:val="false"/>
                  <w:dstrike w:val="false"/>
                  <w:color w:val="000000"/>
                  <w:sz w:val="18"/>
                  <w:u w:val="none"/>
                  <w:effect w:val="none"/>
                </w:rPr>
                <w:t>24</w:t>
              </w:r>
            </w:hyperlink>
          </w:p>
        </w:tc>
      </w:tr>
      <w:tr>
        <w:trPr/>
        <w:tc>
          <w:tcPr>
            <w:tcW w:w="12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2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Analysis of </w:t>
            </w:r>
            <w:hyperlink w:anchor="i275bec4631da4b22a64426a3a4f02a78_79">
              <w:r>
                <w:rPr>
                  <w:rStyle w:val="InternetLink"/>
                  <w:rFonts w:ascii="Times New Roman;serif" w:hAnsi="Times New Roman;serif"/>
                  <w:b w:val="false"/>
                  <w:strike w:val="false"/>
                  <w:dstrike w:val="false"/>
                  <w:color w:val="000000"/>
                  <w:sz w:val="18"/>
                  <w:u w:val="none"/>
                  <w:effect w:val="none"/>
                </w:rPr>
                <w:t>Income and Expense Not Allocated to Segments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75bec4631da4b22a64426a3a4f02a78_79">
              <w:r>
                <w:rPr>
                  <w:rStyle w:val="InternetLink"/>
                  <w:rFonts w:ascii="Times New Roman;serif" w:hAnsi="Times New Roman;serif"/>
                  <w:b w:val="false"/>
                  <w:strike w:val="false"/>
                  <w:dstrike w:val="false"/>
                  <w:color w:val="000000"/>
                  <w:sz w:val="18"/>
                  <w:u w:val="none"/>
                  <w:effect w:val="none"/>
                </w:rPr>
                <w:t>27</w:t>
              </w:r>
            </w:hyperlink>
          </w:p>
        </w:tc>
      </w:tr>
      <w:tr>
        <w:trPr/>
        <w:tc>
          <w:tcPr>
            <w:tcW w:w="12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75bec4631da4b22a64426a3a4f02a78_82">
              <w:r>
                <w:rPr>
                  <w:rStyle w:val="InternetLink"/>
                  <w:rFonts w:ascii="Times New Roman;serif" w:hAnsi="Times New Roman;serif"/>
                  <w:b w:val="false"/>
                  <w:strike w:val="false"/>
                  <w:dstrike w:val="false"/>
                  <w:color w:val="000000"/>
                  <w:sz w:val="18"/>
                  <w:u w:val="none"/>
                  <w:effect w:val="none"/>
                </w:rPr>
                <w:t>Other Operating Income and Expense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75bec4631da4b22a64426a3a4f02a78_82">
              <w:r>
                <w:rPr>
                  <w:rStyle w:val="InternetLink"/>
                  <w:rFonts w:ascii="Times New Roman;serif" w:hAnsi="Times New Roman;serif"/>
                  <w:b w:val="false"/>
                  <w:strike w:val="false"/>
                  <w:dstrike w:val="false"/>
                  <w:color w:val="000000"/>
                  <w:sz w:val="18"/>
                  <w:u w:val="none"/>
                  <w:effect w:val="none"/>
                </w:rPr>
                <w:t>30</w:t>
              </w:r>
            </w:hyperlink>
          </w:p>
        </w:tc>
      </w:tr>
      <w:tr>
        <w:trPr/>
        <w:tc>
          <w:tcPr>
            <w:tcW w:w="12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75bec4631da4b22a64426a3a4f02a78_85">
              <w:r>
                <w:rPr>
                  <w:rStyle w:val="InternetLink"/>
                  <w:rFonts w:ascii="Times New Roman;serif" w:hAnsi="Times New Roman;serif"/>
                  <w:b w:val="false"/>
                  <w:strike w:val="false"/>
                  <w:dstrike w:val="false"/>
                  <w:color w:val="000000"/>
                  <w:sz w:val="18"/>
                  <w:u w:val="none"/>
                  <w:effect w:val="none"/>
                </w:rPr>
                <w:t>Nonoperating Income and Expense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75bec4631da4b22a64426a3a4f02a78_85">
              <w:r>
                <w:rPr>
                  <w:rStyle w:val="InternetLink"/>
                  <w:rFonts w:ascii="Times New Roman;serif" w:hAnsi="Times New Roman;serif"/>
                  <w:b w:val="false"/>
                  <w:strike w:val="false"/>
                  <w:dstrike w:val="false"/>
                  <w:color w:val="000000"/>
                  <w:sz w:val="18"/>
                  <w:u w:val="none"/>
                  <w:effect w:val="none"/>
                </w:rPr>
                <w:t>31</w:t>
              </w:r>
            </w:hyperlink>
          </w:p>
        </w:tc>
      </w:tr>
      <w:tr>
        <w:trPr/>
        <w:tc>
          <w:tcPr>
            <w:tcW w:w="12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75bec4631da4b22a64426a3a4f02a78_88">
              <w:r>
                <w:rPr>
                  <w:rStyle w:val="InternetLink"/>
                  <w:rFonts w:ascii="Times New Roman;serif" w:hAnsi="Times New Roman;serif"/>
                  <w:b w:val="false"/>
                  <w:strike w:val="false"/>
                  <w:dstrike w:val="false"/>
                  <w:color w:val="000000"/>
                  <w:sz w:val="18"/>
                  <w:u w:val="none"/>
                  <w:effect w:val="none"/>
                </w:rPr>
                <w:t>Income Taxes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75bec4631da4b22a64426a3a4f02a78_88">
              <w:r>
                <w:rPr>
                  <w:rStyle w:val="InternetLink"/>
                  <w:rFonts w:ascii="Times New Roman;serif" w:hAnsi="Times New Roman;serif"/>
                  <w:b w:val="false"/>
                  <w:strike w:val="false"/>
                  <w:dstrike w:val="false"/>
                  <w:color w:val="000000"/>
                  <w:sz w:val="18"/>
                  <w:u w:val="none"/>
                  <w:effect w:val="none"/>
                </w:rPr>
                <w:t>32</w:t>
              </w:r>
            </w:hyperlink>
          </w:p>
        </w:tc>
      </w:tr>
      <w:tr>
        <w:trPr/>
        <w:tc>
          <w:tcPr>
            <w:tcW w:w="12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75bec4631da4b22a64426a3a4f02a78_91">
              <w:r>
                <w:rPr>
                  <w:rStyle w:val="InternetLink"/>
                  <w:rFonts w:ascii="Times New Roman;serif" w:hAnsi="Times New Roman;serif"/>
                  <w:b w:val="false"/>
                  <w:strike w:val="false"/>
                  <w:dstrike w:val="false"/>
                  <w:color w:val="000000"/>
                  <w:sz w:val="18"/>
                  <w:u w:val="none"/>
                  <w:effect w:val="none"/>
                </w:rPr>
                <w:t>Noncontrolling Interests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75bec4631da4b22a64426a3a4f02a78_91">
              <w:r>
                <w:rPr>
                  <w:rStyle w:val="InternetLink"/>
                  <w:rFonts w:ascii="Times New Roman;serif" w:hAnsi="Times New Roman;serif"/>
                  <w:b w:val="false"/>
                  <w:strike w:val="false"/>
                  <w:dstrike w:val="false"/>
                  <w:color w:val="000000"/>
                  <w:sz w:val="18"/>
                  <w:u w:val="none"/>
                  <w:effect w:val="none"/>
                </w:rPr>
                <w:t>33</w:t>
              </w:r>
            </w:hyperlink>
          </w:p>
        </w:tc>
      </w:tr>
      <w:tr>
        <w:trPr/>
        <w:tc>
          <w:tcPr>
            <w:tcW w:w="12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75bec4631da4b22a64426a3a4f02a78_94">
              <w:r>
                <w:rPr>
                  <w:rStyle w:val="InternetLink"/>
                  <w:rFonts w:ascii="Times New Roman;serif" w:hAnsi="Times New Roman;serif"/>
                  <w:b w:val="false"/>
                  <w:strike w:val="false"/>
                  <w:dstrike w:val="false"/>
                  <w:color w:val="000000"/>
                  <w:sz w:val="18"/>
                  <w:u w:val="none"/>
                  <w:effect w:val="none"/>
                </w:rPr>
                <w:t>Non-GAAP Results Reconciled to GAAP</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75bec4631da4b22a64426a3a4f02a78_94">
              <w:r>
                <w:rPr>
                  <w:rStyle w:val="InternetLink"/>
                  <w:rFonts w:ascii="Times New Roman;serif" w:hAnsi="Times New Roman;serif"/>
                  <w:b w:val="false"/>
                  <w:strike w:val="false"/>
                  <w:dstrike w:val="false"/>
                  <w:color w:val="000000"/>
                  <w:sz w:val="18"/>
                  <w:u w:val="none"/>
                  <w:effect w:val="none"/>
                </w:rPr>
                <w:t>34</w:t>
              </w:r>
            </w:hyperlink>
          </w:p>
        </w:tc>
      </w:tr>
      <w:tr>
        <w:trPr/>
        <w:tc>
          <w:tcPr>
            <w:tcW w:w="12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75bec4631da4b22a64426a3a4f02a78_97">
              <w:r>
                <w:rPr>
                  <w:rStyle w:val="InternetLink"/>
                  <w:rFonts w:ascii="Times New Roman;serif" w:hAnsi="Times New Roman;serif"/>
                  <w:b w:val="false"/>
                  <w:strike w:val="false"/>
                  <w:dstrike w:val="false"/>
                  <w:color w:val="000000"/>
                  <w:sz w:val="18"/>
                  <w:u w:val="none"/>
                  <w:effect w:val="none"/>
                </w:rPr>
                <w:t>Foreign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75bec4631da4b22a64426a3a4f02a78_97">
              <w:r>
                <w:rPr>
                  <w:rStyle w:val="InternetLink"/>
                  <w:rFonts w:ascii="Times New Roman;serif" w:hAnsi="Times New Roman;serif"/>
                  <w:b w:val="false"/>
                  <w:strike w:val="false"/>
                  <w:dstrike w:val="false"/>
                  <w:color w:val="000000"/>
                  <w:sz w:val="18"/>
                  <w:u w:val="none"/>
                  <w:effect w:val="none"/>
                </w:rPr>
                <w:t>39</w:t>
              </w:r>
            </w:hyperlink>
          </w:p>
        </w:tc>
      </w:tr>
      <w:tr>
        <w:trPr/>
        <w:tc>
          <w:tcPr>
            <w:tcW w:w="12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69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275bec4631da4b22a64426a3a4f02a78_100">
              <w:r>
                <w:rPr>
                  <w:rStyle w:val="InternetLink"/>
                  <w:rFonts w:ascii="Times New Roman;serif" w:hAnsi="Times New Roman;serif"/>
                  <w:b/>
                  <w:strike w:val="false"/>
                  <w:dstrike w:val="false"/>
                  <w:color w:val="000000"/>
                  <w:sz w:val="18"/>
                  <w:u w:val="none"/>
                  <w:effect w:val="none"/>
                </w:rPr>
                <w:t>LIQUIDITY AND CAPITAL RESOURCES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2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75bec4631da4b22a64426a3a4f02a78_103">
              <w:r>
                <w:rPr>
                  <w:rStyle w:val="InternetLink"/>
                  <w:rFonts w:ascii="Times New Roman;serif" w:hAnsi="Times New Roman;serif"/>
                  <w:b w:val="false"/>
                  <w:strike w:val="false"/>
                  <w:dstrike w:val="false"/>
                  <w:color w:val="000000"/>
                  <w:sz w:val="18"/>
                  <w:u w:val="none"/>
                  <w:effect w:val="none"/>
                </w:rPr>
                <w:t>Overview</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75bec4631da4b22a64426a3a4f02a78_103">
              <w:r>
                <w:rPr>
                  <w:rStyle w:val="InternetLink"/>
                  <w:rFonts w:ascii="Times New Roman;serif" w:hAnsi="Times New Roman;serif"/>
                  <w:b w:val="false"/>
                  <w:strike w:val="false"/>
                  <w:dstrike w:val="false"/>
                  <w:color w:val="000000"/>
                  <w:sz w:val="18"/>
                  <w:u w:val="none"/>
                  <w:effect w:val="none"/>
                </w:rPr>
                <w:t>40</w:t>
              </w:r>
            </w:hyperlink>
          </w:p>
        </w:tc>
      </w:tr>
      <w:tr>
        <w:trPr/>
        <w:tc>
          <w:tcPr>
            <w:tcW w:w="12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75bec4631da4b22a64426a3a4f02a78_106">
              <w:r>
                <w:rPr>
                  <w:rStyle w:val="InternetLink"/>
                  <w:rFonts w:ascii="Times New Roman;serif" w:hAnsi="Times New Roman;serif"/>
                  <w:b w:val="false"/>
                  <w:strike w:val="false"/>
                  <w:dstrike w:val="false"/>
                  <w:color w:val="000000"/>
                  <w:sz w:val="18"/>
                  <w:u w:val="none"/>
                  <w:effect w:val="none"/>
                </w:rPr>
                <w:t>Operating Activities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75bec4631da4b22a64426a3a4f02a78_106">
              <w:r>
                <w:rPr>
                  <w:rStyle w:val="InternetLink"/>
                  <w:rFonts w:ascii="Times New Roman;serif" w:hAnsi="Times New Roman;serif"/>
                  <w:b w:val="false"/>
                  <w:strike w:val="false"/>
                  <w:dstrike w:val="false"/>
                  <w:color w:val="000000"/>
                  <w:sz w:val="18"/>
                  <w:u w:val="none"/>
                  <w:effect w:val="none"/>
                </w:rPr>
                <w:t>40</w:t>
              </w:r>
            </w:hyperlink>
          </w:p>
        </w:tc>
      </w:tr>
      <w:tr>
        <w:trPr/>
        <w:tc>
          <w:tcPr>
            <w:tcW w:w="12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75bec4631da4b22a64426a3a4f02a78_109">
              <w:r>
                <w:rPr>
                  <w:rStyle w:val="InternetLink"/>
                  <w:rFonts w:ascii="Times New Roman;serif" w:hAnsi="Times New Roman;serif"/>
                  <w:b w:val="false"/>
                  <w:strike w:val="false"/>
                  <w:dstrike w:val="false"/>
                  <w:color w:val="000000"/>
                  <w:sz w:val="18"/>
                  <w:u w:val="none"/>
                  <w:effect w:val="none"/>
                </w:rPr>
                <w:t>Investing Activities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75bec4631da4b22a64426a3a4f02a78_109">
              <w:r>
                <w:rPr>
                  <w:rStyle w:val="InternetLink"/>
                  <w:rFonts w:ascii="Times New Roman;serif" w:hAnsi="Times New Roman;serif"/>
                  <w:b w:val="false"/>
                  <w:strike w:val="false"/>
                  <w:dstrike w:val="false"/>
                  <w:color w:val="000000"/>
                  <w:sz w:val="18"/>
                  <w:u w:val="none"/>
                  <w:effect w:val="none"/>
                </w:rPr>
                <w:t>41</w:t>
              </w:r>
            </w:hyperlink>
          </w:p>
        </w:tc>
      </w:tr>
      <w:tr>
        <w:trPr/>
        <w:tc>
          <w:tcPr>
            <w:tcW w:w="12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75bec4631da4b22a64426a3a4f02a78_112">
              <w:r>
                <w:rPr>
                  <w:rStyle w:val="InternetLink"/>
                  <w:rFonts w:ascii="Times New Roman;serif" w:hAnsi="Times New Roman;serif"/>
                  <w:b w:val="false"/>
                  <w:strike w:val="false"/>
                  <w:dstrike w:val="false"/>
                  <w:color w:val="000000"/>
                  <w:sz w:val="18"/>
                  <w:u w:val="none"/>
                  <w:effect w:val="none"/>
                </w:rPr>
                <w:t>Financing Activities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75bec4631da4b22a64426a3a4f02a78_112">
              <w:r>
                <w:rPr>
                  <w:rStyle w:val="InternetLink"/>
                  <w:rFonts w:ascii="Times New Roman;serif" w:hAnsi="Times New Roman;serif"/>
                  <w:b w:val="false"/>
                  <w:strike w:val="false"/>
                  <w:dstrike w:val="false"/>
                  <w:color w:val="000000"/>
                  <w:sz w:val="18"/>
                  <w:u w:val="none"/>
                  <w:effect w:val="none"/>
                </w:rPr>
                <w:t>42</w:t>
              </w:r>
            </w:hyperlink>
          </w:p>
        </w:tc>
      </w:tr>
      <w:tr>
        <w:trPr/>
        <w:tc>
          <w:tcPr>
            <w:tcW w:w="12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75bec4631da4b22a64426a3a4f02a78_115">
              <w:r>
                <w:rPr>
                  <w:rStyle w:val="InternetLink"/>
                  <w:rFonts w:ascii="Times New Roman;serif" w:hAnsi="Times New Roman;serif"/>
                  <w:b w:val="false"/>
                  <w:strike w:val="false"/>
                  <w:dstrike w:val="false"/>
                  <w:color w:val="000000"/>
                  <w:sz w:val="18"/>
                  <w:u w:val="none"/>
                  <w:effect w:val="none"/>
                </w:rPr>
                <w:t>Effect of Exchange Rate Changes on Cash and Cash Equivalents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75bec4631da4b22a64426a3a4f02a78_115">
              <w:r>
                <w:rPr>
                  <w:rStyle w:val="InternetLink"/>
                  <w:rFonts w:ascii="Times New Roman;serif" w:hAnsi="Times New Roman;serif"/>
                  <w:b w:val="false"/>
                  <w:strike w:val="false"/>
                  <w:dstrike w:val="false"/>
                  <w:color w:val="000000"/>
                  <w:sz w:val="18"/>
                  <w:u w:val="none"/>
                  <w:effect w:val="none"/>
                </w:rPr>
                <w:t>43</w:t>
              </w:r>
            </w:hyperlink>
          </w:p>
        </w:tc>
      </w:tr>
      <w:tr>
        <w:trPr/>
        <w:tc>
          <w:tcPr>
            <w:tcW w:w="12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75bec4631da4b22a64426a3a4f02a78_118">
              <w:r>
                <w:rPr>
                  <w:rStyle w:val="InternetLink"/>
                  <w:rFonts w:ascii="Times New Roman;serif" w:hAnsi="Times New Roman;serif"/>
                  <w:b w:val="false"/>
                  <w:strike w:val="false"/>
                  <w:dstrike w:val="false"/>
                  <w:color w:val="000000"/>
                  <w:sz w:val="18"/>
                  <w:u w:val="none"/>
                  <w:effect w:val="none"/>
                </w:rPr>
                <w:t>Capitalization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75bec4631da4b22a64426a3a4f02a78_118">
              <w:r>
                <w:rPr>
                  <w:rStyle w:val="InternetLink"/>
                  <w:rFonts w:ascii="Times New Roman;serif" w:hAnsi="Times New Roman;serif"/>
                  <w:b w:val="false"/>
                  <w:strike w:val="false"/>
                  <w:dstrike w:val="false"/>
                  <w:color w:val="000000"/>
                  <w:sz w:val="18"/>
                  <w:u w:val="none"/>
                  <w:effect w:val="none"/>
                </w:rPr>
                <w:t>44</w:t>
              </w:r>
            </w:hyperlink>
          </w:p>
        </w:tc>
      </w:tr>
      <w:tr>
        <w:trPr/>
        <w:tc>
          <w:tcPr>
            <w:tcW w:w="12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75bec4631da4b22a64426a3a4f02a78_121">
              <w:r>
                <w:rPr>
                  <w:rStyle w:val="InternetLink"/>
                  <w:rFonts w:ascii="Times New Roman;serif" w:hAnsi="Times New Roman;serif"/>
                  <w:b w:val="false"/>
                  <w:strike w:val="false"/>
                  <w:dstrike w:val="false"/>
                  <w:color w:val="000000"/>
                  <w:sz w:val="18"/>
                  <w:u w:val="none"/>
                  <w:effect w:val="none"/>
                </w:rPr>
                <w:t>Off Balance Sheet Arrangements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75bec4631da4b22a64426a3a4f02a78_121">
              <w:r>
                <w:rPr>
                  <w:rStyle w:val="InternetLink"/>
                  <w:rFonts w:ascii="Times New Roman;serif" w:hAnsi="Times New Roman;serif"/>
                  <w:b w:val="false"/>
                  <w:strike w:val="false"/>
                  <w:dstrike w:val="false"/>
                  <w:color w:val="000000"/>
                  <w:sz w:val="18"/>
                  <w:u w:val="none"/>
                  <w:effect w:val="none"/>
                </w:rPr>
                <w:t>45</w:t>
              </w:r>
            </w:hyperlink>
          </w:p>
        </w:tc>
      </w:tr>
      <w:tr>
        <w:trPr/>
        <w:tc>
          <w:tcPr>
            <w:tcW w:w="12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75bec4631da4b22a64426a3a4f02a78_124">
              <w:r>
                <w:rPr>
                  <w:rStyle w:val="InternetLink"/>
                  <w:rFonts w:ascii="Times New Roman;serif" w:hAnsi="Times New Roman;serif"/>
                  <w:b w:val="false"/>
                  <w:strike w:val="false"/>
                  <w:dstrike w:val="false"/>
                  <w:color w:val="000080"/>
                  <w:sz w:val="18"/>
                  <w:u w:val="single"/>
                  <w:effect w:val="none"/>
                </w:rPr>
                <w:t>U.S</w:t>
              </w:r>
            </w:hyperlink>
            <w:hyperlink w:anchor="i275bec4631da4b22a64426a3a4f02a78_124">
              <w:r>
                <w:rPr>
                  <w:rStyle w:val="InternetLink"/>
                  <w:rFonts w:ascii="Times New Roman;serif" w:hAnsi="Times New Roman;serif"/>
                  <w:b w:val="false"/>
                  <w:strike w:val="false"/>
                  <w:dstrike w:val="false"/>
                  <w:color w:val="000080"/>
                  <w:sz w:val="18"/>
                  <w:u w:val="single"/>
                  <w:effect w:val="none"/>
                </w:rPr>
                <w:t>.</w:t>
              </w:r>
            </w:hyperlink>
            <w:hyperlink w:anchor="i275bec4631da4b22a64426a3a4f02a78_124">
              <w:r>
                <w:rPr>
                  <w:rStyle w:val="InternetLink"/>
                  <w:rFonts w:ascii="Times New Roman;serif" w:hAnsi="Times New Roman;serif"/>
                  <w:b w:val="false"/>
                  <w:strike w:val="false"/>
                  <w:dstrike w:val="false"/>
                  <w:color w:val="000080"/>
                  <w:sz w:val="18"/>
                  <w:u w:val="single"/>
                  <w:effect w:val="none"/>
                </w:rPr>
                <w:t xml:space="preserve"> Retirement Liabilities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75bec4631da4b22a64426a3a4f02a78_124">
              <w:r>
                <w:rPr>
                  <w:rStyle w:val="InternetLink"/>
                  <w:rFonts w:ascii="Times New Roman;serif" w:hAnsi="Times New Roman;serif"/>
                  <w:b w:val="false"/>
                  <w:strike w:val="false"/>
                  <w:dstrike w:val="false"/>
                  <w:color w:val="000000"/>
                  <w:sz w:val="18"/>
                  <w:u w:val="none"/>
                  <w:effect w:val="none"/>
                </w:rPr>
                <w:t>46</w:t>
              </w:r>
            </w:hyperlink>
          </w:p>
        </w:tc>
      </w:tr>
      <w:tr>
        <w:trPr/>
        <w:tc>
          <w:tcPr>
            <w:tcW w:w="12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75bec4631da4b22a64426a3a4f02a78_127">
              <w:r>
                <w:rPr>
                  <w:rStyle w:val="InternetLink"/>
                  <w:rFonts w:ascii="Times New Roman;serif" w:hAnsi="Times New Roman;serif"/>
                  <w:b w:val="false"/>
                  <w:strike w:val="false"/>
                  <w:dstrike w:val="false"/>
                  <w:color w:val="000000"/>
                  <w:sz w:val="18"/>
                  <w:u w:val="none"/>
                  <w:effect w:val="none"/>
                </w:rPr>
                <w:t>Contingent Matters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75bec4631da4b22a64426a3a4f02a78_127">
              <w:r>
                <w:rPr>
                  <w:rStyle w:val="InternetLink"/>
                  <w:rFonts w:ascii="Times New Roman;serif" w:hAnsi="Times New Roman;serif"/>
                  <w:b w:val="false"/>
                  <w:strike w:val="false"/>
                  <w:dstrike w:val="false"/>
                  <w:color w:val="000000"/>
                  <w:sz w:val="18"/>
                  <w:u w:val="none"/>
                  <w:effect w:val="none"/>
                </w:rPr>
                <w:t>48</w:t>
              </w:r>
            </w:hyperlink>
          </w:p>
        </w:tc>
      </w:tr>
      <w:tr>
        <w:trPr/>
        <w:tc>
          <w:tcPr>
            <w:tcW w:w="12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69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275bec4631da4b22a64426a3a4f02a78_130">
              <w:r>
                <w:rPr>
                  <w:rStyle w:val="InternetLink"/>
                  <w:rFonts w:ascii="Times New Roman;serif" w:hAnsi="Times New Roman;serif"/>
                  <w:b/>
                  <w:strike w:val="false"/>
                  <w:dstrike w:val="false"/>
                  <w:color w:val="000000"/>
                  <w:sz w:val="18"/>
                  <w:u w:val="none"/>
                  <w:effect w:val="none"/>
                </w:rPr>
                <w:t>APPLICATION OF CRITICAL ACCOUNTING POLICIES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2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75bec4631da4b22a64426a3a4f02a78_133">
              <w:r>
                <w:rPr>
                  <w:rStyle w:val="InternetLink"/>
                  <w:rFonts w:ascii="Times New Roman;serif" w:hAnsi="Times New Roman;serif"/>
                  <w:b w:val="false"/>
                  <w:strike w:val="false"/>
                  <w:dstrike w:val="false"/>
                  <w:color w:val="000000"/>
                  <w:sz w:val="18"/>
                  <w:u w:val="none"/>
                  <w:effect w:val="none"/>
                </w:rPr>
                <w:t>Deferred Tax Asset Valuation Allowance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75bec4631da4b22a64426a3a4f02a78_133">
              <w:r>
                <w:rPr>
                  <w:rStyle w:val="InternetLink"/>
                  <w:rFonts w:ascii="Times New Roman;serif" w:hAnsi="Times New Roman;serif"/>
                  <w:b w:val="false"/>
                  <w:strike w:val="false"/>
                  <w:dstrike w:val="false"/>
                  <w:color w:val="000000"/>
                  <w:sz w:val="18"/>
                  <w:u w:val="none"/>
                  <w:effect w:val="none"/>
                </w:rPr>
                <w:t>49</w:t>
              </w:r>
            </w:hyperlink>
          </w:p>
        </w:tc>
      </w:tr>
      <w:tr>
        <w:trPr/>
        <w:tc>
          <w:tcPr>
            <w:tcW w:w="1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75bec4631da4b22a64426a3a4f02a78_136">
              <w:r>
                <w:rPr>
                  <w:rStyle w:val="InternetLink"/>
                  <w:rFonts w:ascii="Times New Roman;serif" w:hAnsi="Times New Roman;serif"/>
                  <w:b w:val="false"/>
                  <w:strike w:val="false"/>
                  <w:dstrike w:val="false"/>
                  <w:color w:val="000000"/>
                  <w:sz w:val="18"/>
                  <w:u w:val="none"/>
                  <w:effect w:val="none"/>
                </w:rPr>
                <w:t>Business Acquisitions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75bec4631da4b22a64426a3a4f02a78_136">
              <w:r>
                <w:rPr>
                  <w:rStyle w:val="InternetLink"/>
                  <w:rFonts w:ascii="Times New Roman;serif" w:hAnsi="Times New Roman;serif"/>
                  <w:b w:val="false"/>
                  <w:strike w:val="false"/>
                  <w:dstrike w:val="false"/>
                  <w:color w:val="000000"/>
                  <w:sz w:val="18"/>
                  <w:u w:val="none"/>
                  <w:effect w:val="none"/>
                </w:rPr>
                <w:t>50</w:t>
              </w:r>
            </w:hyperlink>
          </w:p>
        </w:tc>
      </w:tr>
      <w:tr>
        <w:trPr/>
        <w:tc>
          <w:tcPr>
            <w:tcW w:w="12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75bec4631da4b22a64426a3a4f02a78_139">
              <w:r>
                <w:rPr>
                  <w:rStyle w:val="InternetLink"/>
                  <w:rFonts w:ascii="Times New Roman;serif" w:hAnsi="Times New Roman;serif"/>
                  <w:b w:val="false"/>
                  <w:strike w:val="false"/>
                  <w:dstrike w:val="false"/>
                  <w:color w:val="000000"/>
                  <w:sz w:val="18"/>
                  <w:u w:val="none"/>
                  <w:effect w:val="none"/>
                </w:rPr>
                <w:t>Goodwill, Other Intangible Assets and Property and Equipment Valuations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75bec4631da4b22a64426a3a4f02a78_139">
              <w:r>
                <w:rPr>
                  <w:rStyle w:val="InternetLink"/>
                  <w:rFonts w:ascii="Times New Roman;serif" w:hAnsi="Times New Roman;serif"/>
                  <w:b w:val="false"/>
                  <w:strike w:val="false"/>
                  <w:dstrike w:val="false"/>
                  <w:color w:val="000000"/>
                  <w:sz w:val="18"/>
                  <w:u w:val="none"/>
                  <w:effect w:val="none"/>
                </w:rPr>
                <w:t>51</w:t>
              </w:r>
            </w:hyperlink>
          </w:p>
        </w:tc>
      </w:tr>
      <w:tr>
        <w:trPr/>
        <w:tc>
          <w:tcPr>
            <w:tcW w:w="12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75bec4631da4b22a64426a3a4f02a78_142">
              <w:r>
                <w:rPr>
                  <w:rStyle w:val="InternetLink"/>
                  <w:rFonts w:ascii="Times New Roman;serif" w:hAnsi="Times New Roman;serif"/>
                  <w:b w:val="false"/>
                  <w:strike w:val="false"/>
                  <w:dstrike w:val="false"/>
                  <w:color w:val="000000"/>
                  <w:sz w:val="18"/>
                  <w:u w:val="none"/>
                  <w:effect w:val="none"/>
                </w:rPr>
                <w:t>Retirement and Postemployment Benefit Obligations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75bec4631da4b22a64426a3a4f02a78_142">
              <w:r>
                <w:rPr>
                  <w:rStyle w:val="InternetLink"/>
                  <w:rFonts w:ascii="Times New Roman;serif" w:hAnsi="Times New Roman;serif"/>
                  <w:b w:val="false"/>
                  <w:strike w:val="false"/>
                  <w:dstrike w:val="false"/>
                  <w:color w:val="000000"/>
                  <w:sz w:val="18"/>
                  <w:u w:val="none"/>
                  <w:effect w:val="none"/>
                </w:rPr>
                <w:t>52</w:t>
              </w:r>
            </w:hyperlink>
          </w:p>
        </w:tc>
      </w:tr>
      <w:tr>
        <w:trPr/>
        <w:tc>
          <w:tcPr>
            <w:tcW w:w="12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75bec4631da4b22a64426a3a4f02a78_145">
              <w:r>
                <w:rPr>
                  <w:rStyle w:val="InternetLink"/>
                  <w:rFonts w:ascii="Times New Roman;serif" w:hAnsi="Times New Roman;serif"/>
                  <w:b w:val="false"/>
                  <w:strike w:val="false"/>
                  <w:dstrike w:val="false"/>
                  <w:color w:val="000000"/>
                  <w:sz w:val="18"/>
                  <w:u w:val="none"/>
                  <w:effect w:val="none"/>
                </w:rPr>
                <w:t>Foreign Currency Translation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75bec4631da4b22a64426a3a4f02a78_145">
              <w:r>
                <w:rPr>
                  <w:rStyle w:val="InternetLink"/>
                  <w:rFonts w:ascii="Times New Roman;serif" w:hAnsi="Times New Roman;serif"/>
                  <w:b w:val="false"/>
                  <w:strike w:val="false"/>
                  <w:dstrike w:val="false"/>
                  <w:color w:val="000000"/>
                  <w:sz w:val="18"/>
                  <w:u w:val="none"/>
                  <w:effect w:val="none"/>
                </w:rPr>
                <w:t>56</w:t>
              </w:r>
            </w:hyperlink>
          </w:p>
        </w:tc>
      </w:tr>
    </w:tbl>
    <w:p>
      <w:pPr>
        <w:pStyle w:val="TextBody"/>
        <w:bidi w:val="0"/>
        <w:spacing w:before="80" w:after="283"/>
        <w:jc w:val="left"/>
        <w:rPr/>
      </w:pPr>
      <w:r>
        <w:rPr/>
      </w:r>
    </w:p>
    <w:p>
      <w:pPr>
        <w:pStyle w:val="TextBody"/>
        <w:bidi w:val="0"/>
        <w:spacing w:before="180" w:after="283"/>
        <w:jc w:val="left"/>
        <w:rPr/>
      </w:pPr>
      <w:r>
        <w:rPr/>
      </w:r>
    </w:p>
    <w:p>
      <w:pPr>
        <w:pStyle w:val="TextBody"/>
        <w:bidi w:val="0"/>
        <w:spacing w:lineRule="auto" w:line="288" w:before="180" w:after="283"/>
        <w:jc w:val="left"/>
        <w:rPr>
          <w:rFonts w:ascii="Times New Roman;serif" w:hAnsi="Times New Roman;serif"/>
          <w:b w:val="false"/>
          <w:color w:val="000000"/>
          <w:sz w:val="18"/>
        </w:rPr>
      </w:pPr>
      <w:r>
        <w:rPr>
          <w:rFonts w:ascii="Times New Roman;serif" w:hAnsi="Times New Roman;serif"/>
          <w:b w:val="false"/>
          <w:color w:val="000000"/>
          <w:sz w:val="18"/>
        </w:rPr>
        <w:t>The discussion of operating results and financial condition comparing 2024 versus 2023 can be found in Item 7. Management's Discussion and Analysis of Financial Conditions and Results of Operations of our Annual Report on Form 10-K for the year ended December 31, 2024 ("2024 10-K"), starting on page 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1445"/>
                <wp:effectExtent l="0" t="0" r="0" b="0"/>
                <wp:wrapNone/>
                <wp:docPr id="25" name="Frame2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Brink’s Company is a leading global provider of cash and valuables management, digital retail solutions, and ATM managed services throughout the world. These services include: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u w:val="single"/>
        </w:rPr>
      </w:pPr>
      <w:r>
        <w:rPr>
          <w:rFonts w:ascii="Times New Roman;serif" w:hAnsi="Times New Roman;serif"/>
          <w:b/>
          <w:color w:val="000000"/>
          <w:sz w:val="18"/>
          <w:u w:val="single"/>
        </w:rPr>
        <w:t>Cash and Valuables Management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Cash-in-transit ("CIT") services – armored vehicle transportation of cash and coin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Basic ATM services – cash replenishment and treasury management of automated teller machines ("ATMs")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Brink's Global Services ("BGS") – secure international transportation, pick-up, packaging, customs clearance, secure vault storage, and inventory management of high-value commodities and goods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Cash management services – counting, sorting, wrapping, check imaging, cashier balancing, counterfeit detection, account consolidation and electronic reporting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Vaulting services – combines CIT services, cash management, vaulting and electronic reporting technologies for banks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Other Services – guarding, commercial security, and payment services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u w:val="single"/>
        </w:rPr>
      </w:pPr>
      <w:r>
        <w:rPr>
          <w:rFonts w:ascii="Times New Roman;serif" w:hAnsi="Times New Roman;serif"/>
          <w:b/>
          <w:color w:val="000000"/>
          <w:sz w:val="18"/>
          <w:u w:val="single"/>
        </w:rPr>
        <w:t>Digital Retail Solutions ("DRS") and ATM Managed Services ("AMS")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DRS – services that facilitate faster access to cash deposits leveraging Brink’s tech-enabled devices and software platforms that enable enhanced customer analytics and visibility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AMS – comprehensive solutions for ATM management, including cash forecasting, cash optimization, ATM remote monitoring, service call dispatching, transaction processing, first and second line maintenance, parts provisioning, funds settlements and installation services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We manage our business in the following four segments: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North America – operations in the U.S. and Canada, including the BGS line of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Latin America – operations in Latin American countries where we have an ownership interest, including the BGS line of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 xml:space="preserve">Europe – predominantly operations in European countries that primarily provide services outside of the BGS line of business, and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Rest of World – operations in the Middle East, Africa and Asia. This segment also includes total operations in European countries that primarily provide BGS services and BGS activity in Latin American countries where we do not have an ownership interest.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believe that Brink’s has significant competitive advantages including: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brand recognition;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reputation for a high level of service and security;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risk management and logistics expertise;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global network and customer base;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proven operational excellence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high-quality insurance coverage and financial strength;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innovative technology-enabled offerings.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Our strategy continues to focus on growing Brink’s by providing a superior customer experience and driving continuous improvement. We will achieve this by delivering on four strategic pillars: (1) Partner for Customer Success, (2) Innovate to Grow, (3) Run the Business Better, and (4) Win as Team Brink's. This framework considers our global footprint and values-driven culture.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focus our time and resources on service quality, protecting and strengthening our brand, and addressing our risks. Our marketing and sales efforts are enhanced by the “Brink’s” brand, so we seek to protect and build its value. Because our services focus on handling, transporting, protecting, and managing valuables, we strive to understand and manage risk.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To earn an adequate return on capital, we focus on the effective and efficient use of resources in addition to our pricing discipline. We attempt to optimize the business that flows through our branches, vehicles, and systems to obtain the lowest costs possible without compromising safety, security, or service.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Operating results may vary from period to period. Our cash and valuables management revenues are generated from charges per service performed or based on the value of goods transported, which may be affected by both the level of economic activity and the volume of business for specific customers. We also periodically incur costs to change the scale of our operations when volumes increase or decrease. Incremental costs incurred usually relate to increasing or decreasing the number of employees and increasing or decreasing branches or administrative facilities. In addition, security costs can vary depending on performance, the cost of insurance coverage, and changes in crime rates (e.g., attacks and robberies).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Brink’s revenues and related operating profit are generally higher in the second half of the year, particularly in the fourth quarter, due to generally increased economic activity associated with the holiday season.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1445"/>
                <wp:effectExtent l="0" t="0" r="0" b="0"/>
                <wp:wrapNone/>
                <wp:docPr id="26" name="Frame2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2"/>
        </w:rPr>
      </w:pPr>
      <w:r>
        <w:rPr>
          <w:rFonts w:ascii="Times New Roman;serif" w:hAnsi="Times New Roman;serif"/>
          <w:b/>
          <w:color w:val="000000"/>
          <w:sz w:val="22"/>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Analysis of Results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Consolidated Results</w:t>
      </w:r>
    </w:p>
    <w:tbl>
      <w:tblPr>
        <w:tblW w:w="9905" w:type="dxa"/>
        <w:jc w:val="left"/>
        <w:tblInd w:w="0" w:type="dxa"/>
        <w:tblLayout w:type="fixed"/>
        <w:tblCellMar>
          <w:top w:w="28" w:type="dxa"/>
          <w:left w:w="28" w:type="dxa"/>
          <w:bottom w:w="28" w:type="dxa"/>
          <w:right w:w="28" w:type="dxa"/>
        </w:tblCellMar>
      </w:tblPr>
      <w:tblGrid>
        <w:gridCol w:w="1589"/>
        <w:gridCol w:w="1400"/>
        <w:gridCol w:w="1405"/>
        <w:gridCol w:w="196"/>
        <w:gridCol w:w="706"/>
        <w:gridCol w:w="286"/>
        <w:gridCol w:w="109"/>
        <w:gridCol w:w="109"/>
        <w:gridCol w:w="109"/>
        <w:gridCol w:w="345"/>
        <w:gridCol w:w="346"/>
        <w:gridCol w:w="256"/>
        <w:gridCol w:w="109"/>
        <w:gridCol w:w="109"/>
        <w:gridCol w:w="109"/>
        <w:gridCol w:w="345"/>
        <w:gridCol w:w="346"/>
        <w:gridCol w:w="256"/>
        <w:gridCol w:w="109"/>
        <w:gridCol w:w="109"/>
        <w:gridCol w:w="109"/>
        <w:gridCol w:w="173"/>
        <w:gridCol w:w="173"/>
        <w:gridCol w:w="156"/>
        <w:gridCol w:w="109"/>
        <w:gridCol w:w="109"/>
        <w:gridCol w:w="109"/>
        <w:gridCol w:w="202"/>
        <w:gridCol w:w="204"/>
        <w:gridCol w:w="213"/>
      </w:tblGrid>
      <w:tr>
        <w:trPr/>
        <w:tc>
          <w:tcPr>
            <w:tcW w:w="1589"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3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change</w:t>
            </w:r>
          </w:p>
        </w:tc>
      </w:tr>
      <w:tr>
        <w:trPr/>
        <w:tc>
          <w:tcPr>
            <w:tcW w:w="43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 except for percentages and per share amounts)</w:t>
            </w:r>
          </w:p>
        </w:tc>
        <w:tc>
          <w:tcPr>
            <w:tcW w:w="11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r>
      <w:tr>
        <w:trPr/>
        <w:tc>
          <w:tcPr>
            <w:tcW w:w="43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u w:val="single"/>
              </w:rPr>
            </w:pPr>
            <w:r>
              <w:rPr>
                <w:rFonts w:ascii="Times New Roman;serif" w:hAnsi="Times New Roman;serif"/>
                <w:b w:val="false"/>
                <w:i/>
                <w:color w:val="000000"/>
                <w:sz w:val="18"/>
                <w:u w:val="single"/>
              </w:rPr>
              <w:t>GAAP</w:t>
            </w:r>
          </w:p>
        </w:tc>
        <w:tc>
          <w:tcPr>
            <w:tcW w:w="1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5,261.2</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5,011.9 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4,874.6 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3,903.2</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3,743.1 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3,707.1 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778.0</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profit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585.5</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Operating profit margin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11.1</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fav</w:t>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Income from continuing operations</w:t>
            </w:r>
            <w:r>
              <w:rPr>
                <w:rFonts w:ascii="Times New Roman;serif" w:hAnsi="Times New Roman;serif"/>
                <w:b w:val="false"/>
                <w:color w:val="000000"/>
                <w:sz w:val="12"/>
              </w:rPr>
              <w:t>(a)(c)</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200.1</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Diluted EPS from continuing operations</w:t>
            </w:r>
            <w:r>
              <w:rPr>
                <w:rFonts w:ascii="Times New Roman;serif" w:hAnsi="Times New Roman;serif"/>
                <w:b w:val="false"/>
                <w:color w:val="000000"/>
                <w:sz w:val="12"/>
              </w:rPr>
              <w:t>(a)</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4.70</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18"/>
                <w:u w:val="single"/>
              </w:rPr>
              <w:t>Non-GAAP</w:t>
            </w:r>
            <w:r>
              <w:rPr>
                <w:rFonts w:ascii="Times New Roman;serif" w:hAnsi="Times New Roman;serif"/>
                <w:b w:val="false"/>
                <w:color w:val="000000"/>
                <w:sz w:val="12"/>
              </w:rPr>
              <w:t>(b)</w:t>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9" w:type="dxa"/>
            <w:gridSpan w:val="3"/>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operating profit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709.9</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operating profit margin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13.5</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Non-GAAP income from continuing operations</w:t>
            </w:r>
            <w:r>
              <w:rPr>
                <w:rFonts w:ascii="Times New Roman;serif" w:hAnsi="Times New Roman;serif"/>
                <w:b w:val="false"/>
                <w:color w:val="000000"/>
                <w:sz w:val="12"/>
              </w:rPr>
              <w:t>(a)</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342.0</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977.1</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911.9 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Non-GAAP diluted EPS from continuing operations</w:t>
            </w:r>
            <w:r>
              <w:rPr>
                <w:rFonts w:ascii="Times New Roman;serif" w:hAnsi="Times New Roman;serif"/>
                <w:b w:val="false"/>
                <w:color w:val="000000"/>
                <w:sz w:val="12"/>
              </w:rPr>
              <w:t>(a)</w:t>
            </w:r>
          </w:p>
        </w:tc>
        <w:tc>
          <w:tcPr>
            <w:tcW w:w="90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8.05</w:t>
            </w:r>
            <w:r>
              <w:rPr>
                <w:color w:val="000000"/>
              </w:rPr>
              <w:t> </w:t>
            </w:r>
          </w:p>
        </w:tc>
        <w:tc>
          <w:tcPr>
            <w:tcW w:w="28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7.17 </w:t>
            </w:r>
          </w:p>
        </w:tc>
        <w:tc>
          <w:tcPr>
            <w:tcW w:w="2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7.35 </w:t>
            </w:r>
          </w:p>
        </w:tc>
        <w:tc>
          <w:tcPr>
            <w:tcW w:w="2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w:t>
            </w:r>
            <w:r>
              <w:rPr>
                <w:color w:val="000000"/>
              </w:rPr>
              <w:t> </w:t>
            </w:r>
          </w:p>
        </w:tc>
        <w:tc>
          <w:tcPr>
            <w:tcW w:w="1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213"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4"/>
        </w:rPr>
      </w:pPr>
      <w:r>
        <w:rPr>
          <w:rFonts w:ascii="Times New Roman;serif" w:hAnsi="Times New Roman;serif"/>
          <w:b w:val="false"/>
          <w:color w:val="000000"/>
          <w:sz w:val="14"/>
        </w:rPr>
        <w:t>(a)Amounts reported in this table are attributable to the shareholders of Brink’s and exclude earnings related to noncontrolling interests.</w:t>
      </w:r>
    </w:p>
    <w:p>
      <w:pPr>
        <w:pStyle w:val="TextBody"/>
        <w:bidi w:val="0"/>
        <w:spacing w:lineRule="auto" w:line="288" w:before="0" w:after="0"/>
        <w:ind w:left="0" w:right="0" w:hanging="360"/>
        <w:jc w:val="both"/>
        <w:rPr/>
      </w:pPr>
      <w:r>
        <w:rPr>
          <w:rFonts w:ascii="Times New Roman;serif" w:hAnsi="Times New Roman;serif"/>
          <w:b w:val="false"/>
          <w:color w:val="000000"/>
          <w:sz w:val="14"/>
        </w:rPr>
        <w:t xml:space="preserve">(b)These measures are supplemental financial measures that are not required by, or presented in accordance with, GAAP. See page </w:t>
      </w:r>
      <w:hyperlink w:anchor="i275bec4631da4b22a64426a3a4f02a78_94">
        <w:r>
          <w:rPr>
            <w:rStyle w:val="InternetLink"/>
            <w:rFonts w:ascii="Times New Roman;serif" w:hAnsi="Times New Roman;serif"/>
            <w:b w:val="false"/>
            <w:strike w:val="false"/>
            <w:dstrike w:val="false"/>
            <w:color w:val="000000"/>
            <w:sz w:val="14"/>
            <w:u w:val="none"/>
            <w:effect w:val="none"/>
          </w:rPr>
          <w:t>34</w:t>
        </w:r>
      </w:hyperlink>
      <w:r>
        <w:rPr>
          <w:rFonts w:ascii="Times New Roman;serif" w:hAnsi="Times New Roman;serif"/>
          <w:b w:val="false"/>
          <w:color w:val="000000"/>
          <w:sz w:val="14"/>
        </w:rPr>
        <w:t xml:space="preserve"> for further information on these non-GAAP measures and reconciliations to the applicable GAAP measures.</w:t>
      </w:r>
    </w:p>
    <w:p>
      <w:pPr>
        <w:pStyle w:val="TextBody"/>
        <w:bidi w:val="0"/>
        <w:spacing w:lineRule="auto" w:line="288" w:before="0" w:after="0"/>
        <w:ind w:left="0" w:right="0" w:hanging="360"/>
        <w:jc w:val="both"/>
        <w:rPr>
          <w:rFonts w:ascii="Times New Roman;serif" w:hAnsi="Times New Roman;serif"/>
          <w:b w:val="false"/>
          <w:color w:val="000000"/>
          <w:sz w:val="14"/>
        </w:rPr>
      </w:pPr>
      <w:r>
        <w:rPr>
          <w:rFonts w:ascii="Times New Roman;serif" w:hAnsi="Times New Roman;serif"/>
          <w:b w:val="false"/>
          <w:color w:val="000000"/>
          <w:sz w:val="14"/>
        </w:rPr>
        <w:t>(c)Amounts in 2025 include an adjustment that reduced depreciation expense and increased income from continuing operations by $13.6 million. See "Depreciation Adjustment" in Note 1 for more details.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GAAP Basis</w:t>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Analysis of Consolidated Results: 2025 versus 2024</w:t>
      </w:r>
    </w:p>
    <w:p>
      <w:pPr>
        <w:pStyle w:val="TextBody"/>
        <w:bidi w:val="0"/>
        <w:spacing w:lineRule="auto" w:line="288" w:before="0" w:after="0"/>
        <w:jc w:val="left"/>
        <w:rPr/>
      </w:pPr>
      <w:bookmarkStart w:id="1" w:name="i0cadc2af42db43759bf27a5850ba9cdd_7758"/>
      <w:bookmarkEnd w:id="1"/>
      <w:r>
        <w:rPr>
          <w:rFonts w:ascii="Times New Roman;serif" w:hAnsi="Times New Roman;serif"/>
          <w:b/>
          <w:i/>
          <w:color w:val="000000"/>
          <w:sz w:val="18"/>
        </w:rPr>
        <w:t>Consolidated Revenues</w:t>
      </w:r>
      <w:r>
        <w:rPr>
          <w:color w:val="000000"/>
        </w:rPr>
        <w:t>  </w:t>
      </w:r>
      <w:r>
        <w:rPr>
          <w:rFonts w:ascii="Times New Roman;serif" w:hAnsi="Times New Roman;serif"/>
          <w:b w:val="false"/>
          <w:color w:val="000000"/>
          <w:sz w:val="18"/>
        </w:rPr>
        <w:t>Revenues increased $249.3 million due to organic increases in North America ($91.2 million), Latin America ($66.9 million), Europe ($57.9 million), and Rest of World ($41.4 million) and the favorable impact of acquisitions ($19.5 million), partially offset by the unfavorable impact of currency exchange rates ($27.6 million). The unfavorable currency impact was driven primarily by the Mexican peso, Argentine peso, and Brazilian real. Revenues increased 5% on an organic basis primarily due to inflation-based price increases and organic growth in AMS and DRS revenue. See below for our definition of “organic change” and "organic growth."</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18"/>
        </w:rPr>
        <w:t>Consolidated Costs and</w:t>
      </w:r>
      <w:r>
        <w:rPr>
          <w:color w:val="000000"/>
        </w:rPr>
        <w:t xml:space="preserve"> </w:t>
      </w:r>
      <w:r>
        <w:rPr>
          <w:rFonts w:ascii="Times New Roman;serif" w:hAnsi="Times New Roman;serif"/>
          <w:b/>
          <w:i/>
          <w:color w:val="000000"/>
          <w:sz w:val="18"/>
        </w:rPr>
        <w:t>Expenses</w:t>
      </w:r>
      <w:r>
        <w:rPr>
          <w:color w:val="000000"/>
        </w:rPr>
        <w:t xml:space="preserve">  </w:t>
      </w:r>
      <w:r>
        <w:rPr>
          <w:rFonts w:ascii="Times New Roman;serif" w:hAnsi="Times New Roman;serif"/>
          <w:b w:val="false"/>
          <w:color w:val="000000"/>
          <w:sz w:val="18"/>
        </w:rPr>
        <w:t>Cost of revenues increased 4% to $3,903.2 million primarily due to the impact of higher revenue partially offset by the impact of currency exchange rates. Selling, general and administrative costs decreased 7% to $778.0 million primarily due to lower costs incurred in connection with the resolutions of the U.S. DOJ and the U.S. Department of Treasury's FinCEN investigations and the depreciation adjustment discussed in Note 1 partially offset by organic increases in labor.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18"/>
        </w:rPr>
        <w:t xml:space="preserve">Consolidated Operating Profit and Operating Profit Margin </w:t>
      </w:r>
      <w:r>
        <w:rPr>
          <w:rFonts w:ascii="Times New Roman;serif" w:hAnsi="Times New Roman;serif"/>
          <w:b w:val="false"/>
          <w:color w:val="000000"/>
          <w:sz w:val="18"/>
        </w:rPr>
        <w:t>Operating profit margin increased from 9.0% to 11.1%.</w:t>
      </w:r>
      <w:r>
        <w:rPr>
          <w:color w:val="000000"/>
        </w:rPr>
        <w:t xml:space="preserve"> </w:t>
      </w:r>
      <w:r>
        <w:rPr>
          <w:rFonts w:ascii="Times New Roman;serif" w:hAnsi="Times New Roman;serif"/>
          <w:b w:val="false"/>
          <w:color w:val="000000"/>
          <w:sz w:val="18"/>
        </w:rPr>
        <w:t>Operating profit increased $132.5 million due mainly to:</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organic increases in North America ($52.5 million), Rest of World ($21.3 million), and Europe ($16.1 million),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lower corporate expenses on an organic basis ($20.3 million),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the depreciation adjustment mentioned above,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the favorable impact of acquisitions reflected in segment results ($5.2 million).</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partially offset by: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higher costs related to business acquisitions and dispositions ($15.4 million),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unfavorable changes in currency exchange rates on segment profit ($11.5 million) primarily driven by the Argentine peso and Mexican peso,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an organic decrease in Latin America ($10.4 million).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18"/>
        </w:rPr>
        <w:t>Consolidated Income from Continuing Operations Attributable to Brink’s and Related Per Share Amounts</w:t>
      </w:r>
      <w:r>
        <w:rPr>
          <w:color w:val="000000"/>
        </w:rPr>
        <w:t xml:space="preserve"> </w:t>
      </w:r>
      <w:r>
        <w:rPr>
          <w:rFonts w:ascii="Times New Roman;serif" w:hAnsi="Times New Roman;serif"/>
          <w:b w:val="false"/>
          <w:color w:val="000000"/>
          <w:sz w:val="18"/>
        </w:rPr>
        <w:t>Income from continuing operations attributable to Brink’s shareholders increased $38.3 million to $200.1 million primarily due to the increase in operating profit mentioned above, partially offset by higher income tax expense ($50.6 million), lower interest and other nonoperating income ($34.8 million), and higher interest expense ($10.1 million). Diluted earnings per share from continuing operations was $4.70, up from $3.61 in 2024.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1445"/>
                <wp:effectExtent l="0" t="0" r="0" b="0"/>
                <wp:wrapNone/>
                <wp:docPr id="27" name="Frame2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Non-GAAP Basis</w:t>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Analysis of Consolidated Results: 2025 versus 2024</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18"/>
        </w:rPr>
        <w:t>Non-GAAP Financial Measures</w:t>
      </w:r>
      <w:r>
        <w:rPr>
          <w:color w:val="000000"/>
        </w:rPr>
        <w:t>  </w:t>
      </w:r>
      <w:r>
        <w:rPr>
          <w:rFonts w:ascii="Times New Roman;serif" w:hAnsi="Times New Roman;serif"/>
          <w:b w:val="false"/>
          <w:color w:val="000000"/>
          <w:sz w:val="18"/>
        </w:rPr>
        <w:t xml:space="preserve">The non-GAAP measures included in the table above and the analysis below present our operating profit, operating profit margin, income from continuing operations, adjusted EBITDA and earnings per share without certain income and expense items that do not reflect the regular earnings of the Company's operations. These non-GAAP measures are described in more detail on page </w:t>
      </w:r>
      <w:hyperlink w:anchor="i117ef89d499440f4ba7485af360ee63f_11514">
        <w:r>
          <w:rPr>
            <w:rStyle w:val="InternetLink"/>
            <w:rFonts w:ascii="Times New Roman;serif" w:hAnsi="Times New Roman;serif"/>
            <w:b w:val="false"/>
            <w:strike w:val="false"/>
            <w:dstrike w:val="false"/>
            <w:color w:val="000000"/>
            <w:sz w:val="18"/>
            <w:u w:val="none"/>
            <w:effect w:val="none"/>
          </w:rPr>
          <w:t>34</w:t>
        </w:r>
      </w:hyperlink>
      <w:r>
        <w:rPr>
          <w:rFonts w:ascii="Times New Roman;serif" w:hAnsi="Times New Roman;serif"/>
          <w:b w:val="false"/>
          <w:color w:val="000000"/>
          <w:sz w:val="18"/>
        </w:rPr>
        <w:t xml:space="preserve"> and are reconciled to comparable GAAP measures on pages </w:t>
      </w:r>
      <w:hyperlink w:anchor="i117ef89d499440f4ba7485af360ee63f_11500">
        <w:r>
          <w:rPr>
            <w:rStyle w:val="InternetLink"/>
            <w:rFonts w:ascii="Times New Roman;serif" w:hAnsi="Times New Roman;serif"/>
            <w:b w:val="false"/>
            <w:strike w:val="false"/>
            <w:dstrike w:val="false"/>
            <w:color w:val="000000"/>
            <w:sz w:val="18"/>
            <w:u w:val="none"/>
            <w:effect w:val="none"/>
          </w:rPr>
          <w:t>35</w:t>
        </w:r>
      </w:hyperlink>
      <w:r>
        <w:rPr>
          <w:rFonts w:ascii="Times New Roman;serif" w:hAnsi="Times New Roman;serif"/>
          <w:b w:val="false"/>
          <w:color w:val="000000"/>
          <w:sz w:val="18"/>
        </w:rPr>
        <w:t>-</w:t>
      </w:r>
      <w:hyperlink w:anchor="ie36f316e16f5457cbfb443b282383c6e_2-0-1-1-337083">
        <w:r>
          <w:rPr>
            <w:rStyle w:val="InternetLink"/>
            <w:rFonts w:ascii="Times New Roman;serif" w:hAnsi="Times New Roman;serif"/>
            <w:b w:val="false"/>
            <w:strike w:val="false"/>
            <w:dstrike w:val="false"/>
            <w:color w:val="000000"/>
            <w:sz w:val="18"/>
            <w:u w:val="none"/>
            <w:effect w:val="none"/>
          </w:rPr>
          <w:t>38</w:t>
        </w:r>
      </w:hyperlink>
      <w:r>
        <w:rPr>
          <w:rFonts w:ascii="Times New Roman;serif" w:hAnsi="Times New Roman;serif"/>
          <w:b w:val="false"/>
          <w:color w:val="000000"/>
          <w:sz w:val="18"/>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18"/>
        </w:rPr>
        <w:t xml:space="preserve">Non-GAAP Consolidated Operating Profit and Non-GAAP Operating Profit Margin </w:t>
      </w:r>
      <w:r>
        <w:rPr>
          <w:rFonts w:ascii="Times New Roman;serif" w:hAnsi="Times New Roman;serif"/>
          <w:b w:val="false"/>
          <w:color w:val="000000"/>
          <w:sz w:val="18"/>
        </w:rPr>
        <w:t>Non-GAAP operating profit margin was 13.5%.</w:t>
      </w:r>
      <w:r>
        <w:rPr>
          <w:color w:val="000000"/>
        </w:rPr>
        <w:t xml:space="preserve"> </w:t>
      </w:r>
      <w:r>
        <w:rPr>
          <w:rFonts w:ascii="Times New Roman;serif" w:hAnsi="Times New Roman;serif"/>
          <w:b w:val="false"/>
          <w:color w:val="000000"/>
          <w:sz w:val="18"/>
        </w:rPr>
        <w:t>Non-GAAP operating profit increased $80.5 million due mainly to:</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organic increase in North America ($52.5 million), Rest of World ($21.3 million) and Europe ($16.1 million)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lower corporate expenses on an organic basis ($20.3 million),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 xml:space="preserve">the favorable impact of acquisitions reflected in segment results ($5.2 million).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partially offset by: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 xml:space="preserve">unfavorable changes in currency exchange rates ($24.5 million), driven primarily by the Argentine peso and Mexican peso, and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an organic decrease in Latin America ($10.4 million).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18"/>
        </w:rPr>
        <w:t>Non-GAAP Consolidated Income from Continuing Operations Attributable to Brink’s and Related Per Share Amounts</w:t>
      </w:r>
      <w:r>
        <w:rPr>
          <w:color w:val="000000"/>
        </w:rPr>
        <w:t xml:space="preserve">  </w:t>
      </w:r>
      <w:r>
        <w:rPr>
          <w:rFonts w:ascii="Times New Roman;serif" w:hAnsi="Times New Roman;serif"/>
          <w:b w:val="false"/>
          <w:color w:val="000000"/>
          <w:sz w:val="18"/>
        </w:rPr>
        <w:t>Non-GAAP income from continuing operations attributable to Brink’s shareholders increased $20.6 million to $342.0 million due to the operating profit increase mentioned above, partially offset by higher income tax expense ($33.1 million), lower interest and other nonoperating income ($18.0 million), and higher interest expense ($10.1 million). Non-GAAP diluted earnings per share from continuing operations was $8.05, up from $7.17 in 2024.</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18"/>
        </w:rPr>
        <w:t>Adjusted EBITDA</w:t>
      </w:r>
      <w:r>
        <w:rPr>
          <w:color w:val="000000"/>
        </w:rPr>
        <w:t xml:space="preserve"> </w:t>
      </w:r>
      <w:r>
        <w:rPr>
          <w:rFonts w:ascii="Times New Roman;serif" w:hAnsi="Times New Roman;serif"/>
          <w:b w:val="false"/>
          <w:color w:val="000000"/>
          <w:sz w:val="18"/>
        </w:rPr>
        <w:t>Adjusted EBITDA increased 7% to $977.1 million primarily due to the increase in non-GAAP operating profit ($80.5 million), excluding the impact of higher non-GAAP depreciation and amortization ($16.7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1445"/>
                <wp:effectExtent l="0" t="0" r="0" b="0"/>
                <wp:wrapNone/>
                <wp:docPr id="28" name="Frame2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18"/>
        </w:rPr>
      </w:pPr>
      <w:bookmarkStart w:id="2" w:name="i0cadc2af42db43759bf27a5850ba9cdd_7757"/>
      <w:bookmarkEnd w:id="2"/>
      <w:r>
        <w:rPr>
          <w:rFonts w:ascii="Times New Roman;serif" w:hAnsi="Times New Roman;serif"/>
          <w:b/>
          <w:color w:val="000000"/>
          <w:sz w:val="18"/>
        </w:rPr>
        <w:t>Revenues and Operating Profit by Segment</w:t>
      </w:r>
    </w:p>
    <w:tbl>
      <w:tblPr>
        <w:tblW w:w="10205" w:type="dxa"/>
        <w:jc w:val="left"/>
        <w:tblInd w:w="0" w:type="dxa"/>
        <w:tblLayout w:type="fixed"/>
        <w:tblCellMar>
          <w:top w:w="28" w:type="dxa"/>
          <w:left w:w="28" w:type="dxa"/>
          <w:bottom w:w="28" w:type="dxa"/>
          <w:right w:w="28" w:type="dxa"/>
        </w:tblCellMar>
      </w:tblPr>
      <w:tblGrid>
        <w:gridCol w:w="820"/>
        <w:gridCol w:w="722"/>
        <w:gridCol w:w="724"/>
        <w:gridCol w:w="196"/>
        <w:gridCol w:w="691"/>
        <w:gridCol w:w="109"/>
        <w:gridCol w:w="109"/>
        <w:gridCol w:w="109"/>
        <w:gridCol w:w="109"/>
        <w:gridCol w:w="282"/>
        <w:gridCol w:w="274"/>
        <w:gridCol w:w="256"/>
        <w:gridCol w:w="109"/>
        <w:gridCol w:w="109"/>
        <w:gridCol w:w="109"/>
        <w:gridCol w:w="376"/>
        <w:gridCol w:w="372"/>
        <w:gridCol w:w="371"/>
        <w:gridCol w:w="109"/>
        <w:gridCol w:w="109"/>
        <w:gridCol w:w="109"/>
        <w:gridCol w:w="265"/>
        <w:gridCol w:w="265"/>
        <w:gridCol w:w="256"/>
        <w:gridCol w:w="109"/>
        <w:gridCol w:w="109"/>
        <w:gridCol w:w="109"/>
        <w:gridCol w:w="353"/>
        <w:gridCol w:w="353"/>
        <w:gridCol w:w="194"/>
        <w:gridCol w:w="109"/>
        <w:gridCol w:w="109"/>
        <w:gridCol w:w="109"/>
        <w:gridCol w:w="191"/>
        <w:gridCol w:w="194"/>
        <w:gridCol w:w="156"/>
        <w:gridCol w:w="109"/>
        <w:gridCol w:w="109"/>
        <w:gridCol w:w="109"/>
        <w:gridCol w:w="239"/>
        <w:gridCol w:w="239"/>
        <w:gridCol w:w="345"/>
      </w:tblGrid>
      <w:tr>
        <w:trPr/>
        <w:tc>
          <w:tcPr>
            <w:tcW w:w="8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rPr/>
        <w:tc>
          <w:tcPr>
            <w:tcW w:w="226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Impact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Change</w:t>
            </w:r>
          </w:p>
        </w:tc>
      </w:tr>
      <w:tr>
        <w:trPr/>
        <w:tc>
          <w:tcPr>
            <w:tcW w:w="2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Organic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Acquisitions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Organic</w:t>
            </w:r>
          </w:p>
        </w:tc>
      </w:tr>
      <w:tr>
        <w:trPr/>
        <w:tc>
          <w:tcPr>
            <w:tcW w:w="226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 except for percentages)</w:t>
            </w:r>
          </w:p>
        </w:tc>
        <w:tc>
          <w:tcPr>
            <w:tcW w:w="99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2024</w:t>
            </w:r>
            <w:r>
              <w:rPr>
                <w:rFonts w:ascii="Times New Roman;serif" w:hAnsi="Times New Roman;serif"/>
                <w:b w:val="false"/>
                <w:color w:val="000000"/>
                <w:sz w:val="12"/>
              </w:rPr>
              <w: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Change</w:t>
            </w:r>
            <w:r>
              <w:rPr>
                <w:rFonts w:ascii="Times New Roman;serif" w:hAnsi="Times New Roman;serif"/>
                <w:b w:val="false"/>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Dispositions</w:t>
            </w:r>
            <w:r>
              <w:rPr>
                <w:rFonts w:ascii="Times New Roman;serif" w:hAnsi="Times New Roman;serif"/>
                <w:b w:val="false"/>
                <w:color w:val="000000"/>
                <w:sz w:val="12"/>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Effect</w:t>
            </w:r>
            <w:r>
              <w:rPr>
                <w:rFonts w:ascii="Times New Roman;serif" w:hAnsi="Times New Roman;serif"/>
                <w:b w:val="false"/>
                <w:color w:val="000000"/>
                <w:sz w:val="12"/>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2025</w:t>
            </w:r>
            <w:r>
              <w:rPr>
                <w:rFonts w:ascii="Times New Roman;serif" w:hAnsi="Times New Roman;serif"/>
                <w:b/>
                <w:color w:val="000000"/>
                <w:sz w:val="12"/>
              </w:rPr>
              <w: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Growth</w:t>
            </w:r>
            <w:r>
              <w:rPr>
                <w:rFonts w:ascii="Times New Roman;serif" w:hAnsi="Times New Roman;serif"/>
                <w:b w:val="false"/>
                <w:color w:val="000000"/>
                <w:sz w:val="12"/>
              </w:rPr>
              <w:t>(a)</w:t>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9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North America</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1,742.6</w:t>
            </w: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Latin America</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1,289.6</w:t>
            </w: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1,429.5</w:t>
            </w: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 of World</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799.5</w:t>
            </w: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Segment revenues</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257.4 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3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5,261.2</w:t>
            </w:r>
            <w:r>
              <w:rPr>
                <w:color w:val="000000"/>
              </w:rPr>
              <w:t>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257.4 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3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5,261.2</w:t>
            </w:r>
            <w:r>
              <w:rPr>
                <w:color w:val="000000"/>
              </w:rPr>
              <w:t>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profit:</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North America</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246.7</w:t>
            </w: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Latin America</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243.9</w:t>
            </w: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177.2</w:t>
            </w: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 of World</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178.2</w:t>
            </w: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Segment operating profit</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846.0</w:t>
            </w:r>
            <w:r>
              <w:rPr>
                <w:color w:val="000000"/>
              </w:rPr>
              <w:t>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Corporate expenses</w:t>
            </w:r>
            <w:r>
              <w:rPr>
                <w:rFonts w:ascii="Times New Roman;serif" w:hAnsi="Times New Roman;serif"/>
                <w:b w:val="false"/>
                <w:color w:val="000000"/>
                <w:sz w:val="12"/>
              </w:rPr>
              <w:t>(d)</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(136.1)</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items not allocated to segments</w:t>
            </w:r>
            <w:r>
              <w:rPr>
                <w:rFonts w:ascii="Times New Roman;serif" w:hAnsi="Times New Roman;serif"/>
                <w:b w:val="false"/>
                <w:color w:val="000000"/>
                <w:sz w:val="12"/>
              </w:rPr>
              <w:t>(d)</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(124.4)</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Operating profit</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143.0 </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w:t>
            </w:r>
          </w:p>
        </w:tc>
        <w:tc>
          <w:tcPr>
            <w:tcW w:w="3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585.5</w:t>
            </w:r>
            <w:r>
              <w:rPr>
                <w:color w:val="000000"/>
              </w:rPr>
              <w:t> </w:t>
            </w:r>
          </w:p>
        </w:tc>
        <w:tc>
          <w:tcPr>
            <w:tcW w:w="19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Amounts may not add due to rounding.</w:t>
      </w:r>
    </w:p>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erif" w:hAnsi="Times New Roman;serif"/>
          <w:b w:val="false"/>
          <w:color w:val="000000"/>
          <w:sz w:val="14"/>
        </w:rPr>
        <w:t xml:space="preserve">(a)Organic change and organic growth are supplemental financial measures that are not required by, or presented in accordance with, GAAP, and are described in more detail on page </w:t>
      </w:r>
      <w:hyperlink w:anchor="i117ef89d499440f4ba7485af360ee63f_11514">
        <w:r>
          <w:rPr>
            <w:rStyle w:val="InternetLink"/>
            <w:rFonts w:ascii="Times New Roman;serif" w:hAnsi="Times New Roman;serif"/>
            <w:b w:val="false"/>
            <w:strike w:val="false"/>
            <w:dstrike w:val="false"/>
            <w:color w:val="000000"/>
            <w:sz w:val="14"/>
            <w:u w:val="none"/>
            <w:effect w:val="none"/>
          </w:rPr>
          <w:t>34</w:t>
        </w:r>
      </w:hyperlink>
      <w:r>
        <w:rPr>
          <w:rFonts w:ascii="Times New Roman;serif" w:hAnsi="Times New Roman;serif"/>
          <w:b w:val="false"/>
          <w:color w:val="000000"/>
          <w:sz w:val="14"/>
        </w:rPr>
        <w:t>.</w:t>
      </w:r>
    </w:p>
    <w:p>
      <w:pPr>
        <w:pStyle w:val="TextBody"/>
        <w:bidi w:val="0"/>
        <w:spacing w:lineRule="auto" w:line="288" w:before="0" w:after="0"/>
        <w:ind w:left="0" w:right="0" w:hanging="360"/>
        <w:jc w:val="both"/>
        <w:rPr/>
      </w:pPr>
      <w:r>
        <w:rPr>
          <w:rFonts w:ascii="Times New Roman;serif" w:hAnsi="Times New Roman;serif"/>
          <w:b w:val="false"/>
          <w:color w:val="000000"/>
          <w:sz w:val="14"/>
        </w:rPr>
        <w:t xml:space="preserve">(b)Amounts include the impact of prior year comparable period results for acquired and disposed businesses. This measure is not required by, or presented in accordance with, GAAP and is described in more detail on page </w:t>
      </w:r>
      <w:hyperlink w:anchor="i117ef89d499440f4ba7485af360ee63f_11514">
        <w:r>
          <w:rPr>
            <w:rStyle w:val="InternetLink"/>
            <w:rFonts w:ascii="Times New Roman;serif" w:hAnsi="Times New Roman;serif"/>
            <w:b w:val="false"/>
            <w:strike w:val="false"/>
            <w:dstrike w:val="false"/>
            <w:color w:val="000000"/>
            <w:sz w:val="14"/>
            <w:u w:val="none"/>
            <w:effect w:val="none"/>
          </w:rPr>
          <w:t>34</w:t>
        </w:r>
      </w:hyperlink>
      <w:r>
        <w:rPr>
          <w:rFonts w:ascii="Times New Roman;serif" w:hAnsi="Times New Roman;serif"/>
          <w:b w:val="false"/>
          <w:color w:val="000000"/>
          <w:sz w:val="14"/>
        </w:rPr>
        <w:t>.</w:t>
      </w:r>
    </w:p>
    <w:p>
      <w:pPr>
        <w:pStyle w:val="TextBody"/>
        <w:bidi w:val="0"/>
        <w:spacing w:lineRule="auto" w:line="288" w:before="0" w:after="0"/>
        <w:ind w:left="0" w:right="0" w:hanging="360"/>
        <w:jc w:val="both"/>
        <w:rPr/>
      </w:pPr>
      <w:r>
        <w:rPr>
          <w:rFonts w:ascii="Times New Roman;serif" w:hAnsi="Times New Roman;serif"/>
          <w:b w:val="false"/>
          <w:color w:val="000000"/>
          <w:sz w:val="14"/>
        </w:rPr>
        <w:t xml:space="preserve">(c)The amounts in the “Currency” column consist of the effects of Argentina devaluations under highly inflationary accounting and the sum of monthly currency changes. This measure is not required by, or presented in accordance with, GAAP and is described in more detail on page </w:t>
      </w:r>
      <w:hyperlink w:anchor="i117ef89d499440f4ba7485af360ee63f_11514">
        <w:r>
          <w:rPr>
            <w:rStyle w:val="InternetLink"/>
            <w:rFonts w:ascii="Times New Roman;serif" w:hAnsi="Times New Roman;serif"/>
            <w:b w:val="false"/>
            <w:strike w:val="false"/>
            <w:dstrike w:val="false"/>
            <w:color w:val="000000"/>
            <w:sz w:val="14"/>
            <w:u w:val="none"/>
            <w:effect w:val="none"/>
          </w:rPr>
          <w:t>34</w:t>
        </w:r>
      </w:hyperlink>
      <w:r>
        <w:rPr>
          <w:rFonts w:ascii="Times New Roman;serif" w:hAnsi="Times New Roman;serif"/>
          <w:b w:val="false"/>
          <w:color w:val="000000"/>
          <w:sz w:val="14"/>
        </w:rPr>
        <w:t xml:space="preserve">. </w:t>
      </w:r>
    </w:p>
    <w:p>
      <w:pPr>
        <w:pStyle w:val="TextBody"/>
        <w:bidi w:val="0"/>
        <w:spacing w:lineRule="auto" w:line="288" w:before="0" w:after="0"/>
        <w:ind w:left="0" w:right="0" w:hanging="360"/>
        <w:jc w:val="both"/>
        <w:rPr/>
      </w:pPr>
      <w:r>
        <w:rPr>
          <w:rFonts w:ascii="Times New Roman;serif" w:hAnsi="Times New Roman;serif"/>
          <w:b w:val="false"/>
          <w:color w:val="000000"/>
          <w:sz w:val="14"/>
        </w:rPr>
        <w:t xml:space="preserve">(d)See page </w:t>
      </w:r>
      <w:hyperlink w:anchor="i275bec4631da4b22a64426a3a4f02a78_79">
        <w:r>
          <w:rPr>
            <w:rStyle w:val="InternetLink"/>
            <w:rFonts w:ascii="Times New Roman;serif" w:hAnsi="Times New Roman;serif"/>
            <w:b w:val="false"/>
            <w:strike w:val="false"/>
            <w:dstrike w:val="false"/>
            <w:color w:val="000000"/>
            <w:sz w:val="14"/>
            <w:u w:val="none"/>
            <w:effect w:val="none"/>
          </w:rPr>
          <w:t>27</w:t>
        </w:r>
      </w:hyperlink>
      <w:r>
        <w:rPr>
          <w:rFonts w:ascii="Times New Roman;serif" w:hAnsi="Times New Roman;serif"/>
          <w:b w:val="false"/>
          <w:color w:val="000000"/>
          <w:sz w:val="14"/>
        </w:rPr>
        <w:t>-</w:t>
      </w:r>
      <w:hyperlink w:anchor="i4f5b1c843fef451d9d0ba303edd73895_36695">
        <w:r>
          <w:rPr>
            <w:rStyle w:val="InternetLink"/>
            <w:rFonts w:ascii="Times New Roman;serif" w:hAnsi="Times New Roman;serif"/>
            <w:b w:val="false"/>
            <w:strike w:val="false"/>
            <w:dstrike w:val="false"/>
            <w:color w:val="000000"/>
            <w:sz w:val="14"/>
            <w:u w:val="none"/>
            <w:effect w:val="none"/>
          </w:rPr>
          <w:t>29</w:t>
        </w:r>
      </w:hyperlink>
      <w:r>
        <w:rPr>
          <w:rFonts w:ascii="Times New Roman;serif" w:hAnsi="Times New Roman;serif"/>
          <w:b w:val="false"/>
          <w:color w:val="000000"/>
          <w:sz w:val="14"/>
        </w:rPr>
        <w:t xml:space="preserve"> for further information, where these items are discussed in more detail.</w:t>
      </w:r>
    </w:p>
    <w:p>
      <w:pPr>
        <w:pStyle w:val="TextBody"/>
        <w:bidi w:val="0"/>
        <w:spacing w:lineRule="auto" w:line="288" w:before="0" w:after="0"/>
        <w:ind w:left="0" w:right="0" w:hanging="360"/>
        <w:jc w:val="both"/>
        <w:rPr>
          <w:rFonts w:ascii="Times New Roman;serif" w:hAnsi="Times New Roman;serif"/>
          <w:b w:val="false"/>
          <w:color w:val="000000"/>
          <w:sz w:val="14"/>
        </w:rPr>
      </w:pPr>
      <w:r>
        <w:rPr>
          <w:rFonts w:ascii="Times New Roman;serif" w:hAnsi="Times New Roman;serif"/>
          <w:b w:val="false"/>
          <w:color w:val="000000"/>
          <w:sz w:val="14"/>
        </w:rPr>
        <w:t>(e)Effective December 31, 2025, operations in certain geographies were moved from the Rest of World segment to the Europe segment. See Note 3 for more information.</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Analysis of Segment Results: 2025 versus 2024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u w:val="single"/>
        </w:rPr>
      </w:pPr>
      <w:r>
        <w:rPr>
          <w:rFonts w:ascii="Times New Roman;serif" w:hAnsi="Times New Roman;serif"/>
          <w:b/>
          <w:color w:val="000000"/>
          <w:sz w:val="18"/>
          <w:u w:val="single"/>
        </w:rPr>
        <w:t>North America</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Revenues increased 6% ($92.9 million) primarily due to a 6% organic increase ($91.2 million) and the favorable impact of acquisitions ($4.3 million), partially offset by the unfavorable impact of currency exchange rates ($2.6 million) from the Canadian dollar. Organic revenue increased primarily due to price increases and growth in AMS and DRS revenue, as well as BGS revenue. Operating profit increased ($52.7 million), primarily due to a 27% organic increase ($52.5 million) and the impact of acquisitions ($0.2 million). The organic increase was primarily driven by the net impact of revenue mix and cost productivity improvements from transformation initiatives in the U.S.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u w:val="single"/>
        </w:rPr>
      </w:pPr>
      <w:r>
        <w:rPr>
          <w:rFonts w:ascii="Times New Roman;serif" w:hAnsi="Times New Roman;serif"/>
          <w:b/>
          <w:color w:val="000000"/>
          <w:sz w:val="18"/>
          <w:u w:val="single"/>
        </w:rPr>
        <w:t>Latin America</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Revenues decreased 2% ($21.4 million) due to the unfavorable impact of currency exchange rates ($98.5 million), primarily from the Argentine peso, Mexican peso, and Brazilian real, partially offset by a 5% organic increase ($66.9 million) and the favorable impact of acquisitions ($10.2 million). The organic increase was driven by inflation-based price increases across the segment with a majority of the impact from Argentina, as well as growth in AMS and DRS revenue. Operating profit decreased 10% ($28.4 million) due to the unfavorable currency exchange rates ($22.0 million) and by a 4% organic decrease ($10.4 million), partially offset by the favorable impact of acquisitions ($4.0 million). The organic decrease was driven by lower volumes partially offset by labor cost reduction actions.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u w:val="single"/>
        </w:rPr>
      </w:pPr>
      <w:r>
        <w:rPr>
          <w:rFonts w:ascii="Times New Roman;serif" w:hAnsi="Times New Roman;serif"/>
          <w:b/>
          <w:color w:val="000000"/>
          <w:sz w:val="18"/>
          <w:u w:val="single"/>
        </w:rPr>
        <w:t>Europe</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Revenues increased 10% ($124.5 million) due to the favorable impact of currency exchange rates ($61.6 million), primarily from the Euro, a 4% organic increase ($57.9 million), and the favorable impact of acquisitions ($5.0 million). The organic increase was primarily due to the growth of AMS and DRS revenue. Operating profit increased ($26.1 million) primarily due to an organic increase ($16.1 million), the favorable impact of currency exchange rates ($9.0 million), and the favorable impact of acquisitions ($1.0 million). The organic increase was primarily driven by the revenue mix benefit of higher AMS and DRS revenue.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u w:val="single"/>
        </w:rPr>
      </w:pPr>
      <w:r>
        <w:rPr>
          <w:rFonts w:ascii="Times New Roman;serif" w:hAnsi="Times New Roman;serif"/>
          <w:b/>
          <w:color w:val="000000"/>
          <w:sz w:val="18"/>
          <w:u w:val="single"/>
        </w:rPr>
        <w:t>Rest of World</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Revenues increased 7% ($53.3 million) due a 6% organic increase ($41.4 million). The organic increase was primarily due to growth in BGS revenue. Operating profit increased $22.8 million primarily due to a 14% organic increase ($21.3 million). The organic increase was driven by a favorable BGS revenue mix impact.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1445"/>
                <wp:effectExtent l="0" t="0" r="0" b="0"/>
                <wp:wrapNone/>
                <wp:docPr id="29" name="Frame2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Analysis of Income and Expenses Not Allocated to Segments: 2025 versus 2024</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Income and expenses not allocated to segments are reported either as “Corporate Expenses” or “Other Items not Allocated to Segments.”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Corporate Expenses include costs to manage the global business and perform activities required by public companies as well as other items that are considered part of the Company's operations and revenue generating activities but are not considered when the chief operating decision maker ("CODM") evaluates segment results. Examples include corporate staff compensation, corporate headquarters costs, global and regional management costs, share-based compensation, and currency transaction gains and losses.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Other Items not Allocated to Segments include income and expenses that are not necessary to operate our business in the ordinary course and are not considered when the CODM evaluates segment results. These include non-recurring as well as certain recurring costs and gains which are not considered to be part of the Company's operations and revenue generating activities. Each of the items in the “Other Items Not Allocated to Segments” table is excluded from non-GAAP operating profit.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u w:val="single"/>
        </w:rPr>
      </w:pPr>
      <w:r>
        <w:rPr>
          <w:rFonts w:ascii="Times New Roman;serif" w:hAnsi="Times New Roman;serif"/>
          <w:b/>
          <w:color w:val="000000"/>
          <w:sz w:val="18"/>
          <w:u w:val="single"/>
        </w:rPr>
        <w:t>Corporate Expenses</w:t>
      </w:r>
    </w:p>
    <w:tbl>
      <w:tblPr>
        <w:tblW w:w="8087" w:type="dxa"/>
        <w:jc w:val="left"/>
        <w:tblInd w:w="0" w:type="dxa"/>
        <w:tblLayout w:type="fixed"/>
        <w:tblCellMar>
          <w:top w:w="28" w:type="dxa"/>
          <w:left w:w="28" w:type="dxa"/>
          <w:bottom w:w="28" w:type="dxa"/>
          <w:right w:w="28" w:type="dxa"/>
        </w:tblCellMar>
      </w:tblPr>
      <w:tblGrid>
        <w:gridCol w:w="1145"/>
        <w:gridCol w:w="1008"/>
        <w:gridCol w:w="1012"/>
        <w:gridCol w:w="196"/>
        <w:gridCol w:w="631"/>
        <w:gridCol w:w="109"/>
        <w:gridCol w:w="109"/>
        <w:gridCol w:w="109"/>
        <w:gridCol w:w="109"/>
        <w:gridCol w:w="314"/>
        <w:gridCol w:w="316"/>
        <w:gridCol w:w="156"/>
        <w:gridCol w:w="109"/>
        <w:gridCol w:w="109"/>
        <w:gridCol w:w="109"/>
        <w:gridCol w:w="314"/>
        <w:gridCol w:w="316"/>
        <w:gridCol w:w="156"/>
        <w:gridCol w:w="109"/>
        <w:gridCol w:w="109"/>
        <w:gridCol w:w="109"/>
        <w:gridCol w:w="203"/>
        <w:gridCol w:w="203"/>
        <w:gridCol w:w="156"/>
        <w:gridCol w:w="109"/>
        <w:gridCol w:w="109"/>
        <w:gridCol w:w="109"/>
        <w:gridCol w:w="165"/>
        <w:gridCol w:w="166"/>
        <w:gridCol w:w="213"/>
      </w:tblGrid>
      <w:tr>
        <w:trPr/>
        <w:tc>
          <w:tcPr>
            <w:tcW w:w="114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1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change</w:t>
            </w:r>
          </w:p>
        </w:tc>
      </w:tr>
      <w:tr>
        <w:trPr/>
        <w:tc>
          <w:tcPr>
            <w:tcW w:w="31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 except for percentages)</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r>
      <w:tr>
        <w:trPr/>
        <w:tc>
          <w:tcPr>
            <w:tcW w:w="31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administrative and other expenses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transaction gains (losses)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expenses</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(136.1)</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(143.4)</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(139.6)</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Corporate expenses in 2025 decreased by $7.3 million versus the prior year. This was primarily driven by a reduction in charges related to insurance and security losses ($11.2 million), lower net compensation costs ($10.3 million), lower global information technology costs ($5.6 million), and decreased professional fees ($4.6 million), partially offset by lower foreign currency transaction gains ($13.0 million) and higher global management costs not allocated to segments ($11.9 million).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u w:val="single"/>
        </w:rPr>
      </w:pPr>
      <w:r>
        <w:rPr>
          <w:rFonts w:ascii="Times New Roman;serif" w:hAnsi="Times New Roman;serif"/>
          <w:b/>
          <w:color w:val="000000"/>
          <w:sz w:val="18"/>
          <w:u w:val="single"/>
        </w:rPr>
        <w:t>Other Items Not Allocated to Segments</w:t>
      </w:r>
    </w:p>
    <w:tbl>
      <w:tblPr>
        <w:tblW w:w="8252" w:type="dxa"/>
        <w:jc w:val="left"/>
        <w:tblInd w:w="0" w:type="dxa"/>
        <w:tblLayout w:type="fixed"/>
        <w:tblCellMar>
          <w:top w:w="28" w:type="dxa"/>
          <w:left w:w="28" w:type="dxa"/>
          <w:bottom w:w="28" w:type="dxa"/>
          <w:right w:w="28" w:type="dxa"/>
        </w:tblCellMar>
      </w:tblPr>
      <w:tblGrid>
        <w:gridCol w:w="1145"/>
        <w:gridCol w:w="1008"/>
        <w:gridCol w:w="1012"/>
        <w:gridCol w:w="196"/>
        <w:gridCol w:w="631"/>
        <w:gridCol w:w="109"/>
        <w:gridCol w:w="109"/>
        <w:gridCol w:w="109"/>
        <w:gridCol w:w="109"/>
        <w:gridCol w:w="312"/>
        <w:gridCol w:w="318"/>
        <w:gridCol w:w="156"/>
        <w:gridCol w:w="109"/>
        <w:gridCol w:w="109"/>
        <w:gridCol w:w="109"/>
        <w:gridCol w:w="313"/>
        <w:gridCol w:w="317"/>
        <w:gridCol w:w="156"/>
        <w:gridCol w:w="109"/>
        <w:gridCol w:w="109"/>
        <w:gridCol w:w="109"/>
        <w:gridCol w:w="203"/>
        <w:gridCol w:w="203"/>
        <w:gridCol w:w="156"/>
        <w:gridCol w:w="109"/>
        <w:gridCol w:w="109"/>
        <w:gridCol w:w="109"/>
        <w:gridCol w:w="248"/>
        <w:gridCol w:w="248"/>
        <w:gridCol w:w="213"/>
      </w:tblGrid>
      <w:tr>
        <w:trPr/>
        <w:tc>
          <w:tcPr>
            <w:tcW w:w="114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1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change</w:t>
            </w:r>
          </w:p>
        </w:tc>
      </w:tr>
      <w:tr>
        <w:trPr/>
        <w:tc>
          <w:tcPr>
            <w:tcW w:w="31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 except for percentages)</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r>
      <w:tr>
        <w:trPr/>
        <w:tc>
          <w:tcPr>
            <w:tcW w:w="31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Reorganization and restructuring</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 and dispositions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Argentina highly inflationary impact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Transformation initiatives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unfav</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DOJ/FinCEN investigations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unfav</w:t>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Chile antitrust matter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unfav</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Non-routine auto loss matter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Reporting compliance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Other items not allocated to segments</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(124.4)</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(176.4)</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(189.8)</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(29)</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2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1445"/>
                <wp:effectExtent l="0" t="0" r="0" b="0"/>
                <wp:wrapNone/>
                <wp:docPr id="30" name="Frame2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18"/>
        </w:rPr>
        <w:t>Reorganization and restructuring</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Costs associated with certain reorganization and restructuring actions are excluded from reported non-GAAP results. These items include primarily severance charges and asset impairment losses. The 2022 Global Restructuring Plan was designed to, among other things, enable growth, reduce costs and related infrastructure, and to mitigate the potential impact of external economic conditions in light of the COVID-19 pandemic. Other restructuring actions were primarily in response to the COVID-19 pandemic and a decision to exit a line of business in our Canada operating unit. Due to the unusual nature of the underlying events that led to these actions, the charges are not considered part of the Company's operations and revenue generating activities. Management has excluded these amounts when evaluating internal performance. As such, they have not been allocated to segment or Corporate results and are excluded from non-GAAP results.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18"/>
        </w:rPr>
        <w:t>Acquisitions and dispositions</w:t>
      </w:r>
      <w:r>
        <w:rPr>
          <w:color w:val="000000"/>
        </w:rPr>
        <w:t xml:space="preserve">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Certain acquisition and disposition items are not part of the Company's operations and revenue generating activities. These items include non-cash amortization expense for acquisition-related intangible assets, as well as integration, transaction, restructuring and certain compensation costs. All of the items are significantly impacted by the timing and nature of our acquisitions and dispositions, and many are inconsistent in amount and frequency. Management has excluded these amounts when evaluating internal performance. Therefore, we have not allocated these amounts to segment or Corporate results and have excluded these amounts from non-GAAP results.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These items are described below: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2025 Acquisitions and Dispositions Items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 xml:space="preserve">Amortization expense for acquisition-related intangible assets was $58.9 million in 2025.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Restructuring costs related to acquisitions were $11.8 million in 2025.</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Net charges of $2.2 million were incurred for post-acquisition adjustments to indemnification assets related to previous business acquisitions.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 xml:space="preserve">We incurred $3.8 million in integration costs in 2025.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Transaction costs related to business acquisitions were $2.7 million in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2024 Acquisitions and Dispositions Items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Amortization expense for acquisition-related intangible assets was $58.3 million in 2024.</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Net charges of $2.4 million were incurred for post-acquisition adjustments to indemnification assets related to previous business acquisitions.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 xml:space="preserve">We incurred $1.1 million in integration costs in 2024.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A net credit of $1.3 million related to the reversal of a retention liability for key PAI employees was recorded in 2024.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2023 Acquisitions and Dispositions Items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Amortization expense for acquisition-related intangible assets was $57.8 million in 2023.</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We derecognized a contingent consideration liability related to the NoteMachine business acquisition and recognized a gain of $4.8 million. We also derecognized a contingent consideration liability related to the Touchpoint 21 acquisition and recognized a gain of $1.4 million.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We recognized $4.9 million in charges in Argentina in 2023 for an inflation-adjusted labor increase to expected payments to union workers of the Maco Transportadora and Maco Litoral businesses (together, "Maco").</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Net charges of $3.4 million were incurred for post-acquisition adjustments to indemnification assets related to previous business acquisitions.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 xml:space="preserve">We incurred $2.2 million in integration costs, primarily related to PAI, in 2023.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Transaction costs related to business acquisitions were $4.2 million in 2023.</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We recognized a $2.0 million loss on the disposition of Russia-based operations in 2023.</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Compensation expense related to the retention of key PAI employees was $1.6 million in 2023.</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18"/>
        </w:rPr>
        <w:t>Argentina highly inflationary impact</w:t>
      </w:r>
      <w:r>
        <w:rPr>
          <w:color w:val="000000"/>
        </w:rPr>
        <w:t xml:space="preserve"> </w:t>
      </w:r>
      <w:r>
        <w:rPr>
          <w:rFonts w:ascii="Times New Roman;serif" w:hAnsi="Times New Roman;serif"/>
          <w:b w:val="false"/>
          <w:color w:val="000000"/>
          <w:sz w:val="18"/>
        </w:rPr>
        <w:t>Beginning in the third quarter of 2018, we designated Argentina's economy as highly inflationary for accounting purposes. As a result, Argentine peso-denominated monetary assets and liabilities are now remeasured at each balance sheet date to the currency exchange rate then in effect, with currency remeasurement gains and losses recognized in earnings. In addition, nonmonetary assets retain a higher historical basis when the currency is devalued. The higher historical basis results in incremental expense being recognized when the nonmonetary assets are consumed. In 2023, we recognized $86.8 million in pretax charges related to highly inflationary accounting, including currency remeasurement losses of $79.1 million. In 2024, we recognized $35.0 million in pretax charges related to highly inflationary accounting, including currency remeasurement losses of $18.4 million. In 2025, we recognized $10.2 million in pretax charges related to highly inflationary accounting, including currency remeasurement losses of $17.0 million. Highly inflationary adjustments also impact gains and losses on marketable securities due to the change in exchange rates. These non-cash charges are not part of the Company's operations and revenue generating activities. Management has excluded these amounts when evaluating internal performance. As such, they have not been allocated to segment or Corporate results and are excluded from non-GAAP results.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18"/>
        </w:rPr>
        <w:t>Transformation initiatives</w:t>
      </w:r>
      <w:r>
        <w:rPr>
          <w:color w:val="000000"/>
        </w:rPr>
        <w:t xml:space="preserve"> </w:t>
      </w:r>
      <w:r>
        <w:rPr>
          <w:rFonts w:ascii="Times New Roman;serif" w:hAnsi="Times New Roman;serif"/>
          <w:b w:val="false"/>
          <w:color w:val="000000"/>
          <w:sz w:val="18"/>
        </w:rPr>
        <w:t xml:space="preserve">During 2023, we initiated a multi-year program intended to accelerate growth and drive margin expansion through transformation of our business model. The program is designed to help us standardize our commercial and operational systems and processes, drive continuous improvement and achieve operational excellence. Accordingly, we incurred $5.5 million of expense in 2023, $28.4 million of expense in 2024, and an additional $26.0 million in 2025. The transformation costs primarily include third-party professional services, project management charges and severance. Because these expenses are associated with a discrete transformation initiative, they are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1445"/>
                <wp:effectExtent l="0" t="0" r="0" b="0"/>
                <wp:wrapNone/>
                <wp:docPr id="31" name="Frame3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reflective of our ongoing operating cost structure, and are not indicative of our core operating expenses or normal activities. Accordingly, management has excluded these amounts when evaluating internal performance. As such, they have not been allocated to segment or Corporate results and are excluded from non-GAAP results.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18"/>
        </w:rPr>
        <w:t>DOJ/FinCEN investigations</w:t>
      </w:r>
      <w:r>
        <w:rPr>
          <w:color w:val="000000"/>
        </w:rPr>
        <w:t xml:space="preserve"> </w:t>
      </w:r>
      <w:r>
        <w:rPr>
          <w:rFonts w:ascii="Times New Roman;serif" w:hAnsi="Times New Roman;serif"/>
          <w:b w:val="false"/>
          <w:color w:val="000000"/>
          <w:sz w:val="18"/>
        </w:rPr>
        <w:t>During 2025, we accrued $6.5 million in connection with the DOJ and FinCEN investigations, which represents third-party legal costs associated with these matters, including upfront expenses that are directly attributable to establishing compliance programs. In the first quarter of 2025, we reached resolutions with both the DOJ and FinCEN. These costs are not considered part of the Company's operations and revenue generating activities. Additionally, the nature of these amounts and the underlying investigations are such that they are not reasonably likely to recur within two years, nor were there similar charges within the prior two years. Management has excluded these amounts when evaluating internal performance. Therefore, these amounts have not been allocated to segment or Corporate results and are excluded from non-GAAP result.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18"/>
        </w:rPr>
        <w:t>Chile antitrust matter</w:t>
      </w:r>
      <w:r>
        <w:rPr>
          <w:color w:val="000000"/>
        </w:rPr>
        <w:t xml:space="preserve"> </w:t>
      </w:r>
      <w:r>
        <w:rPr>
          <w:rFonts w:ascii="Times New Roman;serif" w:hAnsi="Times New Roman;serif"/>
          <w:b w:val="false"/>
          <w:color w:val="000000"/>
          <w:sz w:val="18"/>
        </w:rPr>
        <w:t>We recognized an estimated loss of $9.5 million in the third quarter of 2021 and recognized additional amounts in subsequent years (which were primarily related to changes in currency rates). Overall, these charges related to a potential fine associated with an investigation by the Chilean Fiscalía Nacional Económica or "FNE" (the Chilean antitrust agency). The investigation is related to potential anti-competitive practices among competitors in the cash logistics industry in Chile. These costs are not considered part of the Company's operations and revenue generating activities. Additionally, the nature of these amounts, including the estimated loss and associated third-party costs, is such that they are not reasonably likely to recur within two years, nor were there similar charges within the prior two years of the underlying event. Management has excluded these amounts when evaluating internal performance. Therefore, these amounts have not been allocated to segment or Corporate results and are excluded from non-GAAP results. See Note 22 for details.</w:t>
      </w:r>
    </w:p>
    <w:p>
      <w:pPr>
        <w:pStyle w:val="TextBody"/>
        <w:bidi w:val="0"/>
        <w:spacing w:before="0" w:after="0"/>
        <w:jc w:val="left"/>
        <w:rPr/>
      </w:pPr>
      <w:r>
        <w:rPr/>
      </w:r>
    </w:p>
    <w:p>
      <w:pPr>
        <w:pStyle w:val="TextBody"/>
        <w:bidi w:val="0"/>
        <w:spacing w:lineRule="auto" w:line="288" w:before="0" w:after="0"/>
        <w:jc w:val="left"/>
        <w:rPr/>
      </w:pPr>
      <w:bookmarkStart w:id="3" w:name="i4f5b1c843fef451d9d0ba303edd73895_36695"/>
      <w:bookmarkEnd w:id="3"/>
      <w:r>
        <w:rPr>
          <w:rFonts w:ascii="Times New Roman;serif" w:hAnsi="Times New Roman;serif"/>
          <w:b/>
          <w:i/>
          <w:color w:val="000000"/>
          <w:sz w:val="18"/>
        </w:rPr>
        <w:t>Non-routine auto loss matter</w:t>
      </w:r>
      <w:r>
        <w:rPr>
          <w:color w:val="000000"/>
        </w:rPr>
        <w:t xml:space="preserve"> </w:t>
      </w:r>
      <w:r>
        <w:rPr>
          <w:rFonts w:ascii="Times New Roman;serif" w:hAnsi="Times New Roman;serif"/>
          <w:b w:val="false"/>
          <w:color w:val="000000"/>
          <w:sz w:val="18"/>
        </w:rPr>
        <w:t>In 2023, a Brink’s employee was involved in a motor vehicle accident with unique circumstances that resulted in the death of a third party and, in connection with the ensuing litigation, Brink’s recognized a $10.0 million charge. Due to the unusual nature of the matter, including the unique circumstances of the claim, potential magnitude of remedy, and variation from our ordinary-course litigation strategy, we consider the litigation as separate and distinct from routine legal matters. Management does not believe that similar litigation will likely recur within the next two years, and there have been no similar matters within the prior two years. Management has excluded these amounts when evaluating internal performance. Therefore, they have not been allocated to segment or Corporate results and are excluded from non-GAAP results.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18"/>
        </w:rPr>
        <w:t>Reporting compliance</w:t>
      </w:r>
      <w:r>
        <w:rPr>
          <w:color w:val="000000"/>
        </w:rPr>
        <w:t xml:space="preserve"> </w:t>
      </w:r>
      <w:r>
        <w:rPr>
          <w:rFonts w:ascii="Times New Roman;serif" w:hAnsi="Times New Roman;serif"/>
          <w:b w:val="false"/>
          <w:color w:val="000000"/>
          <w:sz w:val="18"/>
        </w:rPr>
        <w:t>We incurred certain compliance costs in 2023 to remediate a material weakness in internal controls over financial reporting. These third-party costs are not part of the Company's operations and revenue generating activities. Additionally, the nature of these amounts is such that they are not reasonably likely to recur within two years, nor were similar costs incurred within the prior two years of the underlying event. Management has excluded these amounts when evaluating internal performance. Therefore, they have not been allocated to segment or Corporate results and are excluded from non-GAAP results.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1445"/>
                <wp:effectExtent l="0" t="0" r="0" b="0"/>
                <wp:wrapNone/>
                <wp:docPr id="32" name="Frame3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Other Operating Income and Expense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Amounts below represent consolidated other operating income and expense.</w:t>
      </w:r>
    </w:p>
    <w:tbl>
      <w:tblPr>
        <w:tblW w:w="8465" w:type="dxa"/>
        <w:jc w:val="left"/>
        <w:tblInd w:w="0" w:type="dxa"/>
        <w:tblLayout w:type="fixed"/>
        <w:tblCellMar>
          <w:top w:w="28" w:type="dxa"/>
          <w:left w:w="28" w:type="dxa"/>
          <w:bottom w:w="28" w:type="dxa"/>
          <w:right w:w="28" w:type="dxa"/>
        </w:tblCellMar>
      </w:tblPr>
      <w:tblGrid>
        <w:gridCol w:w="1335"/>
        <w:gridCol w:w="1175"/>
        <w:gridCol w:w="1179"/>
        <w:gridCol w:w="196"/>
        <w:gridCol w:w="481"/>
        <w:gridCol w:w="109"/>
        <w:gridCol w:w="109"/>
        <w:gridCol w:w="109"/>
        <w:gridCol w:w="109"/>
        <w:gridCol w:w="269"/>
        <w:gridCol w:w="271"/>
        <w:gridCol w:w="156"/>
        <w:gridCol w:w="109"/>
        <w:gridCol w:w="109"/>
        <w:gridCol w:w="109"/>
        <w:gridCol w:w="269"/>
        <w:gridCol w:w="271"/>
        <w:gridCol w:w="156"/>
        <w:gridCol w:w="109"/>
        <w:gridCol w:w="109"/>
        <w:gridCol w:w="109"/>
        <w:gridCol w:w="203"/>
        <w:gridCol w:w="203"/>
        <w:gridCol w:w="156"/>
        <w:gridCol w:w="109"/>
        <w:gridCol w:w="109"/>
        <w:gridCol w:w="109"/>
        <w:gridCol w:w="248"/>
        <w:gridCol w:w="248"/>
        <w:gridCol w:w="232"/>
      </w:tblGrid>
      <w:tr>
        <w:trPr/>
        <w:tc>
          <w:tcPr>
            <w:tcW w:w="1335"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8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change</w:t>
            </w:r>
          </w:p>
        </w:tc>
      </w:tr>
      <w:tr>
        <w:trPr/>
        <w:tc>
          <w:tcPr>
            <w:tcW w:w="36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 except for percentages)</w:t>
            </w:r>
          </w:p>
        </w:tc>
        <w:tc>
          <w:tcPr>
            <w:tcW w:w="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r>
      <w:tr>
        <w:trPr/>
        <w:tc>
          <w:tcPr>
            <w:tcW w:w="36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items:</w:t>
            </w:r>
          </w:p>
        </w:tc>
        <w:tc>
          <w:tcPr>
            <w:tcW w:w="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Transaction gains (losses)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fav</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instrument gains (losses)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63</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unfav</w:t>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Royalty income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losses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Indemnification asset adjustments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fav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Contingent consideration liability adjustments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Gains (losses) on sale of property and other assets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unfav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fav</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 in earnings of equity method affiliates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income (expense)</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5.5</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(71)</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fav</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 xml:space="preserve">2025 versus 2024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reported other operating income of $5.5 million in 2025 versus other operating income of $18.7 million in the prior year. The change was primarily due to net losses of $6.2 million from foreign currency items in 2025 as compared to net gains of $5.5 million from foreign currency items in 2024. This change was driven primarily by higher derivative instrument losses in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31445"/>
                <wp:effectExtent l="0" t="0" r="0" b="0"/>
                <wp:wrapNone/>
                <wp:docPr id="33" name="Frame3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Nonoperating Income and Expense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Interest Expense</w:t>
      </w:r>
    </w:p>
    <w:tbl>
      <w:tblPr>
        <w:tblW w:w="7695" w:type="dxa"/>
        <w:jc w:val="left"/>
        <w:tblInd w:w="0" w:type="dxa"/>
        <w:tblLayout w:type="fixed"/>
        <w:tblCellMar>
          <w:top w:w="28" w:type="dxa"/>
          <w:left w:w="28" w:type="dxa"/>
          <w:bottom w:w="28" w:type="dxa"/>
          <w:right w:w="28" w:type="dxa"/>
        </w:tblCellMar>
      </w:tblPr>
      <w:tblGrid>
        <w:gridCol w:w="971"/>
        <w:gridCol w:w="855"/>
        <w:gridCol w:w="858"/>
        <w:gridCol w:w="109"/>
        <w:gridCol w:w="204"/>
        <w:gridCol w:w="597"/>
        <w:gridCol w:w="113"/>
        <w:gridCol w:w="113"/>
        <w:gridCol w:w="113"/>
        <w:gridCol w:w="113"/>
        <w:gridCol w:w="113"/>
        <w:gridCol w:w="278"/>
        <w:gridCol w:w="278"/>
        <w:gridCol w:w="156"/>
        <w:gridCol w:w="113"/>
        <w:gridCol w:w="113"/>
        <w:gridCol w:w="113"/>
        <w:gridCol w:w="109"/>
        <w:gridCol w:w="278"/>
        <w:gridCol w:w="278"/>
        <w:gridCol w:w="156"/>
        <w:gridCol w:w="109"/>
        <w:gridCol w:w="109"/>
        <w:gridCol w:w="109"/>
        <w:gridCol w:w="155"/>
        <w:gridCol w:w="155"/>
        <w:gridCol w:w="156"/>
        <w:gridCol w:w="109"/>
        <w:gridCol w:w="109"/>
        <w:gridCol w:w="109"/>
        <w:gridCol w:w="165"/>
        <w:gridCol w:w="166"/>
        <w:gridCol w:w="213"/>
      </w:tblGrid>
      <w:tr>
        <w:trPr/>
        <w:tc>
          <w:tcPr>
            <w:tcW w:w="97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2417"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Years Ended December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change</w:t>
            </w:r>
          </w:p>
        </w:tc>
        <w:tc>
          <w:tcPr>
            <w:tcW w:w="871" w:type="dxa"/>
            <w:gridSpan w:val="6"/>
            <w:tcBorders/>
          </w:tcPr>
          <w:p>
            <w:pPr>
              <w:pStyle w:val="TableContents"/>
              <w:bidi w:val="0"/>
              <w:spacing w:before="0" w:after="283"/>
              <w:jc w:val="left"/>
              <w:rPr>
                <w:sz w:val="4"/>
                <w:szCs w:val="4"/>
              </w:rPr>
            </w:pPr>
            <w:r>
              <w:rPr>
                <w:sz w:val="4"/>
                <w:szCs w:val="4"/>
              </w:rPr>
            </w:r>
          </w:p>
        </w:tc>
      </w:tr>
      <w:tr>
        <w:trPr/>
        <w:tc>
          <w:tcPr>
            <w:tcW w:w="26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 except for percentages)</w:t>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r>
      <w:tr>
        <w:trPr/>
        <w:tc>
          <w:tcPr>
            <w:tcW w:w="26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9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245.5</w:t>
            </w:r>
            <w:r>
              <w:rPr>
                <w:color w:val="000000"/>
              </w:rPr>
              <w:t> </w:t>
            </w:r>
          </w:p>
        </w:tc>
        <w:tc>
          <w:tcPr>
            <w:tcW w:w="113"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55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235.4 </w:t>
            </w:r>
          </w:p>
        </w:tc>
        <w:tc>
          <w:tcPr>
            <w:tcW w:w="1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203.8 </w:t>
            </w:r>
          </w:p>
        </w:tc>
        <w:tc>
          <w:tcPr>
            <w:tcW w:w="1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w:t>
            </w:r>
            <w:r>
              <w:rPr>
                <w:color w:val="000000"/>
              </w:rPr>
              <w:t> </w:t>
            </w:r>
          </w:p>
        </w:tc>
        <w:tc>
          <w:tcPr>
            <w:tcW w:w="1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13"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Interest expense was higher in 2025 primarily due to higher interest rates on corporate debt and overall higher borrowing levels. Borrowings were used to fund general corporate initiatives and other working capital needs. See Note 14 for further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Interest and Other Nonoperating Income (Expense)</w:t>
      </w:r>
    </w:p>
    <w:tbl>
      <w:tblPr>
        <w:tblW w:w="8207" w:type="dxa"/>
        <w:jc w:val="left"/>
        <w:tblInd w:w="0" w:type="dxa"/>
        <w:tblLayout w:type="fixed"/>
        <w:tblCellMar>
          <w:top w:w="28" w:type="dxa"/>
          <w:left w:w="28" w:type="dxa"/>
          <w:bottom w:w="28" w:type="dxa"/>
          <w:right w:w="28" w:type="dxa"/>
        </w:tblCellMar>
      </w:tblPr>
      <w:tblGrid>
        <w:gridCol w:w="1308"/>
        <w:gridCol w:w="1152"/>
        <w:gridCol w:w="1155"/>
        <w:gridCol w:w="196"/>
        <w:gridCol w:w="481"/>
        <w:gridCol w:w="109"/>
        <w:gridCol w:w="109"/>
        <w:gridCol w:w="109"/>
        <w:gridCol w:w="109"/>
        <w:gridCol w:w="233"/>
        <w:gridCol w:w="233"/>
        <w:gridCol w:w="156"/>
        <w:gridCol w:w="109"/>
        <w:gridCol w:w="109"/>
        <w:gridCol w:w="109"/>
        <w:gridCol w:w="269"/>
        <w:gridCol w:w="271"/>
        <w:gridCol w:w="156"/>
        <w:gridCol w:w="109"/>
        <w:gridCol w:w="109"/>
        <w:gridCol w:w="109"/>
        <w:gridCol w:w="203"/>
        <w:gridCol w:w="203"/>
        <w:gridCol w:w="156"/>
        <w:gridCol w:w="109"/>
        <w:gridCol w:w="109"/>
        <w:gridCol w:w="109"/>
        <w:gridCol w:w="201"/>
        <w:gridCol w:w="204"/>
        <w:gridCol w:w="213"/>
      </w:tblGrid>
      <w:tr>
        <w:trPr/>
        <w:tc>
          <w:tcPr>
            <w:tcW w:w="1308"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7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change</w:t>
            </w:r>
          </w:p>
        </w:tc>
      </w:tr>
      <w:tr>
        <w:trPr/>
        <w:tc>
          <w:tcPr>
            <w:tcW w:w="36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 except for percentages)</w:t>
            </w:r>
          </w:p>
        </w:tc>
        <w:tc>
          <w:tcPr>
            <w:tcW w:w="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r>
      <w:tr>
        <w:trPr/>
        <w:tc>
          <w:tcPr>
            <w:tcW w:w="36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(44)</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equity and debt securities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unfav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fav</w:t>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transaction gains (losses)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unfav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fav</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Retirement benefit cost other than service cost </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unfav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Argentina turnover tax</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Non-income taxes on intercompany billings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unfav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and other nonoperating income (expense)</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13.9</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48.7 </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(71)</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fav</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Interest and other nonoperating income (expense) decreased in 2025 compared to 2024 primarily due to lower balances invested in money market instruments by certain subsidiaries during 2025, resulting in reduced interest income.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31445"/>
                <wp:effectExtent l="0" t="0" r="0" b="0"/>
                <wp:wrapNone/>
                <wp:docPr id="34" name="Frame3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Income Taxes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Summary Reconciliation of Effective Income Tax Rate to U.S. Federal Tax Rate</w:t>
      </w:r>
    </w:p>
    <w:tbl>
      <w:tblPr>
        <w:tblW w:w="6570" w:type="dxa"/>
        <w:jc w:val="left"/>
        <w:tblInd w:w="0" w:type="dxa"/>
        <w:tblLayout w:type="fixed"/>
        <w:tblCellMar>
          <w:top w:w="28" w:type="dxa"/>
          <w:left w:w="28" w:type="dxa"/>
          <w:bottom w:w="28" w:type="dxa"/>
          <w:right w:w="28" w:type="dxa"/>
        </w:tblCellMar>
      </w:tblPr>
      <w:tblGrid>
        <w:gridCol w:w="1323"/>
        <w:gridCol w:w="1167"/>
        <w:gridCol w:w="1170"/>
        <w:gridCol w:w="240"/>
        <w:gridCol w:w="241"/>
        <w:gridCol w:w="286"/>
        <w:gridCol w:w="109"/>
        <w:gridCol w:w="109"/>
        <w:gridCol w:w="109"/>
        <w:gridCol w:w="233"/>
        <w:gridCol w:w="233"/>
        <w:gridCol w:w="256"/>
        <w:gridCol w:w="109"/>
        <w:gridCol w:w="109"/>
        <w:gridCol w:w="109"/>
        <w:gridCol w:w="233"/>
        <w:gridCol w:w="233"/>
        <w:gridCol w:w="301"/>
      </w:tblGrid>
      <w:tr>
        <w:trPr/>
        <w:tc>
          <w:tcPr>
            <w:tcW w:w="1323"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percentages)</w:t>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2023</w:t>
            </w:r>
          </w:p>
        </w:tc>
      </w:tr>
      <w:tr>
        <w:trPr/>
        <w:tc>
          <w:tcPr>
            <w:tcW w:w="36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c>
          <w:tcPr>
            <w:tcW w:w="7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federal tax rate</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21.0</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Increases (reductions) in taxes due to:</w:t>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rate differential</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4.0</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on cross border income, net of credits</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valuation allowances</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income taxes</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5.7</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French business tax</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0.3</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State income taxes, net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0.6</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costs</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0.1</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Nondeductible fines and penalties</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0.1</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0.7</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Effective income tax rate on continuing operations</w:t>
            </w:r>
          </w:p>
        </w:tc>
        <w:tc>
          <w:tcPr>
            <w:tcW w:w="48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40.5</w:t>
            </w:r>
            <w:r>
              <w:rPr>
                <w:color w:val="000000"/>
              </w:rPr>
              <w:t> </w:t>
            </w:r>
          </w:p>
        </w:tc>
        <w:tc>
          <w:tcPr>
            <w:tcW w:w="28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34.8 </w:t>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59.0 </w:t>
            </w:r>
          </w:p>
        </w:tc>
        <w:tc>
          <w:tcPr>
            <w:tcW w:w="30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Overview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Our effective tax rate has varied in the past three years from the statutory U.S. federal rate due to various factors, including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changes in judgment about the need for valuation allowances,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changes in the geographical mix of earnings,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changes in laws in the U.S., France, Brazil and Argentina,</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timing of benefit recognition for uncertain tax positions,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state income taxes,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tax benefit for distributions of share-based payments.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establish or reverse valuation allowances for deferred tax assets depending on all available information including historical and expected future operating performance of our subsidiaries. Changes in judgment about the future realization of deferred tax assets can result in significant adjustments to the valuation allowances. Based on our historical and future expected taxable earnings, we believe it is more-likely-than-not that we will realize the benefit of the deferred tax assets, net of valuation allowances.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Numerous foreign jurisdictions have enacted or are in the process of enacting legislation to adopt a minimum effective tax rate described in the Global Anti-Base Erosion ("Pillar Two") model rules issued by the Organization for Economic Co-operation and Development. A minimum effective tax rate of 15% would apply to multinational companies with consolidated revenue above €750 million.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Under the Pillar Two rules, a company would be required to determine a combined effective tax rate for all entities located in a jurisdiction. If the jurisdictional effective tax rate determined under the Pillar Two rules is less than 15%, a top-up tax will be due to bring the jurisdictional effective tax rate up to 15%. We are continuing to monitor the pending implementation of Pillar Two by individual countries and the potential effects of Pillar Two on our business. The provisions effective in 2024 and 2025 did not have a material impact on our results of operations, financial position or cash flows, and we do not expect the provisions in 2026 to have a materially adverse impact on our results of operations, financial position or cash flows.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2025 Effective Income Tax Rate Compared to U.S. Statutory Rate</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effective income tax rate on continuing operations in 2025 was greater than the 21% U.S. statutory tax rate primarily due to the geographical mix of earnings, nondeductible expenses in Mexico, taxes on cross border payments, U.S. taxable income and credit limitations, and Argentina nondeductible inflation, net of deductible Argentina inflation adjustments.</w:t>
      </w:r>
    </w:p>
    <w:p>
      <w:pPr>
        <w:pStyle w:val="TextBody"/>
        <w:bidi w:val="0"/>
        <w:spacing w:lineRule="auto" w:line="288" w:before="0" w:after="0"/>
        <w:jc w:val="left"/>
        <w:rPr/>
      </w:pPr>
      <w:r>
        <w:rPr>
          <w:rFonts w:ascii="Times New Roman;serif" w:hAnsi="Times New Roman;serif"/>
          <w:b/>
          <w:i/>
          <w:color w:val="000000"/>
          <w:sz w:val="18"/>
        </w:rPr>
        <w:t>2024 Effective Income Tax Rate Compared to U.S. Statutory Rate</w:t>
      </w:r>
      <w:r>
        <w:rPr>
          <w:color w:val="000000"/>
        </w:rPr>
        <w:t xml:space="preserve">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effective income tax rate on continuing operations in 2024 was greater than the 21% U.S. statutory tax rate primarily due to the geographical mix of earnings, nondeductible expenses in Mexico, taxes on cross border payments, U.S. taxable income and credit limitations, and Argentina nondeductible inflation, net of deductible Argentina inflation adjustments.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31445"/>
                <wp:effectExtent l="0" t="0" r="0" b="0"/>
                <wp:wrapNone/>
                <wp:docPr id="35" name="Frame3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Noncontrolling Interests</w:t>
      </w:r>
    </w:p>
    <w:p>
      <w:pPr>
        <w:pStyle w:val="TextBody"/>
        <w:bidi w:val="0"/>
        <w:spacing w:before="0" w:after="0"/>
        <w:jc w:val="left"/>
        <w:rPr/>
      </w:pPr>
      <w:r>
        <w:rPr/>
      </w:r>
    </w:p>
    <w:tbl>
      <w:tblPr>
        <w:tblW w:w="8089" w:type="dxa"/>
        <w:jc w:val="left"/>
        <w:tblInd w:w="0" w:type="dxa"/>
        <w:tblLayout w:type="fixed"/>
        <w:tblCellMar>
          <w:top w:w="28" w:type="dxa"/>
          <w:left w:w="28" w:type="dxa"/>
          <w:bottom w:w="28" w:type="dxa"/>
          <w:right w:w="28" w:type="dxa"/>
        </w:tblCellMar>
      </w:tblPr>
      <w:tblGrid>
        <w:gridCol w:w="1319"/>
        <w:gridCol w:w="1161"/>
        <w:gridCol w:w="1165"/>
        <w:gridCol w:w="196"/>
        <w:gridCol w:w="481"/>
        <w:gridCol w:w="109"/>
        <w:gridCol w:w="109"/>
        <w:gridCol w:w="109"/>
        <w:gridCol w:w="109"/>
        <w:gridCol w:w="233"/>
        <w:gridCol w:w="233"/>
        <w:gridCol w:w="156"/>
        <w:gridCol w:w="109"/>
        <w:gridCol w:w="109"/>
        <w:gridCol w:w="109"/>
        <w:gridCol w:w="233"/>
        <w:gridCol w:w="233"/>
        <w:gridCol w:w="156"/>
        <w:gridCol w:w="109"/>
        <w:gridCol w:w="109"/>
        <w:gridCol w:w="109"/>
        <w:gridCol w:w="203"/>
        <w:gridCol w:w="203"/>
        <w:gridCol w:w="156"/>
        <w:gridCol w:w="109"/>
        <w:gridCol w:w="109"/>
        <w:gridCol w:w="109"/>
        <w:gridCol w:w="165"/>
        <w:gridCol w:w="166"/>
        <w:gridCol w:w="213"/>
      </w:tblGrid>
      <w:tr>
        <w:trPr/>
        <w:tc>
          <w:tcPr>
            <w:tcW w:w="1319"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change</w:t>
            </w:r>
          </w:p>
        </w:tc>
      </w:tr>
      <w:tr>
        <w:trPr/>
        <w:tc>
          <w:tcPr>
            <w:tcW w:w="36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 except for percentages)</w:t>
            </w:r>
          </w:p>
        </w:tc>
        <w:tc>
          <w:tcPr>
            <w:tcW w:w="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r>
      <w:tr>
        <w:trPr/>
        <w:tc>
          <w:tcPr>
            <w:tcW w:w="36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interests</w:t>
            </w:r>
          </w:p>
        </w:tc>
        <w:tc>
          <w:tcPr>
            <w:tcW w:w="19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10.5</w:t>
            </w: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w:t>
            </w:r>
          </w:p>
        </w:tc>
        <w:tc>
          <w:tcPr>
            <w:tcW w:w="1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13"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decrease in the net income attributable to noncontrolling interests in 2025, in comparison to 2024, is primarily attributable to lower 2025 operating results reported by certain subsidiaries that are not wholly-owned. The increase in the net income attributable to noncontrolling interests in 2024, in comparison to 2023, is primarily attributable to higher 2024 operating results reported by certain subsidiaries that are not wholly-owned.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31445"/>
                <wp:effectExtent l="0" t="0" r="0" b="0"/>
                <wp:wrapNone/>
                <wp:docPr id="36" name="Frame3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2"/>
        </w:rPr>
      </w:pPr>
      <w:bookmarkStart w:id="4" w:name="i117ef89d499440f4ba7485af360ee63f_11514"/>
      <w:bookmarkEnd w:id="4"/>
      <w:r>
        <w:rPr>
          <w:rFonts w:ascii="Times New Roman;serif" w:hAnsi="Times New Roman;serif"/>
          <w:b/>
          <w:color w:val="000000"/>
          <w:sz w:val="22"/>
        </w:rPr>
        <w:t>Non-GAAP Measures and Reconciliations to GAAP Measures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Non-GAAP measures described below and included in this filing are financial measures that are not required by or presented in accordance with GAAP. The purpose of the disclosure of these non-GAAP measures is to report financial information from the primary operations of our business by excluding the effects of certain income and expenses that do not reflect the ordinary earnings of our operations.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These non-GAAP financial measures are intended to provide investors with a supplemental comparison of our operating results and trends for the periods presented. Our management believes these measures are also useful to investors as such measures allow investors to evaluate our performance using the same metrics that our management uses to evaluate past performance and prospects for future performance. The reconciliations in the tables below include adjustments that we do not consider reflective of our operating performance as they result from events and circumstances that are not a part of our core business. Additionally, certain non-GAAP results, including non-GAAP operating profit and free cash flow before dividends, are utilized as performance measures in certain management incentive compensation plans.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Non-GAAP results should not be considered as an alternative to results determined in accordance with GAAP and should be read in conjunction with their GAAP counterparts. Non-GAAP financial measures may not be comparable to non-GAAP financial measures presented by other companies.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The items excluded from non-GAAP measures are considered by us to be nonrecurring, infrequent or unusual costs and gains as well as other items not considered part of our operations and revenue generating activities. Non-recurring and infrequent items are items that are not reasonably expected to recur in the following two years.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 addition to the rationale described above, we believe the following non-GAAP metrics are helpful to investors in assessing results of operations consistent with how our management evaluates performance:</w: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18"/>
        </w:rPr>
        <w:t>Non-GAAP operating profit and Non-GAAP operating profit margin</w:t>
      </w:r>
      <w:r>
        <w:rPr>
          <w:rFonts w:ascii="Times New Roman;serif" w:hAnsi="Times New Roman;serif"/>
          <w:b w:val="false"/>
          <w:color w:val="000000"/>
          <w:sz w:val="18"/>
        </w:rPr>
        <w:t xml:space="preserve">: Non-GAAP operating profit equals GAAP operating profit excluding Other Items not Allocated to Segments. Non-GAAP operating margin equals non-GAAP operating profit divided by revenues. </w: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18"/>
        </w:rPr>
        <w:t>Non-GAAP income from continuing operations attributable to Brink's</w:t>
      </w:r>
      <w:r>
        <w:rPr>
          <w:rFonts w:ascii="Times New Roman;serif" w:hAnsi="Times New Roman;serif"/>
          <w:b w:val="false"/>
          <w:color w:val="000000"/>
          <w:sz w:val="18"/>
        </w:rPr>
        <w:t>: This measure equals GAAP income from continuing operations attributable to Brink's excluding Other Items not Allocated to Segments as well as certain retirement plan expenses/gains, taxes on return of capital, impairment of certain debt securities, and unusual adjustments to deferred tax asset valuation allowances.</w: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18"/>
        </w:rPr>
        <w:t>Earnings Before Interest Expense, Income Taxes, Depreciation and Amortization ("EBITDA") and Adjusted EBITDA:</w:t>
      </w:r>
      <w:r>
        <w:rPr>
          <w:color w:val="000000"/>
        </w:rPr>
        <w:t xml:space="preserve"> </w:t>
      </w:r>
      <w:r>
        <w:rPr>
          <w:rFonts w:ascii="Times New Roman;serif" w:hAnsi="Times New Roman;serif"/>
          <w:b w:val="false"/>
          <w:color w:val="000000"/>
          <w:sz w:val="18"/>
        </w:rPr>
        <w:t xml:space="preserve">EBITDA is calculated by starting with net income attributable to Brink's and adding back the amounts for interest expense, income taxes, depreciation and amortization. Adjusted EBITDA equals EBITDA excluding the applicable impacts of Other Items not Allocated to Segments as well as certain retirement plan expenses/gains, taxes on return of capital, impairment of certain debt securities, unusual adjustments to deferred tax asset valuation allowances, income tax rate adjustments, share-based compensation and marketable securities (gain) loss. </w: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18"/>
        </w:rPr>
        <w:t>Non-GAAP diluted earnings per share ("EPS") from continuing operations attributable to Brink's common shareholders</w:t>
      </w:r>
      <w:r>
        <w:rPr>
          <w:rFonts w:ascii="Times New Roman;serif" w:hAnsi="Times New Roman;serif"/>
          <w:b w:val="false"/>
          <w:color w:val="000000"/>
          <w:sz w:val="18"/>
        </w:rPr>
        <w:t>: This measure equals non-GAAP income from continuing operations attributable to Brink's divided by diluted shares.</w: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18"/>
        </w:rPr>
        <w:t>Organic change and organic growth</w:t>
      </w:r>
      <w:r>
        <w:rPr>
          <w:rFonts w:ascii="Times New Roman;serif" w:hAnsi="Times New Roman;serif"/>
          <w:b w:val="false"/>
          <w:color w:val="000000"/>
          <w:sz w:val="18"/>
          <w:shd w:fill="FFFFFF" w:val="clear"/>
        </w:rPr>
        <w:t xml:space="preserve">: </w:t>
      </w:r>
      <w:r>
        <w:rPr>
          <w:rFonts w:ascii="Times New Roman;serif" w:hAnsi="Times New Roman;serif"/>
          <w:b w:val="false"/>
          <w:color w:val="000000"/>
          <w:sz w:val="18"/>
        </w:rPr>
        <w:t xml:space="preserve">Organic change represents the change in revenues or operating profit between the current and prior period excluding the effect of acquisitions and dispositions for one year after the transaction and changes in currency exchange rates. Organic growth is the percentage change of organic growth versus the prior year amount. </w: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18"/>
        </w:rPr>
        <w:t>Impact of Acquisitions/Dispositions:</w:t>
      </w:r>
      <w:r>
        <w:rPr>
          <w:color w:val="000000"/>
        </w:rPr>
        <w:t xml:space="preserve"> </w:t>
      </w:r>
      <w:r>
        <w:rPr>
          <w:rFonts w:ascii="Times New Roman;serif" w:hAnsi="Times New Roman;serif"/>
          <w:b w:val="false"/>
          <w:color w:val="000000"/>
          <w:sz w:val="18"/>
        </w:rPr>
        <w:t xml:space="preserve">This measure represents the impact of acquisitions or dispositions without a full year of reported results in either comparable period. </w: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18"/>
        </w:rPr>
        <w:t>Currency Effect:</w:t>
      </w:r>
      <w:r>
        <w:rPr>
          <w:color w:val="000000"/>
        </w:rPr>
        <w:t xml:space="preserve"> </w:t>
      </w:r>
      <w:r>
        <w:rPr>
          <w:rFonts w:ascii="Times New Roman;serif" w:hAnsi="Times New Roman;serif"/>
          <w:b w:val="false"/>
          <w:color w:val="000000"/>
          <w:sz w:val="18"/>
        </w:rPr>
        <w:t>This measure consists of the effects of Argentina devaluations under highly inflationary accounting and the sum of monthly currency changes. Monthly currency changes represent the accumulation throughout the year of the impact on current period results of changes in foreign currency rates from the prior year period.</w: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18"/>
        </w:rPr>
        <w:t>Non-GAAP pre-tax income, Non-GAAP income tax and Non-GAAP effective income tax rate</w:t>
      </w:r>
      <w:r>
        <w:rPr>
          <w:rFonts w:ascii="Times New Roman;serif" w:hAnsi="Times New Roman;serif"/>
          <w:b w:val="false"/>
          <w:color w:val="000000"/>
          <w:sz w:val="18"/>
        </w:rPr>
        <w:t>: Non-GAAP pre-tax income and non-GAAP income tax equal their GAAP counterparts excluding the applicable impacts of Other Items not Allocated to Segments as well as certain retirement plan expenses/gains, taxes on return of capital, impairment of certain debt securities, and unusual adjustments to deferred tax asset valuation allowances. Non-GAAP effective income tax rate equals non-GAAP income tax divided by non-GAAP pre-tax income.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 addition to the rationale described above, we believe the following non-GAAP metrics are helpful in assessing cash flow and financial leverage consistent with how our management evaluates performance:</w: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18"/>
        </w:rPr>
        <w:t>Free Cash Flow before Dividends:</w:t>
      </w:r>
      <w:r>
        <w:rPr>
          <w:color w:val="000000"/>
        </w:rPr>
        <w:t xml:space="preserve"> </w:t>
      </w:r>
      <w:r>
        <w:rPr>
          <w:rFonts w:ascii="Times New Roman;serif" w:hAnsi="Times New Roman;serif"/>
          <w:b w:val="false"/>
          <w:color w:val="000000"/>
          <w:sz w:val="18"/>
        </w:rPr>
        <w:t>This non-GAAP measure reflects management’s calculation of cash flows that are available for capital or investing activities such as paying dividends, share repurchases, debt, acquisitions and other investments. The measure is calculated as net cash flows from operating activities, adjusted to exclude certain operating activities related to cash that is not available for corporate purposes, including the impact of cash flows from restricted cash held for customers, as well as cash received and processed in certain of our secure cash management services operations. The resulting amount is further adjusted to include the impact of cash flows related to equipment used to operate our business, including capital expenditures, cash proceeds from sale of property and equipment, as well as proceeds from lessor debt financing.</w:t>
      </w:r>
    </w:p>
    <w:p>
      <w:pPr>
        <w:pStyle w:val="TextBody"/>
        <w:bidi w:val="0"/>
        <w:spacing w:lineRule="auto" w:line="288" w:before="0" w:after="0"/>
        <w:ind w:left="0" w:right="0" w:hanging="360"/>
        <w:jc w:val="left"/>
        <w:rPr/>
      </w:pPr>
      <w:bookmarkStart w:id="5" w:name="i117ef89d499440f4ba7485af360ee63f_11487"/>
      <w:bookmarkEnd w:id="5"/>
      <w:r>
        <w:rPr>
          <w:color w:val="000000"/>
        </w:rPr>
        <w:t>•</w:t>
      </w:r>
      <w:r>
        <w:rPr>
          <w:rFonts w:ascii="Times New Roman;serif" w:hAnsi="Times New Roman;serif"/>
          <w:b/>
          <w:color w:val="000000"/>
          <w:sz w:val="18"/>
        </w:rPr>
        <w:t>Net Debt</w:t>
      </w:r>
      <w:r>
        <w:rPr>
          <w:rFonts w:ascii="Times New Roman;serif" w:hAnsi="Times New Roman;serif"/>
          <w:b w:val="false"/>
          <w:color w:val="000000"/>
          <w:sz w:val="18"/>
        </w:rPr>
        <w:t xml:space="preserve">: Net Debt equals total debt less cash and cash equivalents available for general corporate purposes. We exclude from cash and cash equivalents amounts held by our cash management services operations, as such amounts are not considered available for general corporate purposes. See page </w:t>
      </w:r>
      <w:hyperlink w:anchor="i275bec4631da4b22a64426a3a4f02a78_118">
        <w:r>
          <w:rPr>
            <w:rStyle w:val="InternetLink"/>
            <w:rFonts w:ascii="Times New Roman;serif" w:hAnsi="Times New Roman;serif"/>
            <w:b w:val="false"/>
            <w:strike w:val="false"/>
            <w:dstrike w:val="false"/>
            <w:color w:val="000000"/>
            <w:sz w:val="18"/>
            <w:u w:val="none"/>
            <w:effect w:val="none"/>
          </w:rPr>
          <w:t>44</w:t>
        </w:r>
      </w:hyperlink>
      <w:r>
        <w:rPr>
          <w:rFonts w:ascii="Times New Roman;serif" w:hAnsi="Times New Roman;serif"/>
          <w:b w:val="false"/>
          <w:color w:val="000000"/>
          <w:sz w:val="18"/>
        </w:rPr>
        <w:t xml:space="preserve"> for more details.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31445"/>
                <wp:effectExtent l="0" t="0" r="0" b="0"/>
                <wp:wrapNone/>
                <wp:docPr id="37" name="Frame3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bookmarkStart w:id="6" w:name="i117ef89d499440f4ba7485af360ee63f_11511"/>
      <w:bookmarkEnd w:id="6"/>
      <w:r>
        <w:rPr>
          <w:rFonts w:ascii="Times New Roman;serif" w:hAnsi="Times New Roman;serif"/>
          <w:b/>
          <w:color w:val="000000"/>
          <w:sz w:val="18"/>
        </w:rPr>
        <w:t xml:space="preserve">Reconciliations of Non-GAAP to GAAP Measures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 xml:space="preserve">Non-GAAP measures are reconciled to comparable GAAP measures either in the tables below or in “Liquidity and Capital Resources” section. Amounts reported for prior periods have been updated in this report to present information consistently for all periods presented. Most of the reconciling adjustments are described in Other Items Not Allocated to Segments above on pages </w:t>
      </w:r>
      <w:hyperlink w:anchor="i275bec4631da4b22a64426a3a4f02a78_79">
        <w:r>
          <w:rPr>
            <w:rStyle w:val="InternetLink"/>
            <w:rFonts w:ascii="Times New Roman;serif" w:hAnsi="Times New Roman;serif"/>
            <w:b w:val="false"/>
            <w:strike w:val="false"/>
            <w:dstrike w:val="false"/>
            <w:color w:val="000000"/>
            <w:sz w:val="18"/>
            <w:u w:val="none"/>
            <w:effect w:val="none"/>
          </w:rPr>
          <w:t>27</w:t>
        </w:r>
      </w:hyperlink>
      <w:r>
        <w:rPr>
          <w:rFonts w:ascii="Times New Roman;serif" w:hAnsi="Times New Roman;serif"/>
          <w:b w:val="false"/>
          <w:color w:val="000000"/>
          <w:sz w:val="18"/>
        </w:rPr>
        <w:t>–</w:t>
      </w:r>
      <w:hyperlink w:anchor="i4f5b1c843fef451d9d0ba303edd73895_36695">
        <w:r>
          <w:rPr>
            <w:rStyle w:val="InternetLink"/>
            <w:rFonts w:ascii="Times New Roman;serif" w:hAnsi="Times New Roman;serif"/>
            <w:b w:val="false"/>
            <w:strike w:val="false"/>
            <w:dstrike w:val="false"/>
            <w:color w:val="000000"/>
            <w:sz w:val="18"/>
            <w:u w:val="none"/>
            <w:effect w:val="none"/>
          </w:rPr>
          <w:t>29</w:t>
        </w:r>
      </w:hyperlink>
      <w:r>
        <w:rPr>
          <w:rFonts w:ascii="Times New Roman;serif" w:hAnsi="Times New Roman;serif"/>
          <w:b w:val="false"/>
          <w:color w:val="000000"/>
          <w:sz w:val="18"/>
        </w:rPr>
        <w:t>. Additional reconciling items include the following:</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18"/>
        </w:rPr>
        <w:t xml:space="preserve">Retirement plans </w:t>
      </w:r>
      <w:r>
        <w:rPr>
          <w:rFonts w:ascii="Times New Roman;serif" w:hAnsi="Times New Roman;serif"/>
          <w:b w:val="false"/>
          <w:color w:val="000000"/>
          <w:sz w:val="18"/>
        </w:rPr>
        <w:t xml:space="preserve">We incur costs, such as interest expense and amortization of actuarial gains and losses, associated with certain retirement plans that have been frozen to new entrants. Furthermore, we also incur non-cash settlement charges and curtailment gains related to all of our retirement plans. These costs and gains are not considered to be part of the Company's operations and revenue generating activities. Management has excluded these amounts when evaluating internal performance. Therefore, they are excluded from non-GAAP results.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18"/>
        </w:rPr>
        <w:t xml:space="preserve">Valuation allowance on tax credits </w:t>
      </w:r>
      <w:r>
        <w:rPr>
          <w:rFonts w:ascii="Times New Roman;serif" w:hAnsi="Times New Roman;serif"/>
          <w:b w:val="false"/>
          <w:color w:val="000000"/>
          <w:sz w:val="18"/>
        </w:rPr>
        <w:t xml:space="preserve">As a result of new foreign tax credit regulations, we released a valuation allowance on deferred tax assets and recorded a significant income tax credit in 2022. We then re-established some of the valuation allowance in 2023 primarily related to adjustments to the previous foreign tax credit changes, resulting in a significant incremental income tax expense. In 2024, we released an incremental valuation allowance on deferred tax assets that was otherwise expected to expire and recorded a tax credit. The gains and charges related to major tax law changes that impacted U.S. foreign tax credits. These gains and charges are not considered to be part of the Company's operations and revenue generating activities. Management has excluded these amounts when evaluating internal performance. Therefore, they are excluded from non-GAAP results.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i/>
          <w:color w:val="000000"/>
          <w:sz w:val="18"/>
        </w:rPr>
        <w:t>Tax on return of capital</w:t>
      </w:r>
      <w:r>
        <w:rPr>
          <w:color w:val="000000"/>
        </w:rPr>
        <w:t xml:space="preserve"> </w:t>
      </w:r>
      <w:r>
        <w:rPr>
          <w:rFonts w:ascii="Times New Roman;serif" w:hAnsi="Times New Roman;serif"/>
          <w:b w:val="false"/>
          <w:color w:val="000000"/>
          <w:sz w:val="18"/>
        </w:rPr>
        <w:t>As a result of lifted foreign exchange controls and the official and unofficial foreign exchange rates convergence in Argentina, we were able to make an unusual and infrequent return of capital. Due to Argentinian tax law, a withholding tax was imposed on the return of capital. This withholding tax is not considered to be part of the Company’s operations and revenue generating activities. Management has excluded this amount when evaluating internal performance. Therefore, it is excluded from non-GAAP results.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18"/>
        </w:rPr>
        <w:t xml:space="preserve">Change in restricted cash held for customers </w:t>
      </w:r>
      <w:r>
        <w:rPr>
          <w:rFonts w:ascii="Times New Roman;serif" w:hAnsi="Times New Roman;serif"/>
          <w:b w:val="false"/>
          <w:color w:val="000000"/>
          <w:sz w:val="18"/>
        </w:rPr>
        <w:t>Restricted cash held for customers is not available for general corporate purposes such as payroll, vendor invoice payments, debt repayment, or capital expenditures. Because the cash is not available to support the Company's operations and revenue generating activities, management excludes the changes in the restricted cash held for customers balance when assessing cash flows from operations. We believe that the exclusion of the change in restricted cash held for customers from our non-GAAP operating cash flows measure is helpful to users of the financial statements as it presents this financial measure consistent with how management assesses this liquidity measure.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18"/>
        </w:rPr>
        <w:t xml:space="preserve">Change in certain customer obligations </w:t>
      </w:r>
      <w:r>
        <w:rPr>
          <w:rFonts w:ascii="Times New Roman;serif" w:hAnsi="Times New Roman;serif"/>
          <w:b w:val="false"/>
          <w:color w:val="000000"/>
          <w:sz w:val="18"/>
        </w:rPr>
        <w:t>The title to cash received and processed in certain of our secure cash management services operations transfers to us for a short period of time. The cash is generally credited to customers’ accounts the following day and is thus not available for general corporate purposes. Because the cash is not available to support our operations and revenue generating activities, management excludes the changes in this specific cash balance when assessing cash flows from operations. We believe that the exclusion of the change in this cash balance from our non-GAAP operating cash flows measure is helpful to the users of our financial statements as it presents this financial measure consistent with how our management assesses this liquidity measure.</w:t>
      </w:r>
    </w:p>
    <w:p>
      <w:pPr>
        <w:pStyle w:val="TextBody"/>
        <w:bidi w:val="0"/>
        <w:spacing w:before="0" w:after="0"/>
        <w:jc w:val="left"/>
        <w:rPr/>
      </w:pPr>
      <w:r>
        <w:rPr/>
      </w:r>
    </w:p>
    <w:p>
      <w:pPr>
        <w:pStyle w:val="TextBody"/>
        <w:bidi w:val="0"/>
        <w:spacing w:lineRule="auto" w:line="288" w:before="0" w:after="0"/>
        <w:jc w:val="left"/>
        <w:rPr/>
      </w:pPr>
      <w:bookmarkStart w:id="7" w:name="i117ef89d499440f4ba7485af360ee63f_11500"/>
      <w:bookmarkEnd w:id="7"/>
      <w:r>
        <w:rPr>
          <w:rFonts w:ascii="Times New Roman;serif" w:hAnsi="Times New Roman;serif"/>
          <w:b/>
          <w:i/>
          <w:color w:val="000000"/>
          <w:sz w:val="18"/>
        </w:rPr>
        <w:t xml:space="preserve">Amounts held by cash management services operations </w:t>
      </w:r>
      <w:r>
        <w:rPr>
          <w:rFonts w:ascii="Times New Roman;serif" w:hAnsi="Times New Roman;serif"/>
          <w:b w:val="false"/>
          <w:color w:val="000000"/>
          <w:sz w:val="18"/>
        </w:rPr>
        <w:t>As described above, cash held in certain of our secure cash management services operations is not available to support our operations and revenue generating activities. Therefore, management excludes this specific cash balance when assessing our liquidity and capital resources, and in our computation of Net Debt. We believe that the exclusion of this cash balance from our non-GAAP Net Debt measure is helpful to the users of our financial statements as it presents this financial measure consistent with how our management assesses this liquidity measure.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31445"/>
                <wp:effectExtent l="0" t="0" r="0" b="0"/>
                <wp:wrapNone/>
                <wp:docPr id="38" name="Frame3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bookmarkStart w:id="8" w:name="i117ef89d499440f4ba7485af360ee63f_11513"/>
      <w:bookmarkEnd w:id="8"/>
      <w:r>
        <w:rPr>
          <w:rFonts w:ascii="Times New Roman;serif" w:hAnsi="Times New Roman;serif"/>
          <w:b/>
          <w:i/>
          <w:color w:val="000000"/>
          <w:sz w:val="22"/>
        </w:rPr>
        <w:t>Non-GAAP Reconciled to GAAP</w:t>
      </w:r>
    </w:p>
    <w:p>
      <w:pPr>
        <w:pStyle w:val="TextBody"/>
        <w:bidi w:val="0"/>
        <w:spacing w:before="0" w:after="0"/>
        <w:jc w:val="left"/>
        <w:rPr/>
      </w:pPr>
      <w:r>
        <w:rPr/>
      </w:r>
    </w:p>
    <w:tbl>
      <w:tblPr>
        <w:tblW w:w="11341" w:type="dxa"/>
        <w:jc w:val="left"/>
        <w:tblInd w:w="0" w:type="dxa"/>
        <w:tblLayout w:type="fixed"/>
        <w:tblCellMar>
          <w:top w:w="28" w:type="dxa"/>
          <w:left w:w="28" w:type="dxa"/>
          <w:bottom w:w="28" w:type="dxa"/>
          <w:right w:w="28" w:type="dxa"/>
        </w:tblCellMar>
      </w:tblPr>
      <w:tblGrid>
        <w:gridCol w:w="597"/>
        <w:gridCol w:w="301"/>
        <w:gridCol w:w="303"/>
        <w:gridCol w:w="196"/>
        <w:gridCol w:w="556"/>
        <w:gridCol w:w="109"/>
        <w:gridCol w:w="109"/>
        <w:gridCol w:w="109"/>
        <w:gridCol w:w="109"/>
        <w:gridCol w:w="304"/>
        <w:gridCol w:w="252"/>
        <w:gridCol w:w="211"/>
        <w:gridCol w:w="109"/>
        <w:gridCol w:w="109"/>
        <w:gridCol w:w="109"/>
        <w:gridCol w:w="288"/>
        <w:gridCol w:w="178"/>
        <w:gridCol w:w="395"/>
        <w:gridCol w:w="109"/>
        <w:gridCol w:w="109"/>
        <w:gridCol w:w="109"/>
        <w:gridCol w:w="196"/>
        <w:gridCol w:w="556"/>
        <w:gridCol w:w="109"/>
        <w:gridCol w:w="109"/>
        <w:gridCol w:w="109"/>
        <w:gridCol w:w="109"/>
        <w:gridCol w:w="304"/>
        <w:gridCol w:w="252"/>
        <w:gridCol w:w="211"/>
        <w:gridCol w:w="109"/>
        <w:gridCol w:w="109"/>
        <w:gridCol w:w="109"/>
        <w:gridCol w:w="288"/>
        <w:gridCol w:w="178"/>
        <w:gridCol w:w="395"/>
        <w:gridCol w:w="109"/>
        <w:gridCol w:w="109"/>
        <w:gridCol w:w="109"/>
        <w:gridCol w:w="196"/>
        <w:gridCol w:w="556"/>
        <w:gridCol w:w="109"/>
        <w:gridCol w:w="109"/>
        <w:gridCol w:w="109"/>
        <w:gridCol w:w="109"/>
        <w:gridCol w:w="304"/>
        <w:gridCol w:w="252"/>
        <w:gridCol w:w="211"/>
        <w:gridCol w:w="109"/>
        <w:gridCol w:w="109"/>
        <w:gridCol w:w="109"/>
        <w:gridCol w:w="294"/>
        <w:gridCol w:w="172"/>
        <w:gridCol w:w="452"/>
      </w:tblGrid>
      <w:tr>
        <w:trPr/>
        <w:tc>
          <w:tcPr>
            <w:tcW w:w="59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1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0"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 except for percentages)</w:t>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Pre-tax income</w:t>
            </w:r>
            <w:r>
              <w:rPr>
                <w:rFonts w:ascii="Times New Roman;serif" w:hAnsi="Times New Roman;serif"/>
                <w:b/>
                <w:color w:val="000000"/>
                <w:sz w:val="10"/>
              </w:rPr>
              <w:t>(a)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Income tax</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Effective income tax rate</w:t>
            </w:r>
            <w:r>
              <w:rPr>
                <w:rFonts w:ascii="Times New Roman;serif" w:hAnsi="Times New Roman;serif"/>
                <w:b/>
                <w:color w:val="000000"/>
                <w:sz w:val="10"/>
              </w:rPr>
              <w:t>(a)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Pre-tax income</w:t>
            </w:r>
            <w:r>
              <w:rPr>
                <w:rFonts w:ascii="Times New Roman;serif" w:hAnsi="Times New Roman;serif"/>
                <w:b/>
                <w:color w:val="000000"/>
                <w:sz w:val="10"/>
              </w:rPr>
              <w:t>(a)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Income tax</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Effective income tax rate</w:t>
            </w:r>
            <w:r>
              <w:rPr>
                <w:rFonts w:ascii="Times New Roman;serif" w:hAnsi="Times New Roman;serif"/>
                <w:b/>
                <w:color w:val="000000"/>
                <w:sz w:val="10"/>
              </w:rPr>
              <w:t>(a)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Pre-tax income</w:t>
            </w:r>
            <w:r>
              <w:rPr>
                <w:rFonts w:ascii="Times New Roman;serif" w:hAnsi="Times New Roman;serif"/>
                <w:b/>
                <w:color w:val="000000"/>
                <w:sz w:val="10"/>
              </w:rPr>
              <w:t>(a)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Income tax</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Effective income tax rate</w:t>
            </w:r>
            <w:r>
              <w:rPr>
                <w:rFonts w:ascii="Times New Roman;serif" w:hAnsi="Times New Roman;serif"/>
                <w:b/>
                <w:color w:val="000000"/>
                <w:sz w:val="10"/>
              </w:rPr>
              <w:t>(a)</w:t>
            </w:r>
          </w:p>
        </w:tc>
      </w:tr>
      <w:tr>
        <w:trPr/>
        <w:tc>
          <w:tcPr>
            <w:tcW w:w="12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GAAP</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40.5 </w:t>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34.8 </w:t>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59.0 </w:t>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Reorganization and restructuring</w:t>
            </w:r>
            <w:r>
              <w:rPr>
                <w:rFonts w:ascii="Times New Roman;serif" w:hAnsi="Times New Roman;serif"/>
                <w:b w:val="false"/>
                <w:color w:val="000000"/>
                <w:sz w:val="10"/>
              </w:rPr>
              <w:t>(c)</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Acquisitions and dispositions</w:t>
            </w:r>
            <w:r>
              <w:rPr>
                <w:rFonts w:ascii="Times New Roman;serif" w:hAnsi="Times New Roman;serif"/>
                <w:b w:val="false"/>
                <w:color w:val="000000"/>
                <w:sz w:val="10"/>
              </w:rPr>
              <w:t>(c)</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Argentina highly inflationary impact</w:t>
            </w:r>
            <w:r>
              <w:rPr>
                <w:rFonts w:ascii="Times New Roman;serif" w:hAnsi="Times New Roman;serif"/>
                <w:b w:val="false"/>
                <w:color w:val="000000"/>
                <w:sz w:val="10"/>
              </w:rPr>
              <w:t>(c)</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Transformation initiatives</w:t>
            </w:r>
            <w:r>
              <w:rPr>
                <w:rFonts w:ascii="Times New Roman;serif" w:hAnsi="Times New Roman;serif"/>
                <w:b w:val="false"/>
                <w:color w:val="000000"/>
                <w:sz w:val="10"/>
              </w:rPr>
              <w:t>(c)</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DOJ/FinCEN investigations</w:t>
            </w:r>
            <w:r>
              <w:rPr>
                <w:rFonts w:ascii="Times New Roman;serif" w:hAnsi="Times New Roman;serif"/>
                <w:b w:val="false"/>
                <w:color w:val="000000"/>
                <w:sz w:val="10"/>
              </w:rPr>
              <w:t>(c)</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Chile antitrust matter</w:t>
            </w:r>
            <w:r>
              <w:rPr>
                <w:rFonts w:ascii="Times New Roman;serif" w:hAnsi="Times New Roman;serif"/>
                <w:b w:val="false"/>
                <w:color w:val="000000"/>
                <w:sz w:val="10"/>
              </w:rPr>
              <w:t>(c)</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Non-routine auto loss matter</w:t>
            </w:r>
            <w:r>
              <w:rPr>
                <w:rFonts w:ascii="Times New Roman;serif" w:hAnsi="Times New Roman;serif"/>
                <w:b w:val="false"/>
                <w:color w:val="000000"/>
                <w:sz w:val="10"/>
              </w:rPr>
              <w:t>(c)</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Argentina debt securities impairment</w:t>
            </w:r>
            <w:r>
              <w:rPr>
                <w:rFonts w:ascii="Times New Roman;serif" w:hAnsi="Times New Roman;serif"/>
                <w:b w:val="false"/>
                <w:color w:val="000000"/>
                <w:sz w:val="10"/>
              </w:rPr>
              <w:t>(d)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Reporting compliance</w:t>
            </w:r>
            <w:r>
              <w:rPr>
                <w:rFonts w:ascii="Times New Roman;serif" w:hAnsi="Times New Roman;serif"/>
                <w:b w:val="false"/>
                <w:color w:val="000000"/>
                <w:sz w:val="10"/>
              </w:rPr>
              <w:t>(c)</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Retirement plans</w:t>
            </w:r>
            <w:r>
              <w:rPr>
                <w:rFonts w:ascii="Times New Roman;serif" w:hAnsi="Times New Roman;serif"/>
                <w:b w:val="false"/>
                <w:color w:val="000000"/>
                <w:sz w:val="10"/>
              </w:rPr>
              <w:t>(b)</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Tax on return of capital</w:t>
            </w:r>
            <w:r>
              <w:rPr>
                <w:rFonts w:ascii="Times New Roman;serif" w:hAnsi="Times New Roman;serif"/>
                <w:b w:val="false"/>
                <w:color w:val="000000"/>
                <w:sz w:val="10"/>
              </w:rPr>
              <w:t>(b)</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Valuation allowance on tax credits</w:t>
            </w:r>
            <w:r>
              <w:rPr>
                <w:rFonts w:ascii="Times New Roman;serif" w:hAnsi="Times New Roman;serif"/>
                <w:b w:val="false"/>
                <w:color w:val="000000"/>
                <w:sz w:val="10"/>
              </w:rPr>
              <w:t>(b)</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Non-GAAP</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487.6 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134.1 </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27.5 </w:t>
            </w:r>
          </w:p>
        </w:tc>
        <w:tc>
          <w:tcPr>
            <w:tcW w:w="39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435.2 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101.0 </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23.2 </w:t>
            </w:r>
          </w:p>
        </w:tc>
        <w:tc>
          <w:tcPr>
            <w:tcW w:w="39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473.8 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117.6 </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24.8 </w:t>
            </w:r>
          </w:p>
        </w:tc>
        <w:tc>
          <w:tcPr>
            <w:tcW w:w="45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Amounts may not add due to rounding.</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(a)From continuing operations.</w:t>
      </w:r>
    </w:p>
    <w:p>
      <w:pPr>
        <w:pStyle w:val="TextBody"/>
        <w:bidi w:val="0"/>
        <w:spacing w:lineRule="auto" w:line="288" w:before="0" w:after="0"/>
        <w:ind w:left="0" w:right="0" w:hanging="360"/>
        <w:jc w:val="left"/>
        <w:rPr/>
      </w:pPr>
      <w:r>
        <w:rPr>
          <w:rFonts w:ascii="Times New Roman;serif" w:hAnsi="Times New Roman;serif"/>
          <w:b w:val="false"/>
          <w:color w:val="000000"/>
          <w:sz w:val="14"/>
        </w:rPr>
        <w:t xml:space="preserve">(b)See "Reconciliations of Non-GAAP to GAAP Measures" on page </w:t>
      </w:r>
      <w:hyperlink w:anchor="i117ef89d499440f4ba7485af360ee63f_11511">
        <w:r>
          <w:rPr>
            <w:rStyle w:val="InternetLink"/>
            <w:rFonts w:ascii="Times New Roman;serif" w:hAnsi="Times New Roman;serif"/>
            <w:b w:val="false"/>
            <w:strike w:val="false"/>
            <w:dstrike w:val="false"/>
            <w:color w:val="000000"/>
            <w:sz w:val="14"/>
            <w:u w:val="none"/>
            <w:effect w:val="none"/>
          </w:rPr>
          <w:t>35</w:t>
        </w:r>
      </w:hyperlink>
      <w:r>
        <w:rPr>
          <w:rFonts w:ascii="Times New Roman;serif" w:hAnsi="Times New Roman;serif"/>
          <w:b w:val="false"/>
          <w:color w:val="000000"/>
          <w:sz w:val="14"/>
        </w:rPr>
        <w:t xml:space="preserve"> for details.</w:t>
      </w:r>
    </w:p>
    <w:p>
      <w:pPr>
        <w:pStyle w:val="TextBody"/>
        <w:bidi w:val="0"/>
        <w:spacing w:lineRule="auto" w:line="288" w:before="0" w:after="0"/>
        <w:ind w:left="0" w:right="0" w:hanging="360"/>
        <w:jc w:val="left"/>
        <w:rPr/>
      </w:pPr>
      <w:r>
        <w:rPr>
          <w:rFonts w:ascii="Times New Roman;serif" w:hAnsi="Times New Roman;serif"/>
          <w:b w:val="false"/>
          <w:color w:val="000000"/>
          <w:sz w:val="14"/>
        </w:rPr>
        <w:t xml:space="preserve">(c)See “Other Items Not Allocated To Segments” on pages </w:t>
      </w:r>
      <w:hyperlink w:anchor="i275bec4631da4b22a64426a3a4f02a78_79">
        <w:r>
          <w:rPr>
            <w:rStyle w:val="InternetLink"/>
            <w:rFonts w:ascii="Times New Roman;serif" w:hAnsi="Times New Roman;serif"/>
            <w:b w:val="false"/>
            <w:strike w:val="false"/>
            <w:dstrike w:val="false"/>
            <w:color w:val="000000"/>
            <w:sz w:val="14"/>
            <w:u w:val="none"/>
            <w:effect w:val="none"/>
          </w:rPr>
          <w:t>27</w:t>
        </w:r>
      </w:hyperlink>
      <w:r>
        <w:rPr>
          <w:rFonts w:ascii="Times New Roman;serif" w:hAnsi="Times New Roman;serif"/>
          <w:b w:val="false"/>
          <w:color w:val="000000"/>
          <w:sz w:val="14"/>
        </w:rPr>
        <w:t>-</w:t>
      </w:r>
      <w:hyperlink w:anchor="i4f5b1c843fef451d9d0ba303edd73895_36695">
        <w:r>
          <w:rPr>
            <w:rStyle w:val="InternetLink"/>
            <w:rFonts w:ascii="Times New Roman;serif" w:hAnsi="Times New Roman;serif"/>
            <w:b w:val="false"/>
            <w:strike w:val="false"/>
            <w:dstrike w:val="false"/>
            <w:color w:val="000000"/>
            <w:sz w:val="14"/>
            <w:u w:val="none"/>
            <w:effect w:val="none"/>
          </w:rPr>
          <w:t>29</w:t>
        </w:r>
      </w:hyperlink>
      <w:r>
        <w:rPr>
          <w:rFonts w:ascii="Times New Roman;serif" w:hAnsi="Times New Roman;serif"/>
          <w:b w:val="false"/>
          <w:color w:val="000000"/>
          <w:sz w:val="14"/>
        </w:rPr>
        <w:t xml:space="preserve"> for details.</w:t>
      </w:r>
    </w:p>
    <w:p>
      <w:pPr>
        <w:pStyle w:val="TextBody"/>
        <w:bidi w:val="0"/>
        <w:spacing w:lineRule="auto" w:line="288" w:before="0" w:after="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(d)Related to the impairment of specific debt securities in Argentina in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31445"/>
                <wp:effectExtent l="0" t="0" r="0" b="0"/>
                <wp:wrapNone/>
                <wp:docPr id="39" name="Frame3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36</w:t>
                      </w:r>
                    </w:p>
                  </w:txbxContent>
                </v:textbox>
                <w10:wrap type="none"/>
              </v:rect>
            </w:pict>
          </mc:Fallback>
        </mc:AlternateContent>
      </w:r>
    </w:p>
    <w:p>
      <w:pPr>
        <w:pStyle w:val="TextBody"/>
        <w:bidi w:val="0"/>
        <w:spacing w:before="0" w:after="0"/>
        <w:jc w:val="left"/>
        <w:rPr/>
      </w:pPr>
      <w:r>
        <w:rPr/>
      </w:r>
    </w:p>
    <w:tbl>
      <w:tblPr>
        <w:tblW w:w="7675" w:type="dxa"/>
        <w:jc w:val="left"/>
        <w:tblInd w:w="0" w:type="dxa"/>
        <w:tblLayout w:type="fixed"/>
        <w:tblCellMar>
          <w:top w:w="28" w:type="dxa"/>
          <w:left w:w="28" w:type="dxa"/>
          <w:bottom w:w="28" w:type="dxa"/>
          <w:right w:w="28" w:type="dxa"/>
        </w:tblCellMar>
      </w:tblPr>
      <w:tblGrid>
        <w:gridCol w:w="1686"/>
        <w:gridCol w:w="1483"/>
        <w:gridCol w:w="1495"/>
        <w:gridCol w:w="196"/>
        <w:gridCol w:w="571"/>
        <w:gridCol w:w="109"/>
        <w:gridCol w:w="109"/>
        <w:gridCol w:w="109"/>
        <w:gridCol w:w="109"/>
        <w:gridCol w:w="278"/>
        <w:gridCol w:w="278"/>
        <w:gridCol w:w="156"/>
        <w:gridCol w:w="109"/>
        <w:gridCol w:w="109"/>
        <w:gridCol w:w="109"/>
        <w:gridCol w:w="278"/>
        <w:gridCol w:w="278"/>
        <w:gridCol w:w="213"/>
      </w:tblGrid>
      <w:tr>
        <w:trPr/>
        <w:tc>
          <w:tcPr>
            <w:tcW w:w="1686"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01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Years Ended December 31,</w:t>
            </w:r>
          </w:p>
        </w:tc>
      </w:tr>
      <w:tr>
        <w:trPr/>
        <w:tc>
          <w:tcPr>
            <w:tcW w:w="46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 except for per share amounts)</w:t>
            </w:r>
          </w:p>
        </w:tc>
        <w:tc>
          <w:tcPr>
            <w:tcW w:w="8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2023</w:t>
            </w:r>
          </w:p>
        </w:tc>
      </w:tr>
      <w:tr>
        <w:trPr/>
        <w:tc>
          <w:tcPr>
            <w:tcW w:w="46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profit:</w:t>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585.5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Reorganization and restructuring</w:t>
            </w:r>
            <w:r>
              <w:rPr>
                <w:rFonts w:ascii="Times New Roman;serif" w:hAnsi="Times New Roman;serif"/>
                <w:b w:val="false"/>
                <w:color w:val="000000"/>
                <w:sz w:val="12"/>
              </w:rPr>
              <w:t>(a)</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Acquisitions and dispositions</w:t>
            </w:r>
            <w:r>
              <w:rPr>
                <w:rFonts w:ascii="Times New Roman;serif" w:hAnsi="Times New Roman;serif"/>
                <w:b w:val="false"/>
                <w:color w:val="000000"/>
                <w:sz w:val="12"/>
              </w:rPr>
              <w:t>(a)</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78.5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Argentina highly inflationary impact</w:t>
            </w:r>
            <w:r>
              <w:rPr>
                <w:rFonts w:ascii="Times New Roman;serif" w:hAnsi="Times New Roman;serif"/>
                <w:b w:val="false"/>
                <w:color w:val="000000"/>
                <w:sz w:val="12"/>
              </w:rPr>
              <w:t>(a)</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Transformation initiatives</w:t>
            </w:r>
            <w:r>
              <w:rPr>
                <w:rFonts w:ascii="Times New Roman;serif" w:hAnsi="Times New Roman;serif"/>
                <w:b w:val="false"/>
                <w:color w:val="000000"/>
                <w:sz w:val="12"/>
              </w:rPr>
              <w:t>(a)</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DOJ/FinCEN investigations</w:t>
            </w:r>
            <w:r>
              <w:rPr>
                <w:rFonts w:ascii="Times New Roman;serif" w:hAnsi="Times New Roman;serif"/>
                <w:b w:val="false"/>
                <w:color w:val="000000"/>
                <w:sz w:val="12"/>
              </w:rPr>
              <w:t>(a)</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Chile antitrust matter</w:t>
            </w:r>
            <w:r>
              <w:rPr>
                <w:rFonts w:ascii="Times New Roman;serif" w:hAnsi="Times New Roman;serif"/>
                <w:b w:val="false"/>
                <w:color w:val="000000"/>
                <w:sz w:val="12"/>
              </w:rPr>
              <w:t>(a)</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Non-routine auto loss matter</w:t>
            </w:r>
            <w:r>
              <w:rPr>
                <w:rFonts w:ascii="Times New Roman;serif" w:hAnsi="Times New Roman;serif"/>
                <w:b w:val="false"/>
                <w:color w:val="000000"/>
                <w:sz w:val="12"/>
              </w:rPr>
              <w:t>(a)</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Reporting compliance</w:t>
            </w:r>
            <w:r>
              <w:rPr>
                <w:rFonts w:ascii="Times New Roman;serif" w:hAnsi="Times New Roman;serif"/>
                <w:b w:val="false"/>
                <w:color w:val="000000"/>
                <w:sz w:val="12"/>
              </w:rPr>
              <w:t>(a)</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r>
      <w:tr>
        <w:trPr/>
        <w:tc>
          <w:tcPr>
            <w:tcW w:w="46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709.9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615.0 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Income from continuing operations attributable to Brink's:</w:t>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Reorganization and restructuring</w:t>
            </w:r>
            <w:r>
              <w:rPr>
                <w:rFonts w:ascii="Times New Roman;serif" w:hAnsi="Times New Roman;serif"/>
                <w:b w:val="false"/>
                <w:color w:val="000000"/>
                <w:sz w:val="12"/>
              </w:rPr>
              <w:t>(a)</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Acquisitions and dispositions</w:t>
            </w:r>
            <w:r>
              <w:rPr>
                <w:rFonts w:ascii="Times New Roman;serif" w:hAnsi="Times New Roman;serif"/>
                <w:b w:val="false"/>
                <w:color w:val="000000"/>
                <w:sz w:val="12"/>
              </w:rPr>
              <w:t>(a)</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Argentina highly inflationary impact</w:t>
            </w:r>
            <w:r>
              <w:rPr>
                <w:rFonts w:ascii="Times New Roman;serif" w:hAnsi="Times New Roman;serif"/>
                <w:b w:val="false"/>
                <w:color w:val="000000"/>
                <w:sz w:val="12"/>
              </w:rPr>
              <w:t>(a)</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Transformation initiatives</w:t>
            </w:r>
            <w:r>
              <w:rPr>
                <w:rFonts w:ascii="Times New Roman;serif" w:hAnsi="Times New Roman;serif"/>
                <w:b w:val="false"/>
                <w:color w:val="000000"/>
                <w:sz w:val="12"/>
              </w:rPr>
              <w:t>(a)</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DOJ/FinCEN investigations</w:t>
            </w:r>
            <w:r>
              <w:rPr>
                <w:rFonts w:ascii="Times New Roman;serif" w:hAnsi="Times New Roman;serif"/>
                <w:b w:val="false"/>
                <w:color w:val="000000"/>
                <w:sz w:val="12"/>
              </w:rPr>
              <w:t>(a)</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Chile antitrust matter</w:t>
            </w:r>
            <w:r>
              <w:rPr>
                <w:rFonts w:ascii="Times New Roman;serif" w:hAnsi="Times New Roman;serif"/>
                <w:b w:val="false"/>
                <w:color w:val="000000"/>
                <w:sz w:val="12"/>
              </w:rPr>
              <w:t>(a)</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Non-routine auto loss matter</w:t>
            </w:r>
            <w:r>
              <w:rPr>
                <w:rFonts w:ascii="Times New Roman;serif" w:hAnsi="Times New Roman;serif"/>
                <w:b w:val="false"/>
                <w:color w:val="000000"/>
                <w:sz w:val="12"/>
              </w:rPr>
              <w:t>(a)</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Argentina debt securities impairment</w:t>
            </w:r>
            <w:r>
              <w:rPr>
                <w:rFonts w:ascii="Times New Roman;serif" w:hAnsi="Times New Roman;serif"/>
                <w:b w:val="false"/>
                <w:color w:val="000000"/>
                <w:sz w:val="12"/>
              </w:rPr>
              <w:t>(e)</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Retirement plans</w:t>
            </w:r>
            <w:r>
              <w:rPr>
                <w:rFonts w:ascii="Times New Roman;serif" w:hAnsi="Times New Roman;serif"/>
                <w:b w:val="false"/>
                <w:color w:val="000000"/>
                <w:sz w:val="12"/>
              </w:rPr>
              <w:t>(b)</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Tax on return of capital</w:t>
            </w:r>
            <w:r>
              <w:rPr>
                <w:rFonts w:ascii="Times New Roman;serif" w:hAnsi="Times New Roman;serif"/>
                <w:b w:val="false"/>
                <w:color w:val="000000"/>
                <w:sz w:val="12"/>
              </w:rPr>
              <w:t>(b)</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Valuation allowance on tax credits</w:t>
            </w:r>
            <w:r>
              <w:rPr>
                <w:rFonts w:ascii="Times New Roman;serif" w:hAnsi="Times New Roman;serif"/>
                <w:b w:val="false"/>
                <w:color w:val="000000"/>
                <w:sz w:val="12"/>
              </w:rPr>
              <w:t>(b)</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r>
      <w:tr>
        <w:trPr/>
        <w:tc>
          <w:tcPr>
            <w:tcW w:w="46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342.0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344.6 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EBITDA:</w:t>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attributable to Brink's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199.7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tax provision</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143.3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EBITDA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879.3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706.5 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Reorganization and restructuring</w:t>
            </w:r>
            <w:r>
              <w:rPr>
                <w:rFonts w:ascii="Times New Roman;serif" w:hAnsi="Times New Roman;serif"/>
                <w:b w:val="false"/>
                <w:color w:val="000000"/>
                <w:sz w:val="12"/>
              </w:rPr>
              <w:t>(a)</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Acquisitions and dispositions</w:t>
            </w:r>
            <w:r>
              <w:rPr>
                <w:rFonts w:ascii="Times New Roman;serif" w:hAnsi="Times New Roman;serif"/>
                <w:b w:val="false"/>
                <w:color w:val="000000"/>
                <w:sz w:val="12"/>
              </w:rPr>
              <w:t>(a)</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Argentina highly inflationary impact</w:t>
            </w:r>
            <w:r>
              <w:rPr>
                <w:rFonts w:ascii="Times New Roman;serif" w:hAnsi="Times New Roman;serif"/>
                <w:b w:val="false"/>
                <w:color w:val="000000"/>
                <w:sz w:val="12"/>
              </w:rPr>
              <w:t>(a)</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Transformation initiatives</w:t>
            </w:r>
            <w:r>
              <w:rPr>
                <w:rFonts w:ascii="Times New Roman;serif" w:hAnsi="Times New Roman;serif"/>
                <w:b w:val="false"/>
                <w:color w:val="000000"/>
                <w:sz w:val="12"/>
              </w:rPr>
              <w:t>(a)</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DOJ/FinCEN investigations</w:t>
            </w:r>
            <w:r>
              <w:rPr>
                <w:rFonts w:ascii="Times New Roman;serif" w:hAnsi="Times New Roman;serif"/>
                <w:b w:val="false"/>
                <w:color w:val="000000"/>
                <w:sz w:val="12"/>
              </w:rPr>
              <w:t>(a)</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Chile antitrust matter</w:t>
            </w:r>
            <w:r>
              <w:rPr>
                <w:rFonts w:ascii="Times New Roman;serif" w:hAnsi="Times New Roman;serif"/>
                <w:b w:val="false"/>
                <w:color w:val="000000"/>
                <w:sz w:val="12"/>
              </w:rPr>
              <w:t>(a)</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Non-routine auto loss matter</w:t>
            </w:r>
            <w:r>
              <w:rPr>
                <w:rFonts w:ascii="Times New Roman;serif" w:hAnsi="Times New Roman;serif"/>
                <w:b w:val="false"/>
                <w:color w:val="000000"/>
                <w:sz w:val="12"/>
              </w:rPr>
              <w:t>(a)</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Argentina debt securities impairment</w:t>
            </w:r>
            <w:r>
              <w:rPr>
                <w:rFonts w:ascii="Times New Roman;serif" w:hAnsi="Times New Roman;serif"/>
                <w:b w:val="false"/>
                <w:color w:val="000000"/>
                <w:sz w:val="12"/>
              </w:rPr>
              <w:t>(e)</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Reporting compliance</w:t>
            </w:r>
            <w:r>
              <w:rPr>
                <w:rFonts w:ascii="Times New Roman;serif" w:hAnsi="Times New Roman;serif"/>
                <w:b w:val="false"/>
                <w:color w:val="000000"/>
                <w:sz w:val="12"/>
              </w:rPr>
              <w:t>(a)</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Retirement plans</w:t>
            </w:r>
            <w:r>
              <w:rPr>
                <w:rFonts w:ascii="Times New Roman;serif" w:hAnsi="Times New Roman;serif"/>
                <w:b w:val="false"/>
                <w:color w:val="000000"/>
                <w:sz w:val="12"/>
              </w:rPr>
              <w:t>(b)</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Share-based compensation</w:t>
            </w:r>
            <w:r>
              <w:rPr>
                <w:rFonts w:ascii="Times New Roman;serif" w:hAnsi="Times New Roman;serif"/>
                <w:b w:val="false"/>
                <w:color w:val="000000"/>
                <w:sz w:val="12"/>
              </w:rPr>
              <w:t>(c)</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Marketable securities (gain) loss</w:t>
            </w:r>
            <w:r>
              <w:rPr>
                <w:rFonts w:ascii="Times New Roman;serif" w:hAnsi="Times New Roman;serif"/>
                <w:b w:val="false"/>
                <w:color w:val="000000"/>
                <w:sz w:val="12"/>
              </w:rPr>
              <w:t>(d)</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977.1</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911.9 </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867.2 </w:t>
            </w:r>
          </w:p>
        </w:tc>
        <w:tc>
          <w:tcPr>
            <w:tcW w:w="2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31445"/>
                <wp:effectExtent l="0" t="0" r="0" b="0"/>
                <wp:wrapNone/>
                <wp:docPr id="40" name="Frame3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37</w:t>
                      </w:r>
                    </w:p>
                  </w:txbxContent>
                </v:textbox>
                <w10:wrap type="none"/>
              </v:rect>
            </w:pict>
          </mc:Fallback>
        </mc:AlternateContent>
      </w:r>
    </w:p>
    <w:p>
      <w:pPr>
        <w:pStyle w:val="TextBody"/>
        <w:bidi w:val="0"/>
        <w:spacing w:before="0" w:after="0"/>
        <w:jc w:val="left"/>
        <w:rPr/>
      </w:pPr>
      <w:r>
        <w:rPr/>
      </w:r>
    </w:p>
    <w:tbl>
      <w:tblPr>
        <w:tblW w:w="6068" w:type="dxa"/>
        <w:jc w:val="left"/>
        <w:tblInd w:w="0" w:type="dxa"/>
        <w:tblLayout w:type="fixed"/>
        <w:tblCellMar>
          <w:top w:w="28" w:type="dxa"/>
          <w:left w:w="28" w:type="dxa"/>
          <w:bottom w:w="28" w:type="dxa"/>
          <w:right w:w="28" w:type="dxa"/>
        </w:tblCellMar>
      </w:tblPr>
      <w:tblGrid>
        <w:gridCol w:w="1149"/>
        <w:gridCol w:w="1011"/>
        <w:gridCol w:w="1019"/>
        <w:gridCol w:w="196"/>
        <w:gridCol w:w="481"/>
        <w:gridCol w:w="109"/>
        <w:gridCol w:w="109"/>
        <w:gridCol w:w="109"/>
        <w:gridCol w:w="109"/>
        <w:gridCol w:w="269"/>
        <w:gridCol w:w="271"/>
        <w:gridCol w:w="156"/>
        <w:gridCol w:w="109"/>
        <w:gridCol w:w="109"/>
        <w:gridCol w:w="109"/>
        <w:gridCol w:w="269"/>
        <w:gridCol w:w="271"/>
        <w:gridCol w:w="213"/>
      </w:tblGrid>
      <w:tr>
        <w:trPr/>
        <w:tc>
          <w:tcPr>
            <w:tcW w:w="1149"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88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Years Ended December 31,</w:t>
            </w:r>
          </w:p>
        </w:tc>
      </w:tr>
      <w:tr>
        <w:trPr/>
        <w:tc>
          <w:tcPr>
            <w:tcW w:w="31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 except for per share amounts)</w:t>
            </w:r>
          </w:p>
        </w:tc>
        <w:tc>
          <w:tcPr>
            <w:tcW w:w="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2023</w:t>
            </w:r>
          </w:p>
        </w:tc>
      </w:tr>
      <w:tr>
        <w:trPr/>
        <w:tc>
          <w:tcPr>
            <w:tcW w:w="31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bookmarkStart w:id="9" w:name="ie36f316e16f5457cbfb443b282383c6e_2-0-1-"/>
            <w:bookmarkEnd w:id="9"/>
            <w:r>
              <w:rPr>
                <w:rFonts w:ascii="Times New Roman;serif" w:hAnsi="Times New Roman;serif"/>
                <w:b/>
                <w:color w:val="000000"/>
                <w:sz w:val="18"/>
              </w:rPr>
              <w:t>Diluted EPS:</w:t>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4.70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Reorganization and restructuring</w:t>
            </w:r>
            <w:r>
              <w:rPr>
                <w:rFonts w:ascii="Times New Roman;serif" w:hAnsi="Times New Roman;serif"/>
                <w:b w:val="false"/>
                <w:color w:val="000000"/>
                <w:sz w:val="12"/>
              </w:rPr>
              <w:t>(a)</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Acquisitions and dispositions</w:t>
            </w:r>
            <w:r>
              <w:rPr>
                <w:rFonts w:ascii="Times New Roman;serif" w:hAnsi="Times New Roman;serif"/>
                <w:b w:val="false"/>
                <w:color w:val="000000"/>
                <w:sz w:val="12"/>
              </w:rPr>
              <w:t>(a)</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Argentina highly inflationary impact</w:t>
            </w:r>
            <w:r>
              <w:rPr>
                <w:rFonts w:ascii="Times New Roman;serif" w:hAnsi="Times New Roman;serif"/>
                <w:b w:val="false"/>
                <w:color w:val="000000"/>
                <w:sz w:val="12"/>
              </w:rPr>
              <w:t>(a)</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0.63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Transformation initiatives</w:t>
            </w:r>
            <w:r>
              <w:rPr>
                <w:rFonts w:ascii="Times New Roman;serif" w:hAnsi="Times New Roman;serif"/>
                <w:b w:val="false"/>
                <w:color w:val="000000"/>
                <w:sz w:val="12"/>
              </w:rPr>
              <w:t>(a)</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DOJ/FinCEN investigations</w:t>
            </w:r>
            <w:r>
              <w:rPr>
                <w:rFonts w:ascii="Times New Roman;serif" w:hAnsi="Times New Roman;serif"/>
                <w:b w:val="false"/>
                <w:color w:val="000000"/>
                <w:sz w:val="12"/>
              </w:rPr>
              <w:t>(a)</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Chile antitrust matter</w:t>
            </w:r>
            <w:r>
              <w:rPr>
                <w:rFonts w:ascii="Times New Roman;serif" w:hAnsi="Times New Roman;serif"/>
                <w:b w:val="false"/>
                <w:color w:val="000000"/>
                <w:sz w:val="12"/>
              </w:rPr>
              <w:t>(a)</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Non-routine auto loss matter</w:t>
            </w:r>
            <w:r>
              <w:rPr>
                <w:rFonts w:ascii="Times New Roman;serif" w:hAnsi="Times New Roman;serif"/>
                <w:b w:val="false"/>
                <w:color w:val="000000"/>
                <w:sz w:val="12"/>
              </w:rPr>
              <w:t>(a)</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Argentina debt securities impairment</w:t>
            </w:r>
            <w:r>
              <w:rPr>
                <w:rFonts w:ascii="Times New Roman;serif" w:hAnsi="Times New Roman;serif"/>
                <w:b w:val="false"/>
                <w:color w:val="000000"/>
                <w:sz w:val="12"/>
              </w:rPr>
              <w:t>(e)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Reporting compliance</w:t>
            </w:r>
            <w:r>
              <w:rPr>
                <w:rFonts w:ascii="Times New Roman;serif" w:hAnsi="Times New Roman;serif"/>
                <w:b w:val="false"/>
                <w:color w:val="000000"/>
                <w:sz w:val="12"/>
              </w:rPr>
              <w:t>(a)</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Retirement plans</w:t>
            </w:r>
            <w:r>
              <w:rPr>
                <w:rFonts w:ascii="Times New Roman;serif" w:hAnsi="Times New Roman;serif"/>
                <w:b w:val="false"/>
                <w:color w:val="000000"/>
                <w:sz w:val="12"/>
              </w:rPr>
              <w:t>(b)</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(0.15)</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Tax on return of capital</w:t>
            </w:r>
            <w:r>
              <w:rPr>
                <w:rFonts w:ascii="Times New Roman;serif" w:hAnsi="Times New Roman;serif"/>
                <w:b w:val="false"/>
                <w:color w:val="000000"/>
                <w:sz w:val="12"/>
              </w:rPr>
              <w:t>(b)</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Valuation allowance on tax credits</w:t>
            </w:r>
            <w:r>
              <w:rPr>
                <w:rFonts w:ascii="Times New Roman;serif" w:hAnsi="Times New Roman;serif"/>
                <w:b w:val="false"/>
                <w:color w:val="000000"/>
                <w:sz w:val="12"/>
              </w:rPr>
              <w:t>(b)</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0.34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0.59 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8.05</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7.17 </w:t>
            </w:r>
          </w:p>
        </w:tc>
        <w:tc>
          <w:tcPr>
            <w:tcW w:w="1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7.35 </w:t>
            </w:r>
          </w:p>
        </w:tc>
        <w:tc>
          <w:tcPr>
            <w:tcW w:w="2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Amounts may not add due to rounding.</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4"/>
        </w:rPr>
        <w:t xml:space="preserve">(a)See “Other Items Not Allocated To Segments” on pages </w:t>
      </w:r>
      <w:hyperlink w:anchor="i275bec4631da4b22a64426a3a4f02a78_79">
        <w:r>
          <w:rPr>
            <w:rStyle w:val="InternetLink"/>
            <w:rFonts w:ascii="Times New Roman;serif" w:hAnsi="Times New Roman;serif"/>
            <w:b w:val="false"/>
            <w:strike w:val="false"/>
            <w:dstrike w:val="false"/>
            <w:color w:val="000000"/>
            <w:sz w:val="14"/>
            <w:u w:val="none"/>
            <w:effect w:val="none"/>
          </w:rPr>
          <w:t>27</w:t>
        </w:r>
      </w:hyperlink>
      <w:r>
        <w:rPr>
          <w:rFonts w:ascii="Times New Roman;serif" w:hAnsi="Times New Roman;serif"/>
          <w:b w:val="false"/>
          <w:color w:val="000000"/>
          <w:sz w:val="14"/>
        </w:rPr>
        <w:t>-</w:t>
      </w:r>
      <w:hyperlink w:anchor="i4f5b1c843fef451d9d0ba303edd73895_36695">
        <w:r>
          <w:rPr>
            <w:rStyle w:val="InternetLink"/>
            <w:rFonts w:ascii="Times New Roman;serif" w:hAnsi="Times New Roman;serif"/>
            <w:b w:val="false"/>
            <w:strike w:val="false"/>
            <w:dstrike w:val="false"/>
            <w:color w:val="000000"/>
            <w:sz w:val="14"/>
            <w:u w:val="none"/>
            <w:effect w:val="none"/>
          </w:rPr>
          <w:t>29</w:t>
        </w:r>
      </w:hyperlink>
      <w:r>
        <w:rPr>
          <w:rFonts w:ascii="Times New Roman;serif" w:hAnsi="Times New Roman;serif"/>
          <w:b w:val="false"/>
          <w:color w:val="000000"/>
          <w:sz w:val="14"/>
        </w:rPr>
        <w:t xml:space="preserve"> for details.</w:t>
      </w:r>
    </w:p>
    <w:p>
      <w:pPr>
        <w:pStyle w:val="TextBody"/>
        <w:bidi w:val="0"/>
        <w:spacing w:lineRule="auto" w:line="288" w:before="0" w:after="0"/>
        <w:ind w:left="0" w:right="0" w:hanging="360"/>
        <w:jc w:val="left"/>
        <w:rPr/>
      </w:pPr>
      <w:r>
        <w:rPr>
          <w:rFonts w:ascii="Times New Roman;serif" w:hAnsi="Times New Roman;serif"/>
          <w:b w:val="false"/>
          <w:color w:val="000000"/>
          <w:sz w:val="14"/>
        </w:rPr>
        <w:t xml:space="preserve">(b)See "Reconciliations of GAAP to Non-GAAP Measures" on page </w:t>
      </w:r>
      <w:hyperlink w:anchor="i117ef89d499440f4ba7485af360ee63f_11511">
        <w:r>
          <w:rPr>
            <w:rStyle w:val="InternetLink"/>
            <w:rFonts w:ascii="Times New Roman;serif" w:hAnsi="Times New Roman;serif"/>
            <w:b w:val="false"/>
            <w:strike w:val="false"/>
            <w:dstrike w:val="false"/>
            <w:color w:val="000000"/>
            <w:sz w:val="14"/>
            <w:u w:val="none"/>
            <w:effect w:val="none"/>
          </w:rPr>
          <w:t>35</w:t>
        </w:r>
      </w:hyperlink>
      <w:r>
        <w:rPr>
          <w:rFonts w:ascii="Times New Roman;serif" w:hAnsi="Times New Roman;serif"/>
          <w:b w:val="false"/>
          <w:color w:val="000000"/>
          <w:sz w:val="14"/>
        </w:rPr>
        <w:t xml:space="preserve"> for details.</w:t>
      </w:r>
    </w:p>
    <w:p>
      <w:pPr>
        <w:pStyle w:val="TextBody"/>
        <w:bidi w:val="0"/>
        <w:spacing w:lineRule="auto" w:line="288" w:before="0" w:after="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(c)Due to reorganization and restructuring activities, there was a $0.9 million non-GAAP adjustment to share-based compensation in 2023. There is no difference between GAAP and non-GAAP share-based compensation amounts for the other periods presented.</w:t>
      </w:r>
    </w:p>
    <w:p>
      <w:pPr>
        <w:pStyle w:val="TextBody"/>
        <w:bidi w:val="0"/>
        <w:spacing w:lineRule="auto" w:line="288" w:before="0" w:after="0"/>
        <w:ind w:left="0" w:right="0" w:hanging="360"/>
        <w:jc w:val="left"/>
        <w:rPr/>
      </w:pPr>
      <w:r>
        <w:rPr>
          <w:rFonts w:ascii="Times New Roman;serif" w:hAnsi="Times New Roman;serif"/>
          <w:b w:val="false"/>
          <w:color w:val="000000"/>
          <w:sz w:val="14"/>
        </w:rPr>
        <w:t>(d)Due to the impact of Argentina's highly inflationary accounting, there was a $55.2 million adjustment for a loss in 2023</w:t>
      </w:r>
      <w:r>
        <w:rPr>
          <w:rFonts w:ascii="Times New Roman;serif" w:hAnsi="Times New Roman;serif"/>
          <w:b w:val="false"/>
          <w:color w:val="000000"/>
          <w:sz w:val="18"/>
        </w:rPr>
        <w:t xml:space="preserve">, a </w:t>
      </w:r>
      <w:r>
        <w:rPr>
          <w:rFonts w:ascii="Times New Roman;serif" w:hAnsi="Times New Roman;serif"/>
          <w:b w:val="false"/>
          <w:color w:val="000000"/>
          <w:sz w:val="14"/>
        </w:rPr>
        <w:t>$1.3 million non-GAAP adjustment for a loss in 2024, and a $12.5 million non-GAAP adjustment for a loss in 2025.</w:t>
      </w:r>
    </w:p>
    <w:p>
      <w:pPr>
        <w:pStyle w:val="TextBody"/>
        <w:bidi w:val="0"/>
        <w:spacing w:lineRule="auto" w:line="288" w:before="0" w:after="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(e)Related to the impairment of specific debt securities in Argentina in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31445"/>
                <wp:effectExtent l="0" t="0" r="0" b="0"/>
                <wp:wrapNone/>
                <wp:docPr id="41" name="Frame4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Foreign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currently serve customers in more than 100 countries, including 51 countries where we operate subsidiaries.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are subject to risks customarily associated with doing business in foreign countries, including labor and economic conditions, the imposition of international sanctions, including by the U.S. government, political instability, controls on repatriation of earnings and capital, nationalization, expropriation and other forms of restrictive action by local governments. Changes in the political or economic environments in the countries in which we operate could have a material adverse effect on our business, financial condition and results of operations. The future effects, if any, of these risks are unknown. The Company has ceased support of its Venezuela operations as a result of U.S. government sanctions.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At December 31, 2025, Argentina's economy remained highly inflationary for accounting purposes. See Note 1 for more details about our Argentina operations including a description of how we account for currency remeasurement for our Argentine subsidiaries and the potential impacts of converting local currency into U.S. dollars.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Our international operations conduct a majority of their business in local currencies. Because our financial results are reported in U.S. dollars, they are affected by changes in the value of various local currencies in relation to the U.S. dollar. Future fluctuations in exchange rates could have either a positive or negative impact on our financial results.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 xml:space="preserve">Changes in exchange rates may also affect transactions which are denominated in currencies other than the functional currency of a given foreign entity. From time to time, we use short term foreign currency forward and swap contracts to hedge transactional risks associated with foreign currencies, as discussed in Item 7A on pages </w:t>
      </w:r>
      <w:hyperlink w:anchor="i9c9c146ccdbd46bcbb1e2312d3d961eb_5509">
        <w:r>
          <w:rPr>
            <w:rStyle w:val="InternetLink"/>
            <w:rFonts w:ascii="Times New Roman;serif" w:hAnsi="Times New Roman;serif"/>
            <w:b w:val="false"/>
            <w:strike w:val="false"/>
            <w:dstrike w:val="false"/>
            <w:color w:val="000000"/>
            <w:sz w:val="18"/>
            <w:u w:val="none"/>
            <w:effect w:val="none"/>
          </w:rPr>
          <w:t>57</w:t>
        </w:r>
      </w:hyperlink>
      <w:r>
        <w:rPr>
          <w:rFonts w:ascii="Times New Roman;serif" w:hAnsi="Times New Roman;serif"/>
          <w:b w:val="false"/>
          <w:color w:val="000000"/>
          <w:sz w:val="18"/>
        </w:rPr>
        <w:t>-</w:t>
      </w:r>
      <w:hyperlink w:anchor="i9c9c146ccdbd46bcbb1e2312d3d961eb_5511">
        <w:r>
          <w:rPr>
            <w:rStyle w:val="InternetLink"/>
            <w:rFonts w:ascii="Times New Roman;serif" w:hAnsi="Times New Roman;serif"/>
            <w:b w:val="false"/>
            <w:strike w:val="false"/>
            <w:dstrike w:val="false"/>
            <w:color w:val="000000"/>
            <w:sz w:val="18"/>
            <w:u w:val="none"/>
            <w:effect w:val="none"/>
          </w:rPr>
          <w:t>58</w:t>
        </w:r>
      </w:hyperlink>
      <w:r>
        <w:rPr>
          <w:rFonts w:ascii="Times New Roman;serif" w:hAnsi="Times New Roman;serif"/>
          <w:b w:val="false"/>
          <w:color w:val="000000"/>
          <w:sz w:val="18"/>
        </w:rPr>
        <w:t xml:space="preserve">. These short term foreign currency forward and swap contracts primarily offset exposures in the euro, the Mexican peso, and the British pound and are not designated as hedges for accounting purposes. Accordingly, changes in their fair value are recorded immediately in earnings. See Note 11 for more details regarding our economic hedges.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have entered into cross currency swaps and foreign exchange forward swap contracts to hedge a portion of our net investments in certain of our subsidiaries with euro and other functional currencies. As net investment hedges for accounting purposes, we elected to use the spot method to assess effectiveness for these derivatives that are designated as net investment hedges. Accordingly, changes in fair value attributable to changes in the undiscounted spot rates are recorded in the foreign currency translation adjustments component of accumulated other comprehensive income (loss) and will remain there until the hedged net investments are sold or substantially liquidated. We have elected to exclude the spot-forward difference from the assessment of hedge effectiveness and are amortizing this amount separately on a straight-line basis over the term of the cross currency swaps. See Note 11 for more details regarding these contracts.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also had a long term cross currency swap contract to hedge exposure in Brazilian real, which was designated as a cash flow hedge for accounting purposes This cross currency swap contract matured and was fully settled in 2023. See Note 11 for more details about this contract.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31445"/>
                <wp:effectExtent l="0" t="0" r="0" b="0"/>
                <wp:wrapNone/>
                <wp:docPr id="42" name="Frame4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2"/>
        </w:rPr>
      </w:pPr>
      <w:r>
        <w:rPr>
          <w:rFonts w:ascii="Times New Roman;serif" w:hAnsi="Times New Roman;serif"/>
          <w:b/>
          <w:color w:val="000000"/>
          <w:sz w:val="22"/>
        </w:rPr>
        <w:t>LIQUIDITY AND CAPITAL RESOURCES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Overview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discussion of liquidity and capital resources comparing 2024 versus 2023 can be found in Item 7. Management's Discussion and Analysis of Financial Conditions and Results of Operations of our 2024 10-K, starting on page 40.</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Over the last three years, we used cash generated from our operations and borrowings to</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 xml:space="preserve">invest in the infrastructure of our business (new facilities, cash sorting and other equipment for our cash management services operations, armored trucks, DRS devices, and information technology) ($628 million),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 xml:space="preserve">repurchase shares of Brink's common stock ($583 million),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pay dividends to Brink’s shareholders ($124 million),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acquire new business operations ($39 million).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 increased by $213.5 million in 2025 as compared to the prior year primarily due to changes in customer obligations related to certain of our secure cash management services operations, an increase in restricted cash held for customers and higher operating profit, partially offset by higher amounts paid for income taxes and interest and changes in working capital excluding taxes. Cash used for investing activities decreased by $13.8 million in 2025 due to lower amounts paid for capital expenditures and net inflows of purchases and sales of marketable securities in 2025 compared to the prior year, partially offset by changes in economic hedges. Cash also increased $103.5 million in 2025 as a result of the weakening of the U.S. dollar in 2025, primarily against the euro and Mexican peso. We financed our liquidity needs in 2025 with debt and cash flows from operations.</w: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Operating Activities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17"/>
        <w:gridCol w:w="1378"/>
        <w:gridCol w:w="1381"/>
        <w:gridCol w:w="109"/>
        <w:gridCol w:w="202"/>
        <w:gridCol w:w="592"/>
        <w:gridCol w:w="112"/>
        <w:gridCol w:w="112"/>
        <w:gridCol w:w="112"/>
        <w:gridCol w:w="112"/>
        <w:gridCol w:w="112"/>
        <w:gridCol w:w="309"/>
        <w:gridCol w:w="310"/>
        <w:gridCol w:w="156"/>
        <w:gridCol w:w="112"/>
        <w:gridCol w:w="112"/>
        <w:gridCol w:w="112"/>
        <w:gridCol w:w="109"/>
        <w:gridCol w:w="309"/>
        <w:gridCol w:w="310"/>
        <w:gridCol w:w="156"/>
        <w:gridCol w:w="109"/>
        <w:gridCol w:w="109"/>
        <w:gridCol w:w="109"/>
        <w:gridCol w:w="196"/>
        <w:gridCol w:w="571"/>
        <w:gridCol w:w="109"/>
        <w:gridCol w:w="109"/>
        <w:gridCol w:w="109"/>
        <w:gridCol w:w="109"/>
        <w:gridCol w:w="309"/>
        <w:gridCol w:w="310"/>
        <w:gridCol w:w="222"/>
      </w:tblGrid>
      <w:tr>
        <w:trPr/>
        <w:tc>
          <w:tcPr>
            <w:tcW w:w="1617"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4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Years Ended December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change</w:t>
            </w:r>
          </w:p>
        </w:tc>
        <w:tc>
          <w:tcPr>
            <w:tcW w:w="1168" w:type="dxa"/>
            <w:gridSpan w:val="6"/>
            <w:tcBorders/>
          </w:tcPr>
          <w:p>
            <w:pPr>
              <w:pStyle w:val="TableContents"/>
              <w:bidi w:val="0"/>
              <w:spacing w:before="0" w:after="283"/>
              <w:jc w:val="left"/>
              <w:rPr>
                <w:sz w:val="4"/>
                <w:szCs w:val="4"/>
              </w:rPr>
            </w:pPr>
            <w:r>
              <w:rPr>
                <w:sz w:val="4"/>
                <w:szCs w:val="4"/>
              </w:rPr>
            </w:r>
          </w:p>
        </w:tc>
      </w:tr>
      <w:tr>
        <w:trPr/>
        <w:tc>
          <w:tcPr>
            <w:tcW w:w="43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r>
      <w:tr>
        <w:trPr/>
        <w:tc>
          <w:tcPr>
            <w:tcW w:w="43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Cash flows provided from (used in) operating activities - GAAP</w:t>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639.5</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213.5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(276.4)</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(Increase) decrease in restricted cash held for customers (see Note 19)</w:t>
            </w:r>
          </w:p>
        </w:tc>
        <w:tc>
          <w:tcPr>
            <w:tcW w:w="109" w:type="dxa"/>
            <w:tcBorders/>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(46.1)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102.4 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(Increase) decrease in customer obligations</w:t>
            </w:r>
          </w:p>
        </w:tc>
        <w:tc>
          <w:tcPr>
            <w:tcW w:w="109" w:type="dxa"/>
            <w:tcBorders/>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(16.5)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143.7 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109" w:type="dxa"/>
            <w:tcBorders/>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(203.1)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proceeds from sale of property and equipment</w:t>
            </w:r>
          </w:p>
        </w:tc>
        <w:tc>
          <w:tcPr>
            <w:tcW w:w="109" w:type="dxa"/>
            <w:tcBorders/>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18.5</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Proceeds from lessor debt financing (see Note 19)</w:t>
            </w:r>
          </w:p>
        </w:tc>
        <w:tc>
          <w:tcPr>
            <w:tcW w:w="109" w:type="dxa"/>
            <w:tcBorders/>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43.2</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Free cash flow before dividends</w:t>
            </w:r>
            <w:r>
              <w:rPr>
                <w:rFonts w:ascii="Times New Roman;serif" w:hAnsi="Times New Roman;serif"/>
                <w:b w:val="false"/>
                <w:color w:val="000000"/>
                <w:sz w:val="12"/>
              </w:rPr>
              <w:t>(a)</w:t>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9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435.5</w:t>
            </w:r>
            <w:r>
              <w:rPr>
                <w:color w:val="000000"/>
              </w:rPr>
              <w:t> </w:t>
            </w:r>
          </w:p>
        </w:tc>
        <w:tc>
          <w:tcPr>
            <w:tcW w:w="1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399.9 </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400.1 </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35.6</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2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erif" w:hAnsi="Times New Roman;serif"/>
          <w:b w:val="false"/>
          <w:color w:val="000000"/>
          <w:sz w:val="14"/>
        </w:rPr>
        <w:t xml:space="preserve">(a)Free cash flow before dividends is a supplemental financial measure that is not required by, or presented in accordance with, GAAP. See page </w:t>
      </w:r>
      <w:hyperlink w:anchor="i275bec4631da4b22a64426a3a4f02a78_94">
        <w:r>
          <w:rPr>
            <w:rStyle w:val="InternetLink"/>
            <w:rFonts w:ascii="Times New Roman;serif" w:hAnsi="Times New Roman;serif"/>
            <w:b w:val="false"/>
            <w:strike w:val="false"/>
            <w:dstrike w:val="false"/>
            <w:color w:val="000000"/>
            <w:sz w:val="14"/>
            <w:u w:val="none"/>
            <w:effect w:val="none"/>
          </w:rPr>
          <w:t>34</w:t>
        </w:r>
      </w:hyperlink>
      <w:r>
        <w:rPr>
          <w:rFonts w:ascii="Times New Roman;serif" w:hAnsi="Times New Roman;serif"/>
          <w:b w:val="false"/>
          <w:color w:val="000000"/>
          <w:sz w:val="14"/>
        </w:rPr>
        <w:t xml:space="preserve"> for further information on this non-GAAP measure, and see page </w:t>
      </w:r>
      <w:hyperlink w:anchor="i117ef89d499440f4ba7485af360ee63f_11511">
        <w:r>
          <w:rPr>
            <w:rStyle w:val="InternetLink"/>
            <w:rFonts w:ascii="Times New Roman;serif" w:hAnsi="Times New Roman;serif"/>
            <w:b w:val="false"/>
            <w:strike w:val="false"/>
            <w:dstrike w:val="false"/>
            <w:color w:val="000000"/>
            <w:sz w:val="14"/>
            <w:u w:val="none"/>
            <w:effect w:val="none"/>
          </w:rPr>
          <w:t>35</w:t>
        </w:r>
      </w:hyperlink>
      <w:r>
        <w:rPr>
          <w:rFonts w:ascii="Times New Roman;serif" w:hAnsi="Times New Roman;serif"/>
          <w:b w:val="false"/>
          <w:color w:val="000000"/>
          <w:sz w:val="14"/>
        </w:rPr>
        <w:t xml:space="preserve"> for descriptions of the adjustments.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2025 versus 2024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Cash flows from operating activities - GAAP</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 increased by $213.5 million in 2025 compared to 2024. The increase was attributed to changes in customer obligations related to certain of our secure cash management services operations (certain customer obligations increased by $16.5 million in 2025 compared to a decrease of $77.7 million in 2024), restricted cash held for customers (restricted cash held for customers increased by $46.1 million in 2025 compared to an decrease of $42.9 million in 2024), and higher operating profit, partially offset by higher amounts paid for income taxes (we had $135.7 million in cash payments for taxes in 2025 as compared to $122.1 million in 2024), and by changes in working capital excluding taxes and interest.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 2024, working capital improvements resulted primarily from an ongoing focus on certain key discretionary actions, in particular more timely collection of trade accounts receivable and optimizing payment terms to vendors. These actions involved, among others, centrally managing more of our overall spend and negotiating with suppliers to optimize our payment terms and conditions. In 2025, these actions continued to improve cash flow performance, though the magnitude of improvement was more moderate when compared to the prior year. These actions contributed to an increase in trade accounts payable (amounts increased by $7.3 million in 2025 compared to an increase of $78.7 million in 2024) included in the consolidated statements of cash flows line “Increase (decrease) in accounts payable, income taxes payable, and accrued liabilities” as well as sustained improvements in trade accounts receivable (amounts increased $1.2 million in 2025 compared to a decrease of $40.2 million in 2024) included in the consolidated statements of cash flows line “(Increase) decrease in accounts receivable and income taxes receivable”. These results demonstrate the continued focus on working capital optimization and future working capital performance contemplates a continuation of these efforts.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31445"/>
                <wp:effectExtent l="0" t="0" r="0" b="0"/>
                <wp:wrapNone/>
                <wp:docPr id="43" name="Frame4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Free cash flow before dividends - non-GAAP</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Free cash flow before dividends increased $35.6 million as compared to 2024. The increase was mostly attributed to higher operating profit and lower amounts paid for capital expenditures (we had $203.1 million in cash paid for capital expenditures in 2025 compared to $222.5 million in 2024), partially offset by higher amounts paid for income taxes, changes in working capital excluding taxes and interest as discussed above, and lower amounts of cash proceeds from sale of property and equipment (we had $18.5 million in cash proceeds in 2025 compared to $29.2 million in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Investing Activities</w:t>
      </w:r>
    </w:p>
    <w:p>
      <w:pPr>
        <w:pStyle w:val="TextBody"/>
        <w:bidi w:val="0"/>
        <w:spacing w:before="0" w:after="0"/>
        <w:jc w:val="both"/>
        <w:rPr/>
      </w:pPr>
      <w:r>
        <w:rPr/>
      </w:r>
    </w:p>
    <w:tbl>
      <w:tblPr>
        <w:tblW w:w="8745" w:type="dxa"/>
        <w:jc w:val="left"/>
        <w:tblInd w:w="0" w:type="dxa"/>
        <w:tblLayout w:type="fixed"/>
        <w:tblCellMar>
          <w:top w:w="28" w:type="dxa"/>
          <w:left w:w="28" w:type="dxa"/>
          <w:bottom w:w="28" w:type="dxa"/>
          <w:right w:w="28" w:type="dxa"/>
        </w:tblCellMar>
      </w:tblPr>
      <w:tblGrid>
        <w:gridCol w:w="1226"/>
        <w:gridCol w:w="1080"/>
        <w:gridCol w:w="1084"/>
        <w:gridCol w:w="196"/>
        <w:gridCol w:w="631"/>
        <w:gridCol w:w="109"/>
        <w:gridCol w:w="109"/>
        <w:gridCol w:w="109"/>
        <w:gridCol w:w="109"/>
        <w:gridCol w:w="314"/>
        <w:gridCol w:w="316"/>
        <w:gridCol w:w="156"/>
        <w:gridCol w:w="109"/>
        <w:gridCol w:w="109"/>
        <w:gridCol w:w="109"/>
        <w:gridCol w:w="314"/>
        <w:gridCol w:w="316"/>
        <w:gridCol w:w="156"/>
        <w:gridCol w:w="109"/>
        <w:gridCol w:w="109"/>
        <w:gridCol w:w="109"/>
        <w:gridCol w:w="196"/>
        <w:gridCol w:w="481"/>
        <w:gridCol w:w="109"/>
        <w:gridCol w:w="109"/>
        <w:gridCol w:w="109"/>
        <w:gridCol w:w="109"/>
        <w:gridCol w:w="269"/>
        <w:gridCol w:w="271"/>
        <w:gridCol w:w="213"/>
      </w:tblGrid>
      <w:tr>
        <w:trPr/>
        <w:tc>
          <w:tcPr>
            <w:tcW w:w="122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change</w:t>
            </w:r>
          </w:p>
        </w:tc>
      </w:tr>
      <w:tr>
        <w:trPr/>
        <w:tc>
          <w:tcPr>
            <w:tcW w:w="33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r>
      <w:tr>
        <w:trPr/>
        <w:tc>
          <w:tcPr>
            <w:tcW w:w="33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 net of cash acquired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Dispositions, net of cash disposed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Marketable securities: </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77.9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(93.2)</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Proceeds from sale of property and 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loans held for investment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change in economic hedges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Investing activities</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(202.4)</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(216.2)</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(179.8)</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13.8</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w:t>
            </w:r>
          </w:p>
        </w:tc>
        <w:tc>
          <w:tcPr>
            <w:tcW w:w="2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Cash used by investing activities decreased by $13.8 million in 2025 as compared to 2024. The decrease was primarily due to changes in the net cash impact related to the purchases and sales of marketable securities in 2025 (we had $11.9 million in net cash received in 2025 compared to $14.6 million in net cash paid in 2024), lower amounts paid for capital expenditures, and lower amounts paid for acquisitions in 2025. This was partially offset by the cash payments related to the net change in economic hedge contracts in 2025, as discussed in Note 11, and lower amounts received from proceeds from sale of property and equipment.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31445"/>
                <wp:effectExtent l="0" t="0" r="0" b="0"/>
                <wp:wrapNone/>
                <wp:docPr id="44" name="Frame4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Capital expenditures and depreciation and amortization were as follows:</w:t>
      </w:r>
    </w:p>
    <w:tbl>
      <w:tblPr>
        <w:tblW w:w="9362" w:type="dxa"/>
        <w:jc w:val="left"/>
        <w:tblInd w:w="0" w:type="dxa"/>
        <w:tblLayout w:type="fixed"/>
        <w:tblCellMar>
          <w:top w:w="28" w:type="dxa"/>
          <w:left w:w="28" w:type="dxa"/>
          <w:bottom w:w="28" w:type="dxa"/>
          <w:right w:w="28" w:type="dxa"/>
        </w:tblCellMar>
      </w:tblPr>
      <w:tblGrid>
        <w:gridCol w:w="1502"/>
        <w:gridCol w:w="1324"/>
        <w:gridCol w:w="1329"/>
        <w:gridCol w:w="196"/>
        <w:gridCol w:w="571"/>
        <w:gridCol w:w="109"/>
        <w:gridCol w:w="109"/>
        <w:gridCol w:w="109"/>
        <w:gridCol w:w="109"/>
        <w:gridCol w:w="278"/>
        <w:gridCol w:w="278"/>
        <w:gridCol w:w="156"/>
        <w:gridCol w:w="109"/>
        <w:gridCol w:w="109"/>
        <w:gridCol w:w="109"/>
        <w:gridCol w:w="278"/>
        <w:gridCol w:w="278"/>
        <w:gridCol w:w="156"/>
        <w:gridCol w:w="109"/>
        <w:gridCol w:w="109"/>
        <w:gridCol w:w="109"/>
        <w:gridCol w:w="196"/>
        <w:gridCol w:w="541"/>
        <w:gridCol w:w="109"/>
        <w:gridCol w:w="109"/>
        <w:gridCol w:w="109"/>
        <w:gridCol w:w="109"/>
        <w:gridCol w:w="269"/>
        <w:gridCol w:w="271"/>
        <w:gridCol w:w="213"/>
      </w:tblGrid>
      <w:tr>
        <w:trPr/>
        <w:tc>
          <w:tcPr>
            <w:tcW w:w="1502"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9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change</w:t>
            </w:r>
          </w:p>
        </w:tc>
      </w:tr>
      <w:tr>
        <w:trPr/>
        <w:tc>
          <w:tcPr>
            <w:tcW w:w="41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8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r>
      <w:tr>
        <w:trPr/>
        <w:tc>
          <w:tcPr>
            <w:tcW w:w="41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Property and Equipment Acquired during the year</w:t>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Capital expenditures</w:t>
            </w:r>
            <w:r>
              <w:rPr>
                <w:rFonts w:ascii="Times New Roman;serif" w:hAnsi="Times New Roman;serif"/>
                <w:b w:val="false"/>
                <w:color w:val="000000"/>
                <w:sz w:val="12"/>
              </w:rPr>
              <w:t>(a)</w:t>
            </w:r>
            <w:r>
              <w:rPr>
                <w:rFonts w:ascii="Times New Roman;serif" w:hAnsi="Times New Roman;serif"/>
                <w:b w:val="false"/>
                <w:color w:val="000000"/>
                <w:sz w:val="18"/>
              </w:rPr>
              <w:t>:</w:t>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North America</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59.7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Latin America</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73.3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 of World</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203.1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Financing leases</w:t>
            </w:r>
            <w:r>
              <w:rPr>
                <w:rFonts w:ascii="Times New Roman;serif" w:hAnsi="Times New Roman;serif"/>
                <w:b w:val="false"/>
                <w:color w:val="000000"/>
                <w:sz w:val="12"/>
              </w:rPr>
              <w:t>:</w:t>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North America</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Latin America</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 of World</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leases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76.2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North America</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Latin America</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87.0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 of World</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property and equipment acquired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279.3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i/>
                <w:color w:val="000000"/>
                <w:sz w:val="18"/>
              </w:rPr>
              <w:t>Depreciation and amortization</w:t>
            </w:r>
            <w:r>
              <w:rPr>
                <w:rFonts w:ascii="Times New Roman;serif" w:hAnsi="Times New Roman;serif"/>
                <w:b/>
                <w:i/>
                <w:color w:val="000000"/>
                <w:sz w:val="12"/>
              </w:rPr>
              <w:t>(a)</w:t>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North America</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Latin America</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56.2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 of World</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reportable segments</w:t>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237.1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Argentina highly inflationary impact</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Reorganization and restructuring</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of property and equipment</w:t>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231.9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Amortization of intangible assets</w:t>
            </w:r>
            <w:r>
              <w:rPr>
                <w:rFonts w:ascii="Times New Roman;serif" w:hAnsi="Times New Roman;serif"/>
                <w:b w:val="false"/>
                <w:color w:val="000000"/>
                <w:sz w:val="12"/>
              </w:rPr>
              <w:t>(a)</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58.9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depreciation and amortization</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290.8</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293.3 </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275.8 </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(2.5)</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2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4"/>
        </w:rPr>
      </w:pPr>
      <w:r>
        <w:rPr>
          <w:rFonts w:ascii="Times New Roman;serif" w:hAnsi="Times New Roman;serif"/>
          <w:b w:val="false"/>
          <w:color w:val="000000"/>
          <w:sz w:val="14"/>
        </w:rPr>
        <w:t>(a)Amortization of acquisition-related intangible assets has been excluded from reportable segment amounts.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Our reinvestment ratio, which we define as the annual amount of property and equipment acquired during the year divided by the annual amount of depreciation, was 1.2 in 2025, 1.3 in 2024, and 1.4 in 2023.</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Capital expenditures in 2025 for our operating units were primarily for cash devices, information technology, armored vehicles, and machinery and equipment. Capital expenditures in 2025 were $19.4 million lower compared to 2024. Total property and equipment acquired in 2025 was $18.3 million lower than the prior year. This decrease was primarily due to a decrease in investments in armored vehicles and DRS devices.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Corporate capital expenditures in the last three years were primarily for IT investments.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31445"/>
                <wp:effectExtent l="0" t="0" r="0" b="0"/>
                <wp:wrapNone/>
                <wp:docPr id="45" name="Frame4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Financing Activities</w:t>
      </w:r>
    </w:p>
    <w:tbl>
      <w:tblPr>
        <w:tblW w:w="9961" w:type="dxa"/>
        <w:jc w:val="left"/>
        <w:tblInd w:w="0" w:type="dxa"/>
        <w:tblLayout w:type="fixed"/>
        <w:tblCellMar>
          <w:top w:w="28" w:type="dxa"/>
          <w:left w:w="28" w:type="dxa"/>
          <w:bottom w:w="28" w:type="dxa"/>
          <w:right w:w="28" w:type="dxa"/>
        </w:tblCellMar>
      </w:tblPr>
      <w:tblGrid>
        <w:gridCol w:w="1605"/>
        <w:gridCol w:w="1414"/>
        <w:gridCol w:w="1421"/>
        <w:gridCol w:w="196"/>
        <w:gridCol w:w="631"/>
        <w:gridCol w:w="109"/>
        <w:gridCol w:w="109"/>
        <w:gridCol w:w="109"/>
        <w:gridCol w:w="109"/>
        <w:gridCol w:w="314"/>
        <w:gridCol w:w="316"/>
        <w:gridCol w:w="156"/>
        <w:gridCol w:w="109"/>
        <w:gridCol w:w="109"/>
        <w:gridCol w:w="109"/>
        <w:gridCol w:w="313"/>
        <w:gridCol w:w="317"/>
        <w:gridCol w:w="156"/>
        <w:gridCol w:w="109"/>
        <w:gridCol w:w="109"/>
        <w:gridCol w:w="109"/>
        <w:gridCol w:w="196"/>
        <w:gridCol w:w="631"/>
        <w:gridCol w:w="109"/>
        <w:gridCol w:w="109"/>
        <w:gridCol w:w="109"/>
        <w:gridCol w:w="109"/>
        <w:gridCol w:w="277"/>
        <w:gridCol w:w="279"/>
        <w:gridCol w:w="213"/>
      </w:tblGrid>
      <w:tr>
        <w:trPr/>
        <w:tc>
          <w:tcPr>
            <w:tcW w:w="1605"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change</w:t>
            </w:r>
          </w:p>
        </w:tc>
      </w:tr>
      <w:tr>
        <w:trPr/>
        <w:tc>
          <w:tcPr>
            <w:tcW w:w="44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r>
      <w:tr>
        <w:trPr/>
        <w:tc>
          <w:tcPr>
            <w:tcW w:w="44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 and repayments: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borrowings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65.2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(85.7)</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revolving credit facilities,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217.0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debt,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(440.1)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 (repayments)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175.0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(150.2)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306.4 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noncontrolling interest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financing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shares of Brink's common stock</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to:</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Shareholders of Brink’s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 in subsidiaries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acquisition-related obligation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 of stock options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Tax withholdings associated with share-based compensation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activities</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(114.1)</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42.2 </w:t>
            </w:r>
          </w:p>
        </w:tc>
        <w:tc>
          <w:tcPr>
            <w:tcW w:w="1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(207.1)</w:t>
            </w:r>
          </w:p>
        </w:tc>
        <w:tc>
          <w:tcPr>
            <w:tcW w:w="1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(156.3)</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249.3 </w:t>
            </w:r>
          </w:p>
        </w:tc>
        <w:tc>
          <w:tcPr>
            <w:tcW w:w="2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 xml:space="preserve">Debt borrowings and repayments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Cash used in financing activities increased by $156.3 million in 2025 compared to 2024, as we had net cash used in financing activities of $114.1 million in 2025 compared to net cash provided by financing activities of $42.2 million in 2024. The change was driven primarily by a decrease in net borrowings (as discussed in Note 14) compared to the prior year.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Dividends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paid dividends to Brink’s shareholders of $1.0075 per share or $42.3 million in 2025 compared to $0.9475 per share or $41.8 million in 2024 and $0.86 per share or $39.6 million in 2023. Future dividends are dependent on our earnings, financial condition, shareholders’ equity levels, our cash flow and business requirements, as determined by the Board.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Effect of Exchange Rate Changes on Cash and Cash Equivalents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Changes in currency exchange rates increased the amount of cash and cash equivalents by $103.5 million during 2025, compared to a decrease of $95.2 million in 2024 and a decrease of $42.4 million in 2023. The increase in 2025 was due to the weakening of the U.S. dollar in 2025, primarily against the euro and Mexican peso.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31445"/>
                <wp:effectExtent l="0" t="0" r="0" b="0"/>
                <wp:wrapNone/>
                <wp:docPr id="46" name="Frame4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Capitalization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use a combination of debt, leases and equity to capitalize our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As of December 31, 2025, debt as a percentage of capitalization (defined as total debt and equity) was 91%, which decreased from 93% at December 31, 2024.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Summary of Debt, Equity and Other Liquidity Information</w:t>
      </w:r>
    </w:p>
    <w:tbl>
      <w:tblPr>
        <w:tblW w:w="8794" w:type="dxa"/>
        <w:jc w:val="left"/>
        <w:tblInd w:w="0" w:type="dxa"/>
        <w:tblLayout w:type="fixed"/>
        <w:tblCellMar>
          <w:top w:w="28" w:type="dxa"/>
          <w:left w:w="28" w:type="dxa"/>
          <w:bottom w:w="28" w:type="dxa"/>
          <w:right w:w="28" w:type="dxa"/>
        </w:tblCellMar>
      </w:tblPr>
      <w:tblGrid>
        <w:gridCol w:w="781"/>
        <w:gridCol w:w="688"/>
        <w:gridCol w:w="691"/>
        <w:gridCol w:w="641"/>
        <w:gridCol w:w="1868"/>
        <w:gridCol w:w="356"/>
        <w:gridCol w:w="109"/>
        <w:gridCol w:w="109"/>
        <w:gridCol w:w="109"/>
        <w:gridCol w:w="196"/>
        <w:gridCol w:w="706"/>
        <w:gridCol w:w="109"/>
        <w:gridCol w:w="109"/>
        <w:gridCol w:w="109"/>
        <w:gridCol w:w="109"/>
        <w:gridCol w:w="345"/>
        <w:gridCol w:w="346"/>
        <w:gridCol w:w="156"/>
        <w:gridCol w:w="109"/>
        <w:gridCol w:w="109"/>
        <w:gridCol w:w="109"/>
        <w:gridCol w:w="201"/>
        <w:gridCol w:w="571"/>
        <w:gridCol w:w="158"/>
      </w:tblGrid>
      <w:tr>
        <w:trPr/>
        <w:tc>
          <w:tcPr>
            <w:tcW w:w="7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Amount available under credit facilities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Outstanding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28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 change</w:t>
            </w:r>
            <w:r>
              <w:rPr>
                <w:rFonts w:ascii="Times New Roman;serif" w:hAnsi="Times New Roman;serif"/>
                <w:b w:val="false"/>
                <w:color w:val="000000"/>
                <w:sz w:val="12"/>
              </w:rPr>
              <w:t>(a)</w:t>
            </w:r>
          </w:p>
        </w:tc>
      </w:tr>
      <w:tr>
        <w:trPr/>
        <w:tc>
          <w:tcPr>
            <w:tcW w:w="2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w:t>
            </w:r>
          </w:p>
        </w:tc>
        <w:tc>
          <w:tcPr>
            <w:tcW w:w="28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borrowings</w:t>
            </w:r>
          </w:p>
        </w:tc>
        <w:tc>
          <w:tcPr>
            <w:tcW w:w="2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2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2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2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6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8.4</w:t>
            </w:r>
            <w:r>
              <w:rPr>
                <w:color w:val="000000"/>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Short-term borrowings</w:t>
            </w:r>
          </w:p>
        </w:tc>
        <w:tc>
          <w:tcPr>
            <w:tcW w:w="6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8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8.4</w:t>
            </w:r>
            <w:r>
              <w:rPr>
                <w:color w:val="000000"/>
              </w:rPr>
              <w:t> </w:t>
            </w:r>
          </w:p>
        </w:tc>
        <w:tc>
          <w:tcPr>
            <w:tcW w:w="3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241.1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91.8 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2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2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2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2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2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Revolving Facility</w:t>
            </w:r>
          </w:p>
        </w:tc>
        <w:tc>
          <w:tcPr>
            <w:tcW w:w="6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580.0</w:t>
            </w:r>
            <w:r>
              <w:rPr>
                <w:color w:val="000000"/>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420.0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8"/>
              </w:rPr>
              <w:t>Term Loans</w:t>
            </w:r>
          </w:p>
        </w:tc>
        <w:tc>
          <w:tcPr>
            <w:tcW w:w="2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1,223.3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Senior Unsecured Notes</w:t>
            </w:r>
          </w:p>
        </w:tc>
        <w:tc>
          <w:tcPr>
            <w:tcW w:w="2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1,390.4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Letter of Credit Facilities</w:t>
            </w:r>
          </w:p>
        </w:tc>
        <w:tc>
          <w:tcPr>
            <w:tcW w:w="2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43.0</w:t>
            </w:r>
            <w:r>
              <w:rPr>
                <w:color w:val="000000"/>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facilities</w:t>
            </w:r>
          </w:p>
        </w:tc>
        <w:tc>
          <w:tcPr>
            <w:tcW w:w="2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75.2</w:t>
            </w:r>
            <w:r>
              <w:rPr>
                <w:color w:val="000000"/>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669.1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leases</w:t>
            </w:r>
          </w:p>
        </w:tc>
        <w:tc>
          <w:tcPr>
            <w:tcW w:w="2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Long-term debt</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698.2</w:t>
            </w:r>
            <w:r>
              <w:rPr>
                <w:color w:val="000000"/>
              </w:rPr>
              <w:t>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3,973.2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3,746.9 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706.6</w:t>
            </w:r>
            <w:r>
              <w:rPr>
                <w:color w:val="000000"/>
              </w:rPr>
              <w:t>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4,214.3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3,896.2 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equity</w:t>
            </w:r>
          </w:p>
        </w:tc>
        <w:tc>
          <w:tcPr>
            <w:tcW w:w="2865"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407.3</w:t>
            </w: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312.5 </w:t>
            </w:r>
          </w:p>
        </w:tc>
        <w:tc>
          <w:tcPr>
            <w:tcW w:w="1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94.8 </w:t>
            </w:r>
          </w:p>
        </w:tc>
        <w:tc>
          <w:tcPr>
            <w:tcW w:w="158"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14"/>
        </w:rPr>
      </w:pPr>
      <w:r>
        <w:rPr>
          <w:rFonts w:ascii="Times New Roman;serif" w:hAnsi="Times New Roman;serif"/>
          <w:b w:val="false"/>
          <w:color w:val="000000"/>
          <w:sz w:val="14"/>
        </w:rPr>
        <w:t xml:space="preserve">(a)In addition to cash borrowings and repayments, the change in the debt balance also includes changes in currency exchange rates.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Reconciliation of Net Debt to U.S. GAAP Measures</w:t>
      </w:r>
    </w:p>
    <w:tbl>
      <w:tblPr>
        <w:tblW w:w="8172" w:type="dxa"/>
        <w:jc w:val="left"/>
        <w:tblInd w:w="0" w:type="dxa"/>
        <w:tblLayout w:type="fixed"/>
        <w:tblCellMar>
          <w:top w:w="28" w:type="dxa"/>
          <w:left w:w="28" w:type="dxa"/>
          <w:bottom w:w="28" w:type="dxa"/>
          <w:right w:w="28" w:type="dxa"/>
        </w:tblCellMar>
      </w:tblPr>
      <w:tblGrid>
        <w:gridCol w:w="1751"/>
        <w:gridCol w:w="1544"/>
        <w:gridCol w:w="1549"/>
        <w:gridCol w:w="196"/>
        <w:gridCol w:w="706"/>
        <w:gridCol w:w="109"/>
        <w:gridCol w:w="109"/>
        <w:gridCol w:w="109"/>
        <w:gridCol w:w="109"/>
        <w:gridCol w:w="345"/>
        <w:gridCol w:w="346"/>
        <w:gridCol w:w="156"/>
        <w:gridCol w:w="109"/>
        <w:gridCol w:w="109"/>
        <w:gridCol w:w="109"/>
        <w:gridCol w:w="196"/>
        <w:gridCol w:w="466"/>
        <w:gridCol w:w="154"/>
      </w:tblGrid>
      <w:tr>
        <w:trPr/>
        <w:tc>
          <w:tcPr>
            <w:tcW w:w="1751"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1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8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0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change</w:t>
            </w:r>
          </w:p>
        </w:tc>
      </w:tr>
      <w:tr>
        <w:trPr/>
        <w:tc>
          <w:tcPr>
            <w:tcW w:w="48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borrowings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3,973.2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4,214.3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3,896.2 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484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48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1,725.9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Amounts held by cash management services operations</w:t>
            </w:r>
            <w:r>
              <w:rPr>
                <w:rFonts w:ascii="Times New Roman;serif" w:hAnsi="Times New Roman;serif"/>
                <w:b w:val="false"/>
                <w:color w:val="000000"/>
                <w:sz w:val="12"/>
              </w:rPr>
              <w:t>(a)</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available for general corporate purposes</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1,619.5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1,314.0 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Debt</w:t>
            </w:r>
            <w:r>
              <w:rPr>
                <w:rFonts w:ascii="Times New Roman;serif" w:hAnsi="Times New Roman;serif"/>
                <w:b w:val="false"/>
                <w:color w:val="000000"/>
                <w:sz w:val="12"/>
              </w:rPr>
              <w:t>(a)</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2,594.8</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2,582.2 </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14"/>
        </w:rPr>
        <w:t xml:space="preserve">(a)Net Debt is a supplemental non-GAAP financial measure that is not required by or presented in accordance with GAAP. See page </w:t>
      </w:r>
      <w:hyperlink w:anchor="i117ef89d499440f4ba7485af360ee63f_11514">
        <w:r>
          <w:rPr>
            <w:rStyle w:val="InternetLink"/>
            <w:rFonts w:ascii="Times New Roman;serif" w:hAnsi="Times New Roman;serif"/>
            <w:b w:val="false"/>
            <w:strike w:val="false"/>
            <w:dstrike w:val="false"/>
            <w:color w:val="000000"/>
            <w:sz w:val="14"/>
            <w:u w:val="none"/>
            <w:effect w:val="none"/>
          </w:rPr>
          <w:t>34</w:t>
        </w:r>
      </w:hyperlink>
      <w:r>
        <w:rPr>
          <w:rFonts w:ascii="Times New Roman;serif" w:hAnsi="Times New Roman;serif"/>
          <w:b w:val="false"/>
          <w:color w:val="000000"/>
          <w:sz w:val="14"/>
        </w:rPr>
        <w:t xml:space="preserve"> for further information on this non-GAAP measure, and see page </w:t>
      </w:r>
      <w:hyperlink w:anchor="i117ef89d499440f4ba7485af360ee63f_11511">
        <w:r>
          <w:rPr>
            <w:rStyle w:val="InternetLink"/>
            <w:rFonts w:ascii="Times New Roman;serif" w:hAnsi="Times New Roman;serif"/>
            <w:b w:val="false"/>
            <w:strike w:val="false"/>
            <w:dstrike w:val="false"/>
            <w:color w:val="000000"/>
            <w:sz w:val="14"/>
            <w:u w:val="none"/>
            <w:effect w:val="none"/>
          </w:rPr>
          <w:t>35</w:t>
        </w:r>
      </w:hyperlink>
      <w:r>
        <w:rPr>
          <w:rFonts w:ascii="Times New Roman;serif" w:hAnsi="Times New Roman;serif"/>
          <w:b w:val="false"/>
          <w:color w:val="000000"/>
          <w:sz w:val="14"/>
        </w:rPr>
        <w:t xml:space="preserve"> for a description of the adjustment. Included within Net Debt is net cash from our Argentina operations of $25 million at December 31, 2025 and $104 million at December 31, 2024.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Debt and Net Debt at the end of 2025 increased versus the prior year to provide funding for corporate purposes and other working capital needs.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Liquidity Needs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Our liquidity needs include not only the working capital requirements of our operations but also investments in our operations, business development activities, payments on outstanding debt, dividend payments and share repurchases.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Our operating liquidity needs are typically financed by cash from operations, short-term borrowings and the available borrowing capacity under our Revolving Credit Facility (our debt facilities are described in more detail in Note 14 to the consolidated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31445"/>
                <wp:effectExtent l="0" t="0" r="0" b="0"/>
                <wp:wrapNone/>
                <wp:docPr id="47" name="Frame4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including certain limitations and considerations related to the cash and borrowing capacity). As of December 31, 2025, $580 million was available under the Revolving Credit Facility. Based on our current cash generated from operations, and amounts available under our credit facilities and our ability to access capital from financial markets, we believe that we will be able to meet our liquidity needs for the next 12 months and thereafter the foreseeable future.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Limitations on dividends from foreign subsidiaries</w:t>
      </w:r>
      <w:r>
        <w:rPr>
          <w:color w:val="000000"/>
        </w:rPr>
        <w:t> </w:t>
      </w:r>
      <w:r>
        <w:rPr>
          <w:rFonts w:ascii="Times New Roman;serif" w:hAnsi="Times New Roman;serif"/>
          <w:b w:val="false"/>
          <w:color w:val="000000"/>
          <w:sz w:val="18"/>
        </w:rPr>
        <w:t xml:space="preserve">A significant portion of our operations are outside the U.S., which may make it difficult to or costly to repatriate additional cash for use in the U.S. See Item 1A., </w:t>
      </w:r>
      <w:r>
        <w:rPr>
          <w:rFonts w:ascii="Times New Roman;serif" w:hAnsi="Times New Roman;serif"/>
          <w:b w:val="false"/>
          <w:i/>
          <w:color w:val="000000"/>
          <w:sz w:val="18"/>
        </w:rPr>
        <w:t>Risk Factors</w:t>
      </w:r>
      <w:r>
        <w:rPr>
          <w:rFonts w:ascii="Times New Roman;serif" w:hAnsi="Times New Roman;serif"/>
          <w:b w:val="false"/>
          <w:color w:val="000000"/>
          <w:sz w:val="18"/>
        </w:rPr>
        <w:t>, for more information on the risks associated with having businesses outside the U.S.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Our conclusion that we will be able to fund our cash requirements for the next 12 months by using existing capital resources, cash on hand, and cash generated from operations does not take into account any potential material worsening of economic conditions or material increases in inflation that would adversely affect our business. The anticipated cash needs of our business could change significantly if we pursue and complete additional business acquisitions, if our business plans change, or if other economic conditions change, such as material increases in inflation, from those currently prevailing or from those now anticipated, such as higher inflation or if other unexpected circumstances arise that may have a material effect on the cash flow or profitability of our business, including material negative changes in the health and welfare of our employees or changes in the condition of our customers or suppliers, and the operating performance or financial results of our business. Any of these events or circumstances, including any new business opportunities, could involve significant additional funding needs in excess of the identified currently available sources and could require us to raise additional debt or equity funding to meet those needs. Our ability to raise additional capital, if necessary, is subject to a variety of factors that we cannot predict with certainty, including:</w:t>
      </w:r>
    </w:p>
    <w:p>
      <w:pPr>
        <w:pStyle w:val="TextBody"/>
        <w:bidi w:val="0"/>
        <w:spacing w:lineRule="auto" w:line="288" w:before="0" w:after="0"/>
        <w:ind w:left="0" w:right="0" w:firstLine="720"/>
        <w:jc w:val="left"/>
        <w:rPr>
          <w:color w:val="000000"/>
        </w:rPr>
      </w:pPr>
      <w:r>
        <w:rPr>
          <w:color w:val="000000"/>
        </w:rPr>
        <w:t xml:space="preserve">• </w:t>
      </w:r>
      <w:r>
        <w:rPr>
          <w:rFonts w:ascii="Times New Roman;serif" w:hAnsi="Times New Roman;serif"/>
          <w:b w:val="false"/>
          <w:color w:val="000000"/>
          <w:sz w:val="18"/>
        </w:rPr>
        <w:t>our future profitability;</w:t>
      </w:r>
    </w:p>
    <w:p>
      <w:pPr>
        <w:pStyle w:val="TextBody"/>
        <w:bidi w:val="0"/>
        <w:spacing w:lineRule="auto" w:line="288" w:before="0" w:after="0"/>
        <w:ind w:left="0" w:right="0" w:firstLine="720"/>
        <w:jc w:val="left"/>
        <w:rPr>
          <w:color w:val="000000"/>
        </w:rPr>
      </w:pPr>
      <w:r>
        <w:rPr>
          <w:color w:val="000000"/>
        </w:rPr>
        <w:t xml:space="preserve">• </w:t>
      </w:r>
      <w:r>
        <w:rPr>
          <w:rFonts w:ascii="Times New Roman;serif" w:hAnsi="Times New Roman;serif"/>
          <w:b w:val="false"/>
          <w:color w:val="000000"/>
          <w:sz w:val="18"/>
        </w:rPr>
        <w:t>the quality of our accounts receivable;</w:t>
      </w:r>
    </w:p>
    <w:p>
      <w:pPr>
        <w:pStyle w:val="TextBody"/>
        <w:bidi w:val="0"/>
        <w:spacing w:lineRule="auto" w:line="288" w:before="0" w:after="0"/>
        <w:ind w:left="0" w:right="0" w:firstLine="720"/>
        <w:jc w:val="left"/>
        <w:rPr>
          <w:color w:val="000000"/>
        </w:rPr>
      </w:pPr>
      <w:r>
        <w:rPr>
          <w:color w:val="000000"/>
        </w:rPr>
        <w:t xml:space="preserve">• </w:t>
      </w:r>
      <w:r>
        <w:rPr>
          <w:rFonts w:ascii="Times New Roman;serif" w:hAnsi="Times New Roman;serif"/>
          <w:b w:val="false"/>
          <w:color w:val="000000"/>
          <w:sz w:val="18"/>
        </w:rPr>
        <w:t>our relative levels of debt and equity;</w:t>
      </w:r>
    </w:p>
    <w:p>
      <w:pPr>
        <w:pStyle w:val="TextBody"/>
        <w:bidi w:val="0"/>
        <w:spacing w:lineRule="auto" w:line="288" w:before="0" w:after="0"/>
        <w:ind w:left="0" w:right="0" w:firstLine="720"/>
        <w:jc w:val="left"/>
        <w:rPr>
          <w:color w:val="000000"/>
        </w:rPr>
      </w:pPr>
      <w:r>
        <w:rPr>
          <w:color w:val="000000"/>
        </w:rPr>
        <w:t xml:space="preserve">• </w:t>
      </w:r>
      <w:r>
        <w:rPr>
          <w:rFonts w:ascii="Times New Roman;serif" w:hAnsi="Times New Roman;serif"/>
          <w:b w:val="false"/>
          <w:color w:val="000000"/>
          <w:sz w:val="18"/>
        </w:rPr>
        <w:t>the volatility and overall condition of the capital markets; and</w:t>
      </w:r>
    </w:p>
    <w:p>
      <w:pPr>
        <w:pStyle w:val="TextBody"/>
        <w:bidi w:val="0"/>
        <w:spacing w:lineRule="auto" w:line="288" w:before="0" w:after="0"/>
        <w:ind w:left="0" w:right="0" w:firstLine="720"/>
        <w:jc w:val="left"/>
        <w:rPr>
          <w:color w:val="000000"/>
        </w:rPr>
      </w:pPr>
      <w:r>
        <w:rPr>
          <w:color w:val="000000"/>
        </w:rPr>
        <w:t xml:space="preserve">• </w:t>
      </w:r>
      <w:r>
        <w:rPr>
          <w:rFonts w:ascii="Times New Roman;serif" w:hAnsi="Times New Roman;serif"/>
          <w:b w:val="false"/>
          <w:color w:val="000000"/>
          <w:sz w:val="18"/>
        </w:rPr>
        <w:t>the market prices of our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 xml:space="preserve">Cash and Cash Equivalents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At December 31, 2025, we had $1,725.9 million in cash and cash equivalents, compared to $1,395.3 million at December 31, 2024. We plan to use the current cash and cash equivalents for working capital needs, capital expenditures, acquisitions, share repurchases, and other general corporate purposes.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Equity</w:t>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Common Stock</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At December 31, 2025, we had 100 million shares of common stock authorized and 41.1 million shares issued and outstanding.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Preferred Stock</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At December 31, 2025, we had the authority to issue up to 2 million shares of preferred stock, par value $10 per share.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18"/>
        </w:rPr>
      </w:pPr>
      <w:r>
        <w:rPr>
          <w:rFonts w:ascii="Times New Roman;serif" w:hAnsi="Times New Roman;serif"/>
          <w:b w:val="false"/>
          <w:i/>
          <w:color w:val="000000"/>
          <w:sz w:val="18"/>
        </w:rPr>
        <w:t xml:space="preserve">Share Repurchase Program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 December 2025, our Board authorized a $750 million share repurchase program that expires on December 31, 2027 (the “2025 Repurchase Program”).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Under the 2025 Repurchase Program, we are not obligated to repurchase any specific dollar amount or number of shares. The timing and volume of share repurchases may be executed at the discretion of management on an opportunistic basis, or pursuant to trading plans or other arrangements. Share repurchases under this program may be made in the open market, in privately negotiated transactions, or otherwise.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 November 2023, our Board of Directors authorized a $500 million share repurchase program (the "2023 Repurchase Program"). Under the 2023 Repurchase program, in 2025, we repurchased a total of 2,210,616 shares of our common stock for an aggregate of $209.4 million and an average price of $94.74 per share. In 2024, we repurchased a total of 2,108,544 shares of our common stock for an aggregate of $203.6 million and an average price of $96.54 per share. These shares were retired upon repurchase. The 2023 Repurchase Program expired on December 31,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 October 2021, we announced that our Board authorized a $250 million share repurchase program (the "2021 Repurchase Program"). Under the 2021 Repurchase Program, in 2023, we repurchased a total of 2,297,955 shares of our common stock for an aggregate of $169.9 million and an average price of $73.92 per share. These shares were retired upon repurchase. The 2021 Repurchase Program expired on December 31, 2023.</w:t>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Off Balance Sheet Arrangements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have certain operating leases that are considered short term and are not capitalized to the balance sheet. We use operating leases both on and off balance sheet to lower our cost of financings. We believe that operating leases are an important component of our capital structure.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31445"/>
                <wp:effectExtent l="0" t="0" r="0" b="0"/>
                <wp:wrapNone/>
                <wp:docPr id="48" name="Frame4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U.S. Retirement Liabilities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Assumptions for U.S. Retirement Obligations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have made various assumptions to estimate the amount of payments to be made in the future. The most significant assumptions include: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Changing discount rates and other assumptions in effect at measurement dates (normally December 31)</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Investment returns on plan assets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Addition of new claimants (historically immaterial due to freezing of pension benefits and exit from coal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Mortality rates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Change in laws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Funded Status of U.S. Retirement Plans</w:t>
      </w:r>
    </w:p>
    <w:tbl>
      <w:tblPr>
        <w:tblW w:w="6902" w:type="dxa"/>
        <w:jc w:val="left"/>
        <w:tblInd w:w="0" w:type="dxa"/>
        <w:tblLayout w:type="fixed"/>
        <w:tblCellMar>
          <w:top w:w="28" w:type="dxa"/>
          <w:left w:w="28" w:type="dxa"/>
          <w:bottom w:w="28" w:type="dxa"/>
          <w:right w:w="28" w:type="dxa"/>
        </w:tblCellMar>
      </w:tblPr>
      <w:tblGrid>
        <w:gridCol w:w="911"/>
        <w:gridCol w:w="803"/>
        <w:gridCol w:w="805"/>
        <w:gridCol w:w="196"/>
        <w:gridCol w:w="541"/>
        <w:gridCol w:w="109"/>
        <w:gridCol w:w="269"/>
        <w:gridCol w:w="271"/>
        <w:gridCol w:w="156"/>
        <w:gridCol w:w="269"/>
        <w:gridCol w:w="271"/>
        <w:gridCol w:w="156"/>
        <w:gridCol w:w="269"/>
        <w:gridCol w:w="271"/>
        <w:gridCol w:w="156"/>
        <w:gridCol w:w="269"/>
        <w:gridCol w:w="271"/>
        <w:gridCol w:w="156"/>
        <w:gridCol w:w="269"/>
        <w:gridCol w:w="271"/>
        <w:gridCol w:w="213"/>
      </w:tblGrid>
      <w:tr>
        <w:trPr/>
        <w:tc>
          <w:tcPr>
            <w:tcW w:w="9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Actual</w:t>
            </w:r>
          </w:p>
        </w:tc>
        <w:tc>
          <w:tcPr>
            <w:tcW w:w="35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Projected</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8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6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6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2027</w:t>
            </w:r>
          </w:p>
        </w:tc>
        <w:tc>
          <w:tcPr>
            <w:tcW w:w="6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2028</w:t>
            </w:r>
          </w:p>
        </w:tc>
        <w:tc>
          <w:tcPr>
            <w:tcW w:w="6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2029</w:t>
            </w:r>
          </w:p>
        </w:tc>
        <w:tc>
          <w:tcPr>
            <w:tcW w:w="7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2030</w:t>
            </w:r>
          </w:p>
        </w:tc>
      </w:tr>
      <w:tr>
        <w:trPr/>
        <w:tc>
          <w:tcPr>
            <w:tcW w:w="25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Primary U.S. pension plan</w:t>
            </w:r>
          </w:p>
        </w:tc>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funded status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periodic pension credit</w:t>
            </w:r>
            <w:r>
              <w:rPr>
                <w:rFonts w:ascii="Times New Roman;serif" w:hAnsi="Times New Roman;serif"/>
                <w:b w:val="false"/>
                <w:color w:val="000000"/>
                <w:sz w:val="12"/>
              </w:rPr>
              <w:t>(a)</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Benefit plan actuarial gain (loss)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Ending funded status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UMWA plans</w:t>
            </w:r>
          </w:p>
        </w:tc>
        <w:tc>
          <w:tcPr>
            <w:tcW w:w="8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funded status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periodic postretirement cost</w:t>
            </w:r>
            <w:r>
              <w:rPr>
                <w:rFonts w:ascii="Times New Roman;serif" w:hAnsi="Times New Roman;serif"/>
                <w:b w:val="false"/>
                <w:color w:val="000000"/>
                <w:sz w:val="12"/>
              </w:rPr>
              <w:t>(a)</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plan actuarial gain</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Ending funded status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Black Lung plans</w:t>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funded status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periodic postretirement cost</w:t>
            </w:r>
            <w:r>
              <w:rPr>
                <w:rFonts w:ascii="Times New Roman;serif" w:hAnsi="Times New Roman;serif"/>
                <w:b w:val="false"/>
                <w:color w:val="000000"/>
                <w:sz w:val="12"/>
              </w:rPr>
              <w:t>(a)</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from Brink’s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Benefit plan actuarial loss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Ending funded status</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(62.8)</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w:t>
            </w:r>
          </w:p>
        </w:tc>
        <w:tc>
          <w:tcPr>
            <w:tcW w:w="2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4"/>
        </w:rPr>
      </w:pPr>
      <w:r>
        <w:rPr>
          <w:rFonts w:ascii="Times New Roman;serif" w:hAnsi="Times New Roman;serif"/>
          <w:b w:val="false"/>
          <w:color w:val="000000"/>
          <w:sz w:val="14"/>
        </w:rPr>
        <w:t>(a)Excludes amounts reclassified from accumulated other comprehensive income (loss).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Primary U.S. Pension Plan</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Pension benefits provided to eligible U.S. employees were frozen on December 31, 2005, and benefits are not provided to employees hired after 2005 or to those covered by a collective bargaining agreement. We did not make cash contributions to the primary U.S. pension plan in 2025. There are approximately 10,200 beneficiaries in the plan.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Based on our current assumptions, we do not expect to make contributions for the foreseeable future.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UMWA Plan</w:t>
      </w:r>
    </w:p>
    <w:p>
      <w:pPr>
        <w:pStyle w:val="TextBody"/>
        <w:bidi w:val="0"/>
        <w:spacing w:lineRule="auto" w:line="288" w:before="0" w:after="0"/>
        <w:jc w:val="left"/>
        <w:rPr/>
      </w:pPr>
      <w:r>
        <w:rPr>
          <w:rFonts w:ascii="Times New Roman;serif" w:hAnsi="Times New Roman;serif"/>
          <w:b w:val="false"/>
          <w:color w:val="000000"/>
          <w:sz w:val="18"/>
        </w:rPr>
        <w:t>Retirement benefits related to former coal operations include medical benefits provided by the Pittston Coal Group Companies Employee Benefit Plan for UMWA Represented Employees. There are approximately</w:t>
      </w:r>
      <w:r>
        <w:rPr>
          <w:color w:val="000000"/>
        </w:rPr>
        <w:t xml:space="preserve"> </w:t>
      </w:r>
      <w:r>
        <w:rPr>
          <w:rFonts w:ascii="Times New Roman;serif" w:hAnsi="Times New Roman;serif"/>
          <w:b w:val="false"/>
          <w:color w:val="000000"/>
          <w:sz w:val="18"/>
        </w:rPr>
        <w:t>2,000 beneficiaries in the UMWA plans. The company does not expect to make contributions to these plans until 2039, based on our actuarial assumptions.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Black Lung</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Under the Federal Black Lung Benefits Act of 1972, Brink’s is responsible for paying lifetime black lung benefits to miners and their dependents for claims filed and approved after June 30, 1973. There are approximately 500 black lung beneficiaries as of December 31,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 xml:space="preserve">Non-U.S. defined-benefit pension plans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have various defined-benefit pension plans covering eligible current and former employees of some of our international operations. See Note 4 to the consolidated financial statements for information about these non-U.S. plans' benefit obligation and estimated future benefit payments over the next 10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31445"/>
                <wp:effectExtent l="0" t="0" r="0" b="0"/>
                <wp:wrapNone/>
                <wp:docPr id="49" name="Frame4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18"/>
        </w:rPr>
        <w:t>Summary of Total Expenses Related to All U.S. Retirement Liabilities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This table summarizes actual and projected expense (income) related to U.S. retirement liabilities. These expenses are not allocated to segment results.</w:t>
      </w:r>
    </w:p>
    <w:tbl>
      <w:tblPr>
        <w:tblW w:w="5852" w:type="dxa"/>
        <w:jc w:val="left"/>
        <w:tblInd w:w="0" w:type="dxa"/>
        <w:tblLayout w:type="fixed"/>
        <w:tblCellMar>
          <w:top w:w="28" w:type="dxa"/>
          <w:left w:w="28" w:type="dxa"/>
          <w:bottom w:w="28" w:type="dxa"/>
          <w:right w:w="28" w:type="dxa"/>
        </w:tblCellMar>
      </w:tblPr>
      <w:tblGrid>
        <w:gridCol w:w="727"/>
        <w:gridCol w:w="640"/>
        <w:gridCol w:w="642"/>
        <w:gridCol w:w="196"/>
        <w:gridCol w:w="451"/>
        <w:gridCol w:w="109"/>
        <w:gridCol w:w="224"/>
        <w:gridCol w:w="226"/>
        <w:gridCol w:w="156"/>
        <w:gridCol w:w="224"/>
        <w:gridCol w:w="226"/>
        <w:gridCol w:w="156"/>
        <w:gridCol w:w="224"/>
        <w:gridCol w:w="226"/>
        <w:gridCol w:w="156"/>
        <w:gridCol w:w="224"/>
        <w:gridCol w:w="226"/>
        <w:gridCol w:w="156"/>
        <w:gridCol w:w="224"/>
        <w:gridCol w:w="226"/>
        <w:gridCol w:w="213"/>
      </w:tblGrid>
      <w:tr>
        <w:trPr/>
        <w:tc>
          <w:tcPr>
            <w:tcW w:w="72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Actual</w:t>
            </w:r>
          </w:p>
        </w:tc>
        <w:tc>
          <w:tcPr>
            <w:tcW w:w="308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Projected</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7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6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6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2027</w:t>
            </w:r>
          </w:p>
        </w:tc>
        <w:tc>
          <w:tcPr>
            <w:tcW w:w="6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2028</w:t>
            </w:r>
          </w:p>
        </w:tc>
        <w:tc>
          <w:tcPr>
            <w:tcW w:w="6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2029</w:t>
            </w:r>
          </w:p>
        </w:tc>
        <w:tc>
          <w:tcPr>
            <w:tcW w:w="6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2030</w:t>
            </w:r>
          </w:p>
        </w:tc>
      </w:tr>
      <w:tr>
        <w:trPr/>
        <w:tc>
          <w:tcPr>
            <w:tcW w:w="20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Primary U.S. pension plan</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UMWA plans</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Black Lung plans</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(9.3)</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2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Summary of Total Payments from U.S. Plans to Participants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This table summarizes actual and estimated payments from the plans to participants.</w:t>
      </w:r>
    </w:p>
    <w:tbl>
      <w:tblPr>
        <w:tblW w:w="7253" w:type="dxa"/>
        <w:jc w:val="left"/>
        <w:tblInd w:w="0" w:type="dxa"/>
        <w:tblLayout w:type="fixed"/>
        <w:tblCellMar>
          <w:top w:w="28" w:type="dxa"/>
          <w:left w:w="28" w:type="dxa"/>
          <w:bottom w:w="28" w:type="dxa"/>
          <w:right w:w="28" w:type="dxa"/>
        </w:tblCellMar>
      </w:tblPr>
      <w:tblGrid>
        <w:gridCol w:w="1193"/>
        <w:gridCol w:w="1049"/>
        <w:gridCol w:w="1058"/>
        <w:gridCol w:w="196"/>
        <w:gridCol w:w="481"/>
        <w:gridCol w:w="109"/>
        <w:gridCol w:w="233"/>
        <w:gridCol w:w="233"/>
        <w:gridCol w:w="156"/>
        <w:gridCol w:w="233"/>
        <w:gridCol w:w="233"/>
        <w:gridCol w:w="156"/>
        <w:gridCol w:w="233"/>
        <w:gridCol w:w="233"/>
        <w:gridCol w:w="156"/>
        <w:gridCol w:w="233"/>
        <w:gridCol w:w="233"/>
        <w:gridCol w:w="156"/>
        <w:gridCol w:w="233"/>
        <w:gridCol w:w="233"/>
        <w:gridCol w:w="213"/>
      </w:tblGrid>
      <w:tr>
        <w:trPr/>
        <w:tc>
          <w:tcPr>
            <w:tcW w:w="1193"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Actual</w:t>
            </w:r>
          </w:p>
        </w:tc>
        <w:tc>
          <w:tcPr>
            <w:tcW w:w="316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Projected</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6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6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2027</w:t>
            </w:r>
          </w:p>
        </w:tc>
        <w:tc>
          <w:tcPr>
            <w:tcW w:w="6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2028</w:t>
            </w:r>
          </w:p>
        </w:tc>
        <w:tc>
          <w:tcPr>
            <w:tcW w:w="6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2029</w:t>
            </w:r>
          </w:p>
        </w:tc>
        <w:tc>
          <w:tcPr>
            <w:tcW w:w="6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2030</w:t>
            </w:r>
          </w:p>
        </w:tc>
      </w:tr>
      <w:tr>
        <w:trPr/>
        <w:tc>
          <w:tcPr>
            <w:tcW w:w="33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Payments from U.S. Plans to participants</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Primary U.S. pension plan</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UMWA plans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Black Lung plans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69.9</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70.0 </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69.7 </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68.9 </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68.6 </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67.5 </w:t>
            </w:r>
          </w:p>
        </w:tc>
        <w:tc>
          <w:tcPr>
            <w:tcW w:w="2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Summary of Projected Payments from Brink’s to U.S. Plans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This table summarizes estimated payments from Brink’s to U.S. retirement plans.</w:t>
      </w:r>
    </w:p>
    <w:tbl>
      <w:tblPr>
        <w:tblW w:w="8304" w:type="dxa"/>
        <w:jc w:val="left"/>
        <w:tblInd w:w="0" w:type="dxa"/>
        <w:tblLayout w:type="fixed"/>
        <w:tblCellMar>
          <w:top w:w="28" w:type="dxa"/>
          <w:left w:w="28" w:type="dxa"/>
          <w:bottom w:w="28" w:type="dxa"/>
          <w:right w:w="28" w:type="dxa"/>
        </w:tblCellMar>
      </w:tblPr>
      <w:tblGrid>
        <w:gridCol w:w="683"/>
        <w:gridCol w:w="603"/>
        <w:gridCol w:w="604"/>
        <w:gridCol w:w="557"/>
        <w:gridCol w:w="1158"/>
        <w:gridCol w:w="310"/>
        <w:gridCol w:w="124"/>
        <w:gridCol w:w="124"/>
        <w:gridCol w:w="124"/>
        <w:gridCol w:w="379"/>
        <w:gridCol w:w="379"/>
        <w:gridCol w:w="381"/>
        <w:gridCol w:w="124"/>
        <w:gridCol w:w="124"/>
        <w:gridCol w:w="124"/>
        <w:gridCol w:w="454"/>
        <w:gridCol w:w="454"/>
        <w:gridCol w:w="457"/>
        <w:gridCol w:w="124"/>
        <w:gridCol w:w="124"/>
        <w:gridCol w:w="124"/>
        <w:gridCol w:w="278"/>
        <w:gridCol w:w="278"/>
        <w:gridCol w:w="213"/>
      </w:tblGrid>
      <w:tr>
        <w:trPr/>
        <w:tc>
          <w:tcPr>
            <w:tcW w:w="68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Projected Payments to Plans from Brink's</w:t>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Primary U.S. Pension Plan</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UMWA Plans</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Black Lung Plans</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18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Projected payments</w:t>
            </w:r>
          </w:p>
        </w:tc>
        <w:tc>
          <w:tcPr>
            <w:tcW w:w="2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1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1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1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1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2031</w:t>
            </w:r>
          </w:p>
        </w:tc>
        <w:tc>
          <w:tcPr>
            <w:tcW w:w="1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2032</w:t>
            </w:r>
          </w:p>
        </w:tc>
        <w:tc>
          <w:tcPr>
            <w:tcW w:w="1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2033</w:t>
            </w:r>
          </w:p>
        </w:tc>
        <w:tc>
          <w:tcPr>
            <w:tcW w:w="1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2034</w:t>
            </w:r>
          </w:p>
        </w:tc>
        <w:tc>
          <w:tcPr>
            <w:tcW w:w="1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2035</w:t>
            </w:r>
          </w:p>
        </w:tc>
        <w:tc>
          <w:tcPr>
            <w:tcW w:w="1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2036</w:t>
            </w:r>
          </w:p>
        </w:tc>
        <w:tc>
          <w:tcPr>
            <w:tcW w:w="1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2037</w:t>
            </w:r>
          </w:p>
        </w:tc>
        <w:tc>
          <w:tcPr>
            <w:tcW w:w="1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2038</w:t>
            </w:r>
          </w:p>
        </w:tc>
        <w:tc>
          <w:tcPr>
            <w:tcW w:w="1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2039</w:t>
            </w:r>
          </w:p>
        </w:tc>
        <w:tc>
          <w:tcPr>
            <w:tcW w:w="1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2040 and thereafter</w:t>
            </w:r>
          </w:p>
        </w:tc>
        <w:tc>
          <w:tcPr>
            <w:tcW w:w="1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101.0 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projected payments</w:t>
            </w:r>
          </w:p>
        </w:tc>
        <w:tc>
          <w:tcPr>
            <w:tcW w:w="55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104.7 </w:t>
            </w:r>
          </w:p>
        </w:tc>
        <w:tc>
          <w:tcPr>
            <w:tcW w:w="3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97.2 </w:t>
            </w:r>
          </w:p>
        </w:tc>
        <w:tc>
          <w:tcPr>
            <w:tcW w:w="45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201.9 </w:t>
            </w:r>
          </w:p>
        </w:tc>
        <w:tc>
          <w:tcPr>
            <w:tcW w:w="2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amounts in the tables above are based on a variety of estimates, including actuarial assumptions as of December 31, 2025. The estimated amounts will change in the future to reflect payments made, investment returns, actuarial revaluations, and other changes in estimates. Actual amounts could differ materially from the estimated amounts.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31445"/>
                <wp:effectExtent l="0" t="0" r="0" b="0"/>
                <wp:wrapNone/>
                <wp:docPr id="50" name="Frame4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Contingent Matters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At the end of the fourth quarter of 2018, we became aware of an investigation initiated by the Chilean Fiscalía Nacional Económica (the Chilean antitrust agency) (“FNE”) related to potential anti-competitive practices among competitors in the cash logistics industry in Chile. In October 2021, the FNE filed a complaint before the Chilean antitrust court alleging that Brink’s Chile (as well as competitor companies) engaged in collusion in 2017 and 2018 and requested that the court approve a fine of $30.5 million. The Company filed its response to the complaint in November 2022, which signaled the beginning of the evidentiary phase. The Company intends to vigorously defend itself against the FNE's complaint. Based on available information to date, the Company recorded a charge of $9.5 million in the third quarter of 2021 in connection with this matter. After the third quarter of 2021, all adjustments to the contingent liability have resulted primarily from changes in currency rates.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 addition to the matter discussed above, we are involved in various other lawsuits and claims in the ordinary course of business. We are not able to estimate the loss or range of losses for some of these matters. We have recorded accruals for losses that are considered probable and reasonably estimable. Except as otherwise noted, we do not believe that it is reasonably possible the ultimate disposition of any of the legal matters currently pending against the Company could have a material adverse effect on our liquidity, financial position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31445"/>
                <wp:effectExtent l="0" t="0" r="0" b="0"/>
                <wp:wrapNone/>
                <wp:docPr id="51" name="Frame5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APPLICATION OF CRITICAL ACCOUNTING POLICIES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application of accounting principles requires the use of assumptions, estimates and judgments. We make assumptions, estimates and judgments based on, among other things, knowledge of operations, markets, historical trends and likely future changes, similarly situated businesses and, when appropriate, the opinions of advisors with relevant knowledge and experience. Reported results could have been materially different had we used a different set of assumptions, estimates and judgments.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Deferred Tax Asset Valuation Allowance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Deferred tax assets result primarily from net operating losses, tax credit carryforwards, and the net tax effects of temporary differences between the carrying amount of assets and liabilities for financial statement and income tax purposes, as determined under enacted tax laws and rates.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Accounting Policy</w:t>
      </w:r>
    </w:p>
    <w:p>
      <w:pPr>
        <w:pStyle w:val="TextBody"/>
        <w:bidi w:val="0"/>
        <w:spacing w:lineRule="auto" w:line="288" w:before="0" w:after="0"/>
        <w:jc w:val="left"/>
        <w:rPr/>
      </w:pPr>
      <w:r>
        <w:rPr>
          <w:rFonts w:ascii="Times New Roman;serif" w:hAnsi="Times New Roman;serif"/>
          <w:b w:val="false"/>
          <w:color w:val="000000"/>
          <w:sz w:val="18"/>
        </w:rPr>
        <w:t xml:space="preserve">We establish valuation allowances, in accordance with the Financial Accounting Standards Board ("FASB") ASC Topic 740, </w:t>
      </w:r>
      <w:r>
        <w:rPr>
          <w:rFonts w:ascii="Times New Roman;serif" w:hAnsi="Times New Roman;serif"/>
          <w:b w:val="false"/>
          <w:i/>
          <w:color w:val="000000"/>
          <w:sz w:val="18"/>
        </w:rPr>
        <w:t>Income Taxes</w:t>
      </w:r>
      <w:r>
        <w:rPr>
          <w:rFonts w:ascii="Times New Roman;serif" w:hAnsi="Times New Roman;serif"/>
          <w:b w:val="false"/>
          <w:color w:val="000000"/>
          <w:sz w:val="18"/>
        </w:rPr>
        <w:t>, when we estimate it is not more-likely-than-not that a deferred tax asset will be realized. We decide to record valuation allowances primarily based on an assessment of positive and negative evidence including historical earnings and future taxable income that incorporates prudent, feasible tax-planning strategies. We assess deferred tax assets on an individual jurisdiction basis. Changes in tax statutes, the timing of deductibility of expenses or expectations for future performance could result in material adjustments to our valuation allowances, which would increase or decrease tax expense. Our valuation allowances are as follows.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Valuation Allowances</w:t>
      </w:r>
    </w:p>
    <w:tbl>
      <w:tblPr>
        <w:tblW w:w="2976" w:type="dxa"/>
        <w:jc w:val="left"/>
        <w:tblInd w:w="0" w:type="dxa"/>
        <w:tblLayout w:type="fixed"/>
        <w:tblCellMar>
          <w:top w:w="28" w:type="dxa"/>
          <w:left w:w="28" w:type="dxa"/>
          <w:bottom w:w="28" w:type="dxa"/>
          <w:right w:w="28" w:type="dxa"/>
        </w:tblCellMar>
      </w:tblPr>
      <w:tblGrid>
        <w:gridCol w:w="363"/>
        <w:gridCol w:w="320"/>
        <w:gridCol w:w="321"/>
        <w:gridCol w:w="196"/>
        <w:gridCol w:w="571"/>
        <w:gridCol w:w="109"/>
        <w:gridCol w:w="109"/>
        <w:gridCol w:w="109"/>
        <w:gridCol w:w="109"/>
        <w:gridCol w:w="278"/>
        <w:gridCol w:w="278"/>
        <w:gridCol w:w="213"/>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9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w:t>
            </w:r>
          </w:p>
        </w:tc>
      </w:tr>
      <w:tr>
        <w:trPr/>
        <w:tc>
          <w:tcPr>
            <w:tcW w:w="1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8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r>
      <w:tr>
        <w:trPr/>
        <w:tc>
          <w:tcPr>
            <w:tcW w:w="10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57.4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Non-U.S.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136.5</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118.1 </w:t>
            </w:r>
          </w:p>
        </w:tc>
        <w:tc>
          <w:tcPr>
            <w:tcW w:w="2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Application of Accounting Policy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U.S. Deferred Tax Assets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had $171 million of net deferred tax assets at December 31, 2025, of which $180 million in gross deferred tax assets are related to U.S. jurisdictions.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 2025, we concluded that we were not more-likely-than-not to realize assets related to certain attributes with a limited statutory carryforward, and we recorded a $12 million valuation allowance detriment through income from continuing operations and an additional $1 million valuation allowance increase through other comprehensive income (loss). Our conclusion was based upon the One Big Beautiful Bill Act enacted in July 2025 which included modifications to the U.S. taxation of worldwide income and the deductibility of interest expense, among other tax changes. As a result, we no longer expect to be able to utilize a substantial amount of our foreign tax credit carryforwards to offset future tax prior to their expiration.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 2024, we concluded that we were more-likely-than-not to realize assets related to certain attributes with a limited statutory carryforward and we recorded a $7 million valuation allowance benefit through income from continuing operations and an additional $2 million valuation allowance reduction through other comprehensive income (loss).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 2023, we concluded that we were not more-likely-than-not to realize assets related to certain attributes with a limited statutory carryforward, and we recorded a $33 million valuation allowance detriment through income from continuing operations and an additional $1 million valuation allowance increase through other comprehensive income (loss). Our conclusion was based upon Internal Revenue Notices 2023-55 and 2023-80, both issued in 2023 (the "Notices"), which provide taxpayers relief in determining whether a foreign tax meets the definition of a foreign income tax as required under final foreign tax credit regulations the U.S. Treasury published in the Federal Register on January 4, 2022. The Notices provide relief for foreign taxes paid in any taxable year beginning on or after December 28, 2021, and ending before the date that a notice or other guidance withdrawing or modifying the temporary relief is issued (or any later date specified in such notice or other guidance). We determined a significant amount of the post-2021 foreign withholding taxes will now be eligible for U.S. foreign income tax credit treatment and therefore our U.S. operations will annually be generating new foreign tax credits which should be creditable in the year generated. As a result, we no longer expect to be able to utilize a substantial amount of our foreign tax credit carryforwards to offset future tax prior to their expiration.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Additionally, we concluded that we were more-likely-than-not to realize certain state deferred tax assets, and, as a result, we recorded a $4 million valuation allowance benefit through income from continuing operations. </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31445"/>
                <wp:effectExtent l="0" t="0" r="0" b="0"/>
                <wp:wrapNone/>
                <wp:docPr id="52" name="Frame5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used various estimates and assumptions to evaluate the need for the valuation allowance in the U.S. These included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projected revenues and operating income for our U.S. entities,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projected royalties and management fees paid to U.S. entities from subsidiaries outside the U.S.,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projected Net CFC Tested Income ("NCTI") inclusion in our U.S. taxable income,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 xml:space="preserve">estimated required contributions to our U.S. retirement plans,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the estimated impact of U.S. tax reform and other U.S. tax legislation,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interest rates on projected U.S. borrowings.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Our projections assumed continued growth of our revenues and operating profit both in the U.S. and outside the U.S. Had we used different assumptions, we might have made different conclusions about the need for valuation allowances. For example, if we did not have growth in either the U.S. or non-U.S. jurisdictions with respect to the NCTI inclusions or using different assumptions, we might have concluded that we require a full valuation allowance offsetting our U.S. deferred tax assets.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Non-U.S. Deferred Tax Assets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 2025, we recognized a tax benefit of $1 million through income from continuing operations from a change in judgment about the need for valuation allowances for deferred tax assets in certain non-U.S. jurisdictions. In 2024, we recognized a tax expense of $1 million through income from continuing operations from a change in judgment about the need for valuation allowances for deferred tax assets in certain non-U.S. jurisdictions.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Business Acquisitions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Accounting Policy</w:t>
      </w:r>
    </w:p>
    <w:p>
      <w:pPr>
        <w:pStyle w:val="TextBody"/>
        <w:bidi w:val="0"/>
        <w:spacing w:lineRule="auto" w:line="288" w:before="0" w:after="0"/>
        <w:jc w:val="left"/>
        <w:rPr/>
      </w:pPr>
      <w:r>
        <w:rPr>
          <w:rFonts w:ascii="Times New Roman;serif" w:hAnsi="Times New Roman;serif"/>
          <w:b w:val="false"/>
          <w:color w:val="000000"/>
          <w:sz w:val="18"/>
        </w:rPr>
        <w:t xml:space="preserve">In the three years ended December 31, 2025, we have completed multiple business acquisitions. When we acquire a controlling interest in an entity that is determined to meet the definition of a business, we apply the acquisition method described in FASB ASC Topic 805, </w:t>
      </w:r>
      <w:r>
        <w:rPr>
          <w:rFonts w:ascii="Times New Roman;serif" w:hAnsi="Times New Roman;serif"/>
          <w:b w:val="false"/>
          <w:i/>
          <w:color w:val="000000"/>
          <w:sz w:val="18"/>
        </w:rPr>
        <w:t>Business Combinations</w:t>
      </w:r>
      <w:r>
        <w:rPr>
          <w:rFonts w:ascii="Times New Roman;serif" w:hAnsi="Times New Roman;serif"/>
          <w:b w:val="false"/>
          <w:color w:val="000000"/>
          <w:sz w:val="18"/>
        </w:rPr>
        <w:t>. Using the acquisition method, we allocate the total purchase price to the assets acquired and the liabilities assumed based on their estimated fair values at the acquisition date. Any excess purchase price over the fair value of the assets acquired and the liabilities assumed is recognized as goodwill.</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Application of Accounting Policy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purchase price allocation process requires us to make significant estimates and assumptions, primarily related to intangible assets. The allocation of the purchase consideration transferred may be subject to revision based on the final determination of fair values during the measurement period. We use all available information to make these fair value determinations and, for material business acquisitions, we engage an outside valuation specialist to assist in the fair value determination of the acquired intangible assets.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typically use an income method to estimate the fair value of intangible assets, which is based primarily on future cash flow projections. The forecasted cash flows also reflect significant assumptions related to expected customer attrition rates, revenue growth rates, market participant synergies and discount rates applied to the cash flows. Unanticipated events and circumstances may occur which may affect the accuracy or validity of such assumptions. The estimated fair values assigned to assets acquired and liabilities assumed in a purchase price allocation can have a significant effect on future results of operations. For example, a higher fair value assigned to intangible assets results in higher amortization expense, which results in lower net income.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31445"/>
                <wp:effectExtent l="0" t="0" r="0" b="0"/>
                <wp:wrapNone/>
                <wp:docPr id="53" name="Frame5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Goodwill, Other Intangible Assets and Property and Equipment Valuations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Accounting Policy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 xml:space="preserve">At December 31, 2025, we had property and equipment of $1,130.5 million, goodwill of $1,515.3 million and other intangible assets of $385.2 million, net of accumulated depreciation and amortization. We review these assets for possible impairment using the guidance in FASB ASC Topic 350, </w:t>
      </w:r>
      <w:r>
        <w:rPr>
          <w:rFonts w:ascii="Times New Roman;serif" w:hAnsi="Times New Roman;serif"/>
          <w:b w:val="false"/>
          <w:i/>
          <w:color w:val="000000"/>
          <w:sz w:val="18"/>
        </w:rPr>
        <w:t>Intangibles - Goodwill and Other</w:t>
      </w:r>
      <w:r>
        <w:rPr>
          <w:rFonts w:ascii="Times New Roman;serif" w:hAnsi="Times New Roman;serif"/>
          <w:b w:val="false"/>
          <w:color w:val="000000"/>
          <w:sz w:val="18"/>
        </w:rPr>
        <w:t xml:space="preserve">, for goodwill and other intangible assets and FASB ASC Topic 360, </w:t>
      </w:r>
      <w:r>
        <w:rPr>
          <w:rFonts w:ascii="Times New Roman;serif" w:hAnsi="Times New Roman;serif"/>
          <w:b w:val="false"/>
          <w:i/>
          <w:color w:val="000000"/>
          <w:sz w:val="18"/>
        </w:rPr>
        <w:t>Property, Plant and Equipment</w:t>
      </w:r>
      <w:r>
        <w:rPr>
          <w:rFonts w:ascii="Times New Roman;serif" w:hAnsi="Times New Roman;serif"/>
          <w:b w:val="false"/>
          <w:color w:val="000000"/>
          <w:sz w:val="18"/>
        </w:rPr>
        <w:t>, for property and equipment. Our review for impairment requires the use of significant judgments about the future performance of our operating subsidiaries. Due to the many variables inherent in the estimates of the fair value of these assets, differences in assumptions could have a material effect on the impairment analyses.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Goodwill</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We review goodwill for impairment annually and whenever events or circumstances make it more-likely-than-not that impairment may have occurred. Application of the goodwill impairment test requires judgment, including the identification of reporting units, assignment of assets and liabilities to reporting units, assignment of goodwill to reporting units, and determination of the fair value of each reporting unit.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Under U.S. GAAP, the annual impairment test may be either a quantitative test or a qualitative assessment. The qualitative assessment can be performed in order to determine whether facts and circumstances support a determination that reporting unit fair values are greater than their carrying values.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For our annual impairment test, we performed a qualitative assessment on these reporting units as of October 1, 2025. Factors considered in the qualitative assessment included, among other things, macroeconomic conditions, industry and market conditions, financial performance of the reporting unit, and other relevant entity and reporting unit considerations. Based on the results of the qualitative assessment, we determined that it was not more-likely-than-not that the carrying value of our reporting units exceeded their fair value. As such, we determined that a quantitative assessment was not necessary. Adverse changes in these factors could result in future impairment.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Finite-lived Intangible Assets and Property and Equipment</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review finite-lived intangible assets and property and equipment for impairment whenever events or changes in circumstances indicate that the related carrying amounts may not be recoverable. For purposes of assessing impairment, assets are grouped at the lowest levels for which there are identifiable cash flows that are largely independent of the cash flows of other groups of assets. To determine whether impairment has occurred, we compare estimates of the future undiscounted net cash flows of groups of assets to their carrying value.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Estimates of Future Cash Flows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made significant assumptions when preparing financial projections of cash flow used in our impairment analyses, including assumptions of future results of operations including revenue growth rate and operating income over the forecast period, capital requirements, income taxes, long-term growth rates for determining terminal value, and discount rates. Our projections assumed continued growth of our revenues and operating profit both in the U.S. and outside the U.S. Our conclusions regarding asset impairment may have been different if we had used different assumptions.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31445"/>
                <wp:effectExtent l="0" t="0" r="0" b="0"/>
                <wp:wrapNone/>
                <wp:docPr id="54" name="Frame5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Retirement and Postemployment Benefit Obligations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provide benefits through defined benefit pension plans and retiree medical benefit plans and under statutory requirements.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Accounting Policy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 xml:space="preserve">We account for pension and other retirement benefit obligations under FASB ASC Topic 715, </w:t>
      </w:r>
      <w:r>
        <w:rPr>
          <w:rFonts w:ascii="Times New Roman;serif" w:hAnsi="Times New Roman;serif"/>
          <w:b w:val="false"/>
          <w:i/>
          <w:color w:val="000000"/>
          <w:sz w:val="18"/>
        </w:rPr>
        <w:t>Compensation – Retirement Benefits.</w:t>
      </w:r>
      <w:r>
        <w:rPr>
          <w:color w:val="000000"/>
        </w:rPr>
        <w:t> </w:t>
      </w:r>
      <w:r>
        <w:rPr>
          <w:rFonts w:ascii="Times New Roman;serif" w:hAnsi="Times New Roman;serif"/>
          <w:b w:val="false"/>
          <w:color w:val="000000"/>
          <w:sz w:val="18"/>
        </w:rPr>
        <w:t xml:space="preserve">We account for postemployment benefit obligations, including workers’ compensation obligations, under FASB ASC Topic 712, </w:t>
      </w:r>
      <w:r>
        <w:rPr>
          <w:rFonts w:ascii="Times New Roman;serif" w:hAnsi="Times New Roman;serif"/>
          <w:b w:val="false"/>
          <w:i/>
          <w:color w:val="000000"/>
          <w:sz w:val="18"/>
        </w:rPr>
        <w:t>Compensation – Nonretirement Postemployment Benefits</w:t>
      </w:r>
      <w:r>
        <w:rPr>
          <w:rFonts w:ascii="Times New Roman;serif" w:hAnsi="Times New Roman;serif"/>
          <w:b w:val="false"/>
          <w:color w:val="000000"/>
          <w:sz w:val="18"/>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To account for these benefits, we make assumptions of expected return on assets, discount rates, inflation, demographic factors and changes in the laws and regulations covering the benefit obligations. Because of the inherent volatility of these items and because the obligations are significant, changes in the assumptions could have a material effect on our liabilities and expenses related to these benefits.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Our most significant retirement plans include our primary U.S. pension plan and the retiree medical plans of our former coal business that were collectively bargained with the United Mine Workers of America (the “UMWA”). The critical accounting estimates that determine the carrying values of liabilities and the resulting annual expense are discussed below.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Application of Accounting Policy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Discount Rate Assumptions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For plans accounted under FASB ASC Topic 715, we discount estimated future payments using discount rates based on market conditions at the end of the year. In general, our liability changes in an inverse relationship to interest rates. That is, the lower the discount rate, the higher the associated plan obligation.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U.S. Plans</w:t>
      </w:r>
    </w:p>
    <w:p>
      <w:pPr>
        <w:pStyle w:val="TextBody"/>
        <w:bidi w:val="0"/>
        <w:spacing w:lineRule="auto" w:line="288" w:before="0" w:after="0"/>
        <w:jc w:val="left"/>
        <w:rPr/>
      </w:pPr>
      <w:r>
        <w:rPr>
          <w:rFonts w:ascii="Times New Roman;serif" w:hAnsi="Times New Roman;serif"/>
          <w:b w:val="false"/>
          <w:color w:val="000000"/>
          <w:sz w:val="18"/>
        </w:rPr>
        <w:t>For our largest retirement plans, including the primary U.S. pension and UMWA plans and Black Lung obligations, we derive the discount rates used to measure the present value of benefit obligations using the cash flow matching method. Under this method, we compare the plan’s projected payment obligations by year with the corresponding yields on a Mercer yield curve. Each year’s projected cash flows are then discounted back to their present value at the measurement date and an overall discount rate is determined. The overall discount rate is then rounded to the nearest tenth of a percentage point.</w:t>
      </w: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used Mercer’s Above-Mean Curve to determine the discount rates for retirement cost and the year-end benefit obligation. To derive the Above-Mean Curve, Mercer uses only those bonds with a yield higher than the mean yield of the same portfolio of high quality bonds. The Above-Mean Curve reflects the way an active investment manager would select high-quality bonds to match the cash flows of the plan.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Non-U.S. Plans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use the same cash flow matching method to derive the discount rates for our major non-U.S. retirement plans. Where the cash flow matching method is not possible, rates of local high-quality long-term government bonds are used to estimate the discount rate.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discount rates for the primary U.S. pension plan, UMWA retiree medical plans and Black Lung obligations were:</w:t>
      </w:r>
    </w:p>
    <w:tbl>
      <w:tblPr>
        <w:tblW w:w="10205" w:type="dxa"/>
        <w:jc w:val="left"/>
        <w:tblInd w:w="0" w:type="dxa"/>
        <w:tblLayout w:type="fixed"/>
        <w:tblCellMar>
          <w:top w:w="28" w:type="dxa"/>
          <w:left w:w="28" w:type="dxa"/>
          <w:bottom w:w="28" w:type="dxa"/>
          <w:right w:w="28" w:type="dxa"/>
        </w:tblCellMar>
      </w:tblPr>
      <w:tblGrid>
        <w:gridCol w:w="649"/>
        <w:gridCol w:w="534"/>
        <w:gridCol w:w="537"/>
        <w:gridCol w:w="195"/>
        <w:gridCol w:w="196"/>
        <w:gridCol w:w="286"/>
        <w:gridCol w:w="109"/>
        <w:gridCol w:w="109"/>
        <w:gridCol w:w="109"/>
        <w:gridCol w:w="188"/>
        <w:gridCol w:w="188"/>
        <w:gridCol w:w="256"/>
        <w:gridCol w:w="109"/>
        <w:gridCol w:w="109"/>
        <w:gridCol w:w="109"/>
        <w:gridCol w:w="188"/>
        <w:gridCol w:w="188"/>
        <w:gridCol w:w="256"/>
        <w:gridCol w:w="109"/>
        <w:gridCol w:w="109"/>
        <w:gridCol w:w="109"/>
        <w:gridCol w:w="195"/>
        <w:gridCol w:w="196"/>
        <w:gridCol w:w="286"/>
        <w:gridCol w:w="109"/>
        <w:gridCol w:w="109"/>
        <w:gridCol w:w="109"/>
        <w:gridCol w:w="188"/>
        <w:gridCol w:w="188"/>
        <w:gridCol w:w="256"/>
        <w:gridCol w:w="109"/>
        <w:gridCol w:w="109"/>
        <w:gridCol w:w="109"/>
        <w:gridCol w:w="188"/>
        <w:gridCol w:w="188"/>
        <w:gridCol w:w="256"/>
        <w:gridCol w:w="109"/>
        <w:gridCol w:w="109"/>
        <w:gridCol w:w="109"/>
        <w:gridCol w:w="195"/>
        <w:gridCol w:w="196"/>
        <w:gridCol w:w="286"/>
        <w:gridCol w:w="109"/>
        <w:gridCol w:w="109"/>
        <w:gridCol w:w="109"/>
        <w:gridCol w:w="188"/>
        <w:gridCol w:w="188"/>
        <w:gridCol w:w="256"/>
        <w:gridCol w:w="109"/>
        <w:gridCol w:w="109"/>
        <w:gridCol w:w="109"/>
        <w:gridCol w:w="188"/>
        <w:gridCol w:w="188"/>
        <w:gridCol w:w="302"/>
      </w:tblGrid>
      <w:tr>
        <w:trPr/>
        <w:tc>
          <w:tcPr>
            <w:tcW w:w="64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1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Primary U.S.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UMWA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Black Lung</w:t>
            </w:r>
          </w:p>
        </w:tc>
      </w:tr>
      <w:tr>
        <w:trPr/>
        <w:tc>
          <w:tcPr>
            <w:tcW w:w="17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2023</w:t>
            </w:r>
          </w:p>
        </w:tc>
      </w:tr>
      <w:tr>
        <w:trPr/>
        <w:tc>
          <w:tcPr>
            <w:tcW w:w="17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Discount rate:</w:t>
            </w:r>
          </w:p>
        </w:tc>
        <w:tc>
          <w:tcPr>
            <w:tcW w:w="6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Retirement cost</w:t>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5.6</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5.6</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5.5</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2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obligation at year end</w:t>
            </w:r>
          </w:p>
        </w:tc>
        <w:tc>
          <w:tcPr>
            <w:tcW w:w="39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5.4</w:t>
            </w:r>
            <w:r>
              <w:rPr>
                <w:color w:val="000000"/>
              </w:rPr>
              <w:t> </w:t>
            </w:r>
          </w:p>
        </w:tc>
        <w:tc>
          <w:tcPr>
            <w:tcW w:w="28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2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2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5.3</w:t>
            </w:r>
            <w:r>
              <w:rPr>
                <w:color w:val="000000"/>
              </w:rPr>
              <w:t> </w:t>
            </w:r>
          </w:p>
        </w:tc>
        <w:tc>
          <w:tcPr>
            <w:tcW w:w="28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2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2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5.2</w:t>
            </w:r>
            <w:r>
              <w:rPr>
                <w:color w:val="000000"/>
              </w:rPr>
              <w:t> </w:t>
            </w:r>
          </w:p>
        </w:tc>
        <w:tc>
          <w:tcPr>
            <w:tcW w:w="28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2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302"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Sensitivity Analysis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discount rate we select at year end materially affects the valuations of plan obligations at year end and the calculations of net periodic expenses for the following year. The tables below compare hypothetical plan obligation valuations for our largest plans as of December 31, 2025, actual expenses for 2025 and projected expenses for 2026 assuming we had used discount rates that were one percentage point lower or higher.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Plan Obligations at December 31, 2025</w:t>
      </w:r>
    </w:p>
    <w:tbl>
      <w:tblPr>
        <w:tblW w:w="4682" w:type="dxa"/>
        <w:jc w:val="left"/>
        <w:tblInd w:w="0" w:type="dxa"/>
        <w:tblLayout w:type="fixed"/>
        <w:tblCellMar>
          <w:top w:w="28" w:type="dxa"/>
          <w:left w:w="28" w:type="dxa"/>
          <w:bottom w:w="28" w:type="dxa"/>
          <w:right w:w="28" w:type="dxa"/>
        </w:tblCellMar>
      </w:tblPr>
      <w:tblGrid>
        <w:gridCol w:w="727"/>
        <w:gridCol w:w="640"/>
        <w:gridCol w:w="642"/>
        <w:gridCol w:w="229"/>
        <w:gridCol w:w="649"/>
        <w:gridCol w:w="128"/>
        <w:gridCol w:w="205"/>
        <w:gridCol w:w="205"/>
        <w:gridCol w:w="206"/>
        <w:gridCol w:w="307"/>
        <w:gridCol w:w="307"/>
        <w:gridCol w:w="437"/>
      </w:tblGrid>
      <w:tr>
        <w:trPr/>
        <w:tc>
          <w:tcPr>
            <w:tcW w:w="72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Hypothetical</w:t>
              <w:br/>
              <w:t>1% lower</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Actual</w:t>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Hypothetical</w:t>
              <w:br/>
              <w:t>1% higher</w:t>
            </w:r>
          </w:p>
        </w:tc>
      </w:tr>
      <w:tr>
        <w:trPr/>
        <w:tc>
          <w:tcPr>
            <w:tcW w:w="20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Primary U.S. pension plan</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568.3</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520.7</w:t>
            </w:r>
          </w:p>
        </w:tc>
      </w:tr>
      <w:tr>
        <w:trPr/>
        <w:tc>
          <w:tcPr>
            <w:tcW w:w="200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UMWA plans</w:t>
            </w:r>
          </w:p>
        </w:tc>
        <w:tc>
          <w:tcPr>
            <w:tcW w:w="878"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201.0 </w:t>
            </w:r>
          </w:p>
        </w:tc>
        <w:tc>
          <w:tcPr>
            <w:tcW w:w="128"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185.2</w:t>
            </w:r>
          </w:p>
        </w:tc>
        <w:tc>
          <w:tcPr>
            <w:tcW w:w="105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171.4</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31445"/>
                <wp:effectExtent l="0" t="0" r="0" b="0"/>
                <wp:wrapNone/>
                <wp:docPr id="55" name="Frame5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Actual 2025 and Projected 2026 Expense (Income)</w:t>
      </w:r>
    </w:p>
    <w:tbl>
      <w:tblPr>
        <w:tblW w:w="9328" w:type="dxa"/>
        <w:jc w:val="left"/>
        <w:tblInd w:w="0" w:type="dxa"/>
        <w:tblLayout w:type="fixed"/>
        <w:tblCellMar>
          <w:top w:w="28" w:type="dxa"/>
          <w:left w:w="28" w:type="dxa"/>
          <w:bottom w:w="28" w:type="dxa"/>
          <w:right w:w="28" w:type="dxa"/>
        </w:tblCellMar>
      </w:tblPr>
      <w:tblGrid>
        <w:gridCol w:w="971"/>
        <w:gridCol w:w="855"/>
        <w:gridCol w:w="858"/>
        <w:gridCol w:w="196"/>
        <w:gridCol w:w="451"/>
        <w:gridCol w:w="286"/>
        <w:gridCol w:w="272"/>
        <w:gridCol w:w="272"/>
        <w:gridCol w:w="642"/>
        <w:gridCol w:w="272"/>
        <w:gridCol w:w="272"/>
        <w:gridCol w:w="652"/>
        <w:gridCol w:w="196"/>
        <w:gridCol w:w="451"/>
        <w:gridCol w:w="256"/>
        <w:gridCol w:w="265"/>
        <w:gridCol w:w="265"/>
        <w:gridCol w:w="624"/>
        <w:gridCol w:w="265"/>
        <w:gridCol w:w="265"/>
        <w:gridCol w:w="742"/>
      </w:tblGrid>
      <w:tr>
        <w:trPr/>
        <w:tc>
          <w:tcPr>
            <w:tcW w:w="97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 except for percentages)</w:t>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Hypothetical sensitivity analysis</w:t>
              <w:br/>
              <w:t>for discount rate assumption</w:t>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Hypothetical sensitivity analysis</w:t>
              <w:br/>
              <w:t>for discount rate assumption</w:t>
            </w:r>
          </w:p>
        </w:tc>
      </w:tr>
      <w:tr>
        <w:trPr/>
        <w:tc>
          <w:tcPr>
            <w:tcW w:w="26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Actual</w:t>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 lower</w:t>
            </w:r>
          </w:p>
        </w:tc>
        <w:tc>
          <w:tcPr>
            <w:tcW w:w="11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 higher</w:t>
            </w:r>
          </w:p>
        </w:tc>
        <w:tc>
          <w:tcPr>
            <w:tcW w:w="9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Projected</w:t>
            </w:r>
          </w:p>
        </w:tc>
        <w:tc>
          <w:tcPr>
            <w:tcW w:w="11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 lower</w:t>
            </w:r>
          </w:p>
        </w:tc>
        <w:tc>
          <w:tcPr>
            <w:tcW w:w="12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 higher</w:t>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Years Ending December 31,</w:t>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1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12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r>
      <w:tr>
        <w:trPr/>
        <w:tc>
          <w:tcPr>
            <w:tcW w:w="26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Primary U.S. pension plan</w:t>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Discount rate assumption</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5.6</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6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Retirement cost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UMWA plans</w:t>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Discount rate assumption</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5.6</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6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8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Retirement cost</w:t>
            </w:r>
          </w:p>
        </w:tc>
        <w:tc>
          <w:tcPr>
            <w:tcW w:w="19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5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(8.1)</w:t>
            </w:r>
          </w:p>
        </w:tc>
        <w:tc>
          <w:tcPr>
            <w:tcW w:w="28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w:t>
            </w:r>
          </w:p>
        </w:tc>
        <w:tc>
          <w:tcPr>
            <w:tcW w:w="642"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w:t>
            </w:r>
          </w:p>
        </w:tc>
        <w:tc>
          <w:tcPr>
            <w:tcW w:w="652"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2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62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742"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18"/>
        </w:rPr>
        <w:t>Expected-Return-on-Assets</w:t>
      </w:r>
      <w:r>
        <w:rPr>
          <w:color w:val="000000"/>
        </w:rPr>
        <w:t xml:space="preserve"> </w:t>
      </w:r>
      <w:r>
        <w:rPr>
          <w:rFonts w:ascii="Times New Roman;serif" w:hAnsi="Times New Roman;serif"/>
          <w:b/>
          <w:i/>
          <w:color w:val="000000"/>
          <w:sz w:val="18"/>
        </w:rPr>
        <w:t>Assumption</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Our expected-return-on-assets assumption, which materially affects our net periodic benefit cost, reflects the long-term average rate of return we expect the plan assets to earn. We select the expected-return-on-assets assumption using advice from our investment advisor considering each plan’s asset allocation targets and expected overall investment manager performance and a review of the most recent long-term historical average compounded rates of return, as applicable. We selected 7.00% as the expected-return-on-assets assumption for our primary U.S. pension plan and 8.00% for our UMWA retiree medical plans for actual 2025 expense. We selected 6.25% as the expected-return-on-assets assumption for our primary U.S. pension plan and 8.00% for our UMWA retiree medical plans for projected 2026 expense.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Sensitivity Analysis</w:t>
      </w:r>
    </w:p>
    <w:p>
      <w:pPr>
        <w:pStyle w:val="TextBody"/>
        <w:bidi w:val="0"/>
        <w:spacing w:lineRule="auto" w:line="288" w:before="0" w:after="0"/>
        <w:jc w:val="left"/>
        <w:rPr/>
      </w:pPr>
      <w:r>
        <w:rPr>
          <w:rFonts w:ascii="Times New Roman;serif" w:hAnsi="Times New Roman;serif"/>
          <w:b w:val="false"/>
          <w:i/>
          <w:color w:val="000000"/>
          <w:sz w:val="18"/>
        </w:rPr>
        <w:t>Effect of using different expected-rate-of-return assumptions. </w:t>
      </w:r>
      <w:r>
        <w:rPr>
          <w:rFonts w:ascii="Times New Roman;serif" w:hAnsi="Times New Roman;serif"/>
          <w:b w:val="false"/>
          <w:color w:val="000000"/>
          <w:sz w:val="18"/>
        </w:rPr>
        <w:t>Our 2025 and projected 2026 expense would have been different if we had used different expected-rate-of-return assumptions. For every hypothetical change of one percentage point in the assumed long-term rate of return on plan assets (and holding other assumptions constant), our actual 2025 and projected 2026 expense would be as follows:</w:t>
      </w:r>
    </w:p>
    <w:tbl>
      <w:tblPr>
        <w:tblW w:w="9317" w:type="dxa"/>
        <w:jc w:val="left"/>
        <w:tblInd w:w="0" w:type="dxa"/>
        <w:tblLayout w:type="fixed"/>
        <w:tblCellMar>
          <w:top w:w="28" w:type="dxa"/>
          <w:left w:w="28" w:type="dxa"/>
          <w:bottom w:w="28" w:type="dxa"/>
          <w:right w:w="28" w:type="dxa"/>
        </w:tblCellMar>
      </w:tblPr>
      <w:tblGrid>
        <w:gridCol w:w="993"/>
        <w:gridCol w:w="874"/>
        <w:gridCol w:w="877"/>
        <w:gridCol w:w="196"/>
        <w:gridCol w:w="451"/>
        <w:gridCol w:w="286"/>
        <w:gridCol w:w="273"/>
        <w:gridCol w:w="273"/>
        <w:gridCol w:w="644"/>
        <w:gridCol w:w="273"/>
        <w:gridCol w:w="273"/>
        <w:gridCol w:w="649"/>
        <w:gridCol w:w="196"/>
        <w:gridCol w:w="376"/>
        <w:gridCol w:w="256"/>
        <w:gridCol w:w="266"/>
        <w:gridCol w:w="266"/>
        <w:gridCol w:w="626"/>
        <w:gridCol w:w="266"/>
        <w:gridCol w:w="266"/>
        <w:gridCol w:w="737"/>
      </w:tblGrid>
      <w:tr>
        <w:trPr/>
        <w:tc>
          <w:tcPr>
            <w:tcW w:w="99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 except for percentages)</w:t>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Hypothetical sensitivity analysis</w:t>
              <w:br/>
              <w:t>for expected-return-on asset</w:t>
              <w:br/>
              <w:t>assumption</w:t>
            </w:r>
          </w:p>
        </w:tc>
        <w:tc>
          <w:tcPr>
            <w:tcW w:w="82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2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Hypothetical sensitivity analysis</w:t>
              <w:br/>
              <w:t>for expected-return-on asset</w:t>
              <w:br/>
              <w:t>assumption</w:t>
            </w:r>
          </w:p>
        </w:tc>
      </w:tr>
      <w:tr>
        <w:trPr/>
        <w:tc>
          <w:tcPr>
            <w:tcW w:w="27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Actual</w:t>
            </w:r>
          </w:p>
        </w:tc>
        <w:tc>
          <w:tcPr>
            <w:tcW w:w="11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 lower</w:t>
            </w:r>
          </w:p>
        </w:tc>
        <w:tc>
          <w:tcPr>
            <w:tcW w:w="11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 higher</w:t>
            </w:r>
          </w:p>
        </w:tc>
        <w:tc>
          <w:tcPr>
            <w:tcW w:w="8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Projected</w:t>
            </w:r>
          </w:p>
        </w:tc>
        <w:tc>
          <w:tcPr>
            <w:tcW w:w="11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 lower</w:t>
            </w:r>
          </w:p>
        </w:tc>
        <w:tc>
          <w:tcPr>
            <w:tcW w:w="12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 higher</w:t>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Years Ending December 31,</w:t>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1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r>
      <w:tr>
        <w:trPr/>
        <w:tc>
          <w:tcPr>
            <w:tcW w:w="27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Expected-return-on-asset assumption</w:t>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Primary U.S. pension plan</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7.00</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6.00 </w:t>
            </w:r>
          </w:p>
        </w:tc>
        <w:tc>
          <w:tcPr>
            <w:tcW w:w="6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8.00 </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5.25 </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7.25 </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UMWA plans</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8.00</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7.00 </w:t>
            </w:r>
          </w:p>
        </w:tc>
        <w:tc>
          <w:tcPr>
            <w:tcW w:w="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9.00 </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7.00 </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9.00 </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Primary U.S. pension plan</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UMWA plans</w:t>
            </w:r>
          </w:p>
        </w:tc>
        <w:tc>
          <w:tcPr>
            <w:tcW w:w="64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(8.1)</w:t>
            </w:r>
          </w:p>
        </w:tc>
        <w:tc>
          <w:tcPr>
            <w:tcW w:w="28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64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w:t>
            </w:r>
          </w:p>
        </w:tc>
        <w:tc>
          <w:tcPr>
            <w:tcW w:w="64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2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62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737"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31445"/>
                <wp:effectExtent l="0" t="0" r="0" b="0"/>
                <wp:wrapNone/>
                <wp:docPr id="56" name="Frame5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Effect of improving or deteriorating actual future market returns.</w:t>
      </w:r>
      <w:r>
        <w:rPr>
          <w:color w:val="000000"/>
        </w:rPr>
        <w:t> </w:t>
      </w:r>
      <w:r>
        <w:rPr>
          <w:rFonts w:ascii="Times New Roman;serif" w:hAnsi="Times New Roman;serif"/>
          <w:b w:val="false"/>
          <w:color w:val="000000"/>
          <w:sz w:val="18"/>
        </w:rPr>
        <w:t>Our funded status at December 31, 2026, and our 2027 expense will be different from currently projected amounts if our projected 2026 returns are better or worse than the returns we have assumed for each plan.</w:t>
      </w:r>
    </w:p>
    <w:p>
      <w:pPr>
        <w:pStyle w:val="TextBody"/>
        <w:bidi w:val="0"/>
        <w:spacing w:before="0" w:after="0"/>
        <w:jc w:val="left"/>
        <w:rPr/>
      </w:pPr>
      <w:r>
        <w:rPr/>
      </w:r>
    </w:p>
    <w:tbl>
      <w:tblPr>
        <w:tblW w:w="8161" w:type="dxa"/>
        <w:jc w:val="left"/>
        <w:tblInd w:w="0" w:type="dxa"/>
        <w:tblLayout w:type="fixed"/>
        <w:tblCellMar>
          <w:top w:w="28" w:type="dxa"/>
          <w:left w:w="28" w:type="dxa"/>
          <w:bottom w:w="28" w:type="dxa"/>
          <w:right w:w="28" w:type="dxa"/>
        </w:tblCellMar>
      </w:tblPr>
      <w:tblGrid>
        <w:gridCol w:w="1264"/>
        <w:gridCol w:w="1113"/>
        <w:gridCol w:w="1117"/>
        <w:gridCol w:w="196"/>
        <w:gridCol w:w="331"/>
        <w:gridCol w:w="256"/>
        <w:gridCol w:w="425"/>
        <w:gridCol w:w="425"/>
        <w:gridCol w:w="998"/>
        <w:gridCol w:w="425"/>
        <w:gridCol w:w="425"/>
        <w:gridCol w:w="1186"/>
      </w:tblGrid>
      <w:tr>
        <w:trPr/>
        <w:tc>
          <w:tcPr>
            <w:tcW w:w="1264"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 except for percentages)</w:t>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4"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Hypothetical sensitivity analysis of 2026 asset return</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better or worse than expected</w:t>
            </w:r>
          </w:p>
        </w:tc>
      </w:tr>
      <w:tr>
        <w:trPr/>
        <w:tc>
          <w:tcPr>
            <w:tcW w:w="34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Years Ending December 31,</w:t>
            </w:r>
          </w:p>
        </w:tc>
        <w:tc>
          <w:tcPr>
            <w:tcW w:w="7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Projected</w:t>
            </w:r>
          </w:p>
        </w:tc>
        <w:tc>
          <w:tcPr>
            <w:tcW w:w="18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Better return</w:t>
            </w:r>
          </w:p>
        </w:tc>
        <w:tc>
          <w:tcPr>
            <w:tcW w:w="2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Worse return</w:t>
            </w:r>
          </w:p>
        </w:tc>
      </w:tr>
      <w:tr>
        <w:trPr/>
        <w:tc>
          <w:tcPr>
            <w:tcW w:w="34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Return on investments in 2026</w:t>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Primary U.S. pension plan</w:t>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12.50 </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UMWA plans</w:t>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16.00 </w:t>
            </w:r>
          </w:p>
        </w:tc>
        <w:tc>
          <w:tcPr>
            <w:tcW w:w="9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Projected Funded Status at December 31, 2026</w:t>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Primary U.S. pension plan</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UMWA plans</w:t>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9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18"/>
              </w:rPr>
              <w:t>2027 Expense</w:t>
            </w:r>
            <w:r>
              <w:rPr>
                <w:rFonts w:ascii="Times New Roman;serif" w:hAnsi="Times New Roman;serif"/>
                <w:b w:val="false"/>
                <w:color w:val="000000"/>
                <w:sz w:val="12"/>
              </w:rPr>
              <w:t>(a)</w:t>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Primary U.S. pension plan</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UMWA plans</w:t>
            </w:r>
          </w:p>
        </w:tc>
        <w:tc>
          <w:tcPr>
            <w:tcW w:w="52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998"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18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14"/>
        </w:rPr>
      </w:pPr>
      <w:r>
        <w:rPr>
          <w:rFonts w:ascii="Times New Roman;serif" w:hAnsi="Times New Roman;serif"/>
          <w:b w:val="false"/>
          <w:color w:val="000000"/>
          <w:sz w:val="14"/>
        </w:rPr>
        <w:t>(a)Actual future returns on investments will not affect our earnings until 2027 since the earnings in 2026 will be based on the "expected return on assets" assumption.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Effect of using fair market value of assets to determine expense.  </w:t>
      </w:r>
      <w:r>
        <w:rPr>
          <w:rFonts w:ascii="Times New Roman;serif" w:hAnsi="Times New Roman;serif"/>
          <w:b w:val="false"/>
          <w:color w:val="000000"/>
          <w:sz w:val="18"/>
        </w:rPr>
        <w:t>For our defined-benefit pension plans, we calculate expected investment returns by applying the expected long-term rate of return to the market-related value of plan assets. In addition, our plan asset actuarial gains and losses that are subject to amortization are based on the market-related value.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market-related value of the plan assets is different from the actual or fair market value of the assets. The actual or fair market value is, at a point in time, the value of the assets that is available to make payments to pensioners and to cover any transaction costs. The market-related value recognizes changes in fair value from the expected value on a straight-line basis over five years. This recognition method spreads the effects of year-over-year volatility in the financial markets over several years.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Our expenses related to our primary U.S. pension plan would have been different if our accounting policy were to use the fair market value of plan assets instead of the market-related value to recognize investment gains and losses.</w:t>
      </w:r>
    </w:p>
    <w:tbl>
      <w:tblPr>
        <w:tblW w:w="8911" w:type="dxa"/>
        <w:jc w:val="left"/>
        <w:tblInd w:w="0" w:type="dxa"/>
        <w:tblLayout w:type="fixed"/>
        <w:tblCellMar>
          <w:top w:w="28" w:type="dxa"/>
          <w:left w:w="28" w:type="dxa"/>
          <w:bottom w:w="28" w:type="dxa"/>
          <w:right w:w="28" w:type="dxa"/>
        </w:tblCellMar>
      </w:tblPr>
      <w:tblGrid>
        <w:gridCol w:w="949"/>
        <w:gridCol w:w="837"/>
        <w:gridCol w:w="839"/>
        <w:gridCol w:w="275"/>
        <w:gridCol w:w="632"/>
        <w:gridCol w:w="152"/>
        <w:gridCol w:w="152"/>
        <w:gridCol w:w="152"/>
        <w:gridCol w:w="152"/>
        <w:gridCol w:w="255"/>
        <w:gridCol w:w="255"/>
        <w:gridCol w:w="256"/>
        <w:gridCol w:w="152"/>
        <w:gridCol w:w="152"/>
        <w:gridCol w:w="152"/>
        <w:gridCol w:w="255"/>
        <w:gridCol w:w="255"/>
        <w:gridCol w:w="256"/>
        <w:gridCol w:w="109"/>
        <w:gridCol w:w="109"/>
        <w:gridCol w:w="109"/>
        <w:gridCol w:w="196"/>
        <w:gridCol w:w="376"/>
        <w:gridCol w:w="109"/>
        <w:gridCol w:w="109"/>
        <w:gridCol w:w="109"/>
        <w:gridCol w:w="109"/>
        <w:gridCol w:w="188"/>
        <w:gridCol w:w="188"/>
        <w:gridCol w:w="156"/>
        <w:gridCol w:w="109"/>
        <w:gridCol w:w="109"/>
        <w:gridCol w:w="109"/>
        <w:gridCol w:w="188"/>
        <w:gridCol w:w="188"/>
        <w:gridCol w:w="213"/>
      </w:tblGrid>
      <w:tr>
        <w:trPr/>
        <w:tc>
          <w:tcPr>
            <w:tcW w:w="94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350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Based on market-related value of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15"/>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Hypothetical</w:t>
            </w:r>
            <w:r>
              <w:rPr>
                <w:rFonts w:ascii="Times New Roman;serif" w:hAnsi="Times New Roman;serif"/>
                <w:b w:val="false"/>
                <w:color w:val="000000"/>
                <w:sz w:val="12"/>
              </w:rPr>
              <w:t>(a)</w:t>
            </w:r>
          </w:p>
        </w:tc>
      </w:tr>
      <w:tr>
        <w:trPr/>
        <w:tc>
          <w:tcPr>
            <w:tcW w:w="26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Actual</w:t>
            </w:r>
          </w:p>
        </w:tc>
        <w:tc>
          <w:tcPr>
            <w:tcW w:w="4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Projected</w:t>
            </w:r>
          </w:p>
        </w:tc>
        <w:tc>
          <w:tcPr>
            <w:tcW w:w="4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Projected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Years Ending December 31,</w:t>
            </w:r>
          </w:p>
        </w:tc>
        <w:tc>
          <w:tcPr>
            <w:tcW w:w="1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2027</w:t>
            </w:r>
          </w:p>
        </w:tc>
      </w:tr>
      <w:tr>
        <w:trPr/>
        <w:tc>
          <w:tcPr>
            <w:tcW w:w="26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Primary U.S. pension plan expense</w:t>
            </w:r>
          </w:p>
        </w:tc>
        <w:tc>
          <w:tcPr>
            <w:tcW w:w="275"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2"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(8.3)</w:t>
            </w:r>
          </w:p>
        </w:tc>
        <w:tc>
          <w:tcPr>
            <w:tcW w:w="152"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2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213"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(a)Assumes that our accounting policy was to use the fair market value of assets instead of the market-related value of assets to determine our expense related to our primary U.S. pension plan.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For our UMWA plans, we calculate expected investment returns by applying the expected long-term rate of return to the fair market value of the assets at the beginning of the year. This method is likely to cause the expected return on assets, which is recorded in earnings, to fluctuate more than had we used the accounting methodology of our defined-benefit pension plans.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Medical Inflation Assumption</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estimate the trend in healthcare cost inflation to predict future cash flows related to our retiree medical plans. Our assumption is based on recent plan experience and industry trends.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For the UMWA plans, our largest retiree medical plans, we have assumed a medical inflation rate of 7.0% for 2026, and we project this rate to decline to 5% in 2034 and hold at 5% thereafter. Our overall medical inflation rate assumption, including the assumption that medical inflation rates will gradually decline over the next nine years and hold at 5%, is based on macroeconomic assumptions of gross domestic growth rates, the excess of national health expenditures over other goods and services, and population growth. Our assumption of a medical inflation rate of 7.0% for 2026 is based on the above-described factors, combined with our recent actual experience.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Workers’ Compensation</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Besides the effects of changes in medical costs, workers' compensation costs are affected by the severity and types of injuries, changes in state and federal regulations and their application and the quality of programs which assist an employee’s return to work. Our liability for future payments for workers’ compensation claims is evaluated annually with the assistance of an actuary.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31445"/>
                <wp:effectExtent l="0" t="0" r="0" b="0"/>
                <wp:wrapNone/>
                <wp:docPr id="57" name="Frame5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Numbers of Participants</w:t>
      </w:r>
    </w:p>
    <w:p>
      <w:pPr>
        <w:pStyle w:val="TextBody"/>
        <w:bidi w:val="0"/>
        <w:spacing w:lineRule="auto" w:line="288" w:before="0" w:after="0"/>
        <w:jc w:val="left"/>
        <w:rPr/>
      </w:pPr>
      <w:r>
        <w:rPr>
          <w:rFonts w:ascii="Times New Roman;serif" w:hAnsi="Times New Roman;serif"/>
          <w:b w:val="false"/>
          <w:i/>
          <w:color w:val="000000"/>
          <w:sz w:val="18"/>
        </w:rPr>
        <w:t>Mortality tables. </w:t>
      </w:r>
      <w:r>
        <w:rPr>
          <w:rFonts w:ascii="Times New Roman;serif" w:hAnsi="Times New Roman;serif"/>
          <w:b w:val="false"/>
          <w:color w:val="000000"/>
          <w:sz w:val="18"/>
        </w:rPr>
        <w:t>We use the Society of Actuaries base mortality tables for private sector plans, Pri-2012, and the Mercer modified MP-2021 projection scale, with a Blue Collar adjustment factor for the majority of our U.S. retirement plans and a White Collar adjustment factor for our nonqualified U.S. pension plan.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Number of participants</w:t>
      </w:r>
      <w:r>
        <w:rPr>
          <w:rFonts w:ascii="Times New Roman;serif" w:hAnsi="Times New Roman;serif"/>
          <w:b w:val="false"/>
          <w:color w:val="000000"/>
          <w:sz w:val="18"/>
        </w:rPr>
        <w:t>. The number of participants by major plan in the past five years is as follows:</w:t>
      </w:r>
    </w:p>
    <w:tbl>
      <w:tblPr>
        <w:tblW w:w="5497" w:type="dxa"/>
        <w:jc w:val="left"/>
        <w:tblInd w:w="0" w:type="dxa"/>
        <w:tblLayout w:type="fixed"/>
        <w:tblCellMar>
          <w:top w:w="28" w:type="dxa"/>
          <w:left w:w="28" w:type="dxa"/>
          <w:bottom w:w="28" w:type="dxa"/>
          <w:right w:w="28" w:type="dxa"/>
        </w:tblCellMar>
      </w:tblPr>
      <w:tblGrid>
        <w:gridCol w:w="409"/>
        <w:gridCol w:w="360"/>
        <w:gridCol w:w="370"/>
        <w:gridCol w:w="198"/>
        <w:gridCol w:w="198"/>
        <w:gridCol w:w="205"/>
        <w:gridCol w:w="109"/>
        <w:gridCol w:w="109"/>
        <w:gridCol w:w="109"/>
        <w:gridCol w:w="198"/>
        <w:gridCol w:w="198"/>
        <w:gridCol w:w="205"/>
        <w:gridCol w:w="109"/>
        <w:gridCol w:w="109"/>
        <w:gridCol w:w="109"/>
        <w:gridCol w:w="198"/>
        <w:gridCol w:w="198"/>
        <w:gridCol w:w="205"/>
        <w:gridCol w:w="109"/>
        <w:gridCol w:w="109"/>
        <w:gridCol w:w="109"/>
        <w:gridCol w:w="198"/>
        <w:gridCol w:w="198"/>
        <w:gridCol w:w="205"/>
        <w:gridCol w:w="109"/>
        <w:gridCol w:w="109"/>
        <w:gridCol w:w="109"/>
        <w:gridCol w:w="188"/>
        <w:gridCol w:w="188"/>
        <w:gridCol w:w="270"/>
      </w:tblGrid>
      <w:tr>
        <w:trPr/>
        <w:tc>
          <w:tcPr>
            <w:tcW w:w="4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participants</w:t>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Plan</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2021</w:t>
            </w:r>
          </w:p>
        </w:tc>
      </w:tr>
      <w:tr>
        <w:trPr/>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UMWA plans</w:t>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2,000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2,700</w:t>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Black Lung</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w:t>
            </w:r>
          </w:p>
        </w:tc>
      </w:tr>
      <w:tr>
        <w:trPr/>
        <w:tc>
          <w:tcPr>
            <w:tcW w:w="11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pension</w:t>
            </w:r>
          </w:p>
        </w:tc>
        <w:tc>
          <w:tcPr>
            <w:tcW w:w="6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10,200</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10,300</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10,500</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10,700</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10,800</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Because we are no longer operating in the coal industry, we anticipate that the number of participants in the UMWA retirement medical plan will decline over time due to mortality. Because the U.S. pension plan has been frozen, the number of its participants will also decline over time.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31445"/>
                <wp:effectExtent l="0" t="0" r="0" b="0"/>
                <wp:wrapNone/>
                <wp:docPr id="58" name="Frame5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bookmarkStart w:id="10" w:name="i58eca18970984cd09fd7024707445a9a_5376"/>
      <w:bookmarkEnd w:id="10"/>
      <w:r>
        <w:rPr>
          <w:rFonts w:ascii="Times New Roman;serif" w:hAnsi="Times New Roman;serif"/>
          <w:b/>
          <w:color w:val="000000"/>
          <w:sz w:val="22"/>
        </w:rPr>
        <w:t>Foreign Currency Translation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majority of our subsidiaries outside the U.S. conduct business in their local currencies. Our financial results are reported in U.S. dollars, which include the results of these subsidiaries.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Accounting Policy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Our accounting policy for foreign currency translation is different depending on whether the economy in which our foreign subsidiary operates has been designated as highly inflationary. Economies with a three-year cumulative inflation rate of more than 100% are considered highly inflationary. Subsequent reductions in cumulative inflation rates below 100% do not change the method of translation unless the reduction is deemed to be other than temporary.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Non-Highly Inflationary Economies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Assets and liabilities of foreign subsidiaries in non-highly inflationary economies are translated into U.S. dollars using rates of exchange at the balance sheet date. Translation adjustments are recorded in other comprehensive income (loss). Revenues and expenses are translated at rates of exchange in effect during the year. Transaction gains and losses are recorded in net income.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Highly Inflationary Economies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Foreign subsidiaries that operate in highly inflationary countries must use the reporting currency (the U.S. dollar) as the functional currency. Local-currency monetary assets and liabilities are remeasured into dollars each balance sheet date, with remeasurement adjustments and other transaction gains and losses recognized in earnings. Other than nonmonetary equity and available-for-sale debt securities, nonmonetary assets and liabilities do not fluctuate with changes in local currency exchange rates to the dollar. For nonmonetary equity securities traded in highly inflationary economies, the fair market value of the equity securities are remeasured at the current exchange rates to determine gain or loss to be recorded in net income. For nonmonetary available-for-sale debt securities traded in highly inflationary economies, the fair market value of these debt securities are remeasured at the current exchange rates, with changes recorded in the gains (losses) on available-for-sale securities component of accumulated other comprehensive income (loss). We reclassify amounts from accumulated other comprehensive income (loss) into earnings when these debt securities are sold.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Application of Accounting Policy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Argentina</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operate in Argentina through wholly owned subsidiaries and a smaller controlled subsidiary (together "Brink's Argentina"). The operating environment in Argentina continues to present business challenges, including ongoing devaluation of the Argentine peso and significant inflation.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Beginning July 1, 2018, we designated Argentina's economy as highly inflationary for accounting purposes. As a result, we consolidated Brink's Argentina using our accounting policy for subsidiaries operating in highly inflationary economies beginning with the third quarter of 2018. Argentine peso-denominated monetary assets and liabilities are now remeasured at each balance sheet date using the currency exchange rate then in effect, with currency remeasurement gains and losses recognized in earnings.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At December 31, 2025, Argentina's economy remained highly inflationary for accounting purposes. In April 2025, the Argentine government announced economic policy changes, including the removal of certain currency controls. The official exchange rate is allowed to fluctuate within a moving range.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Brink’s management continues to provide guidance and strategic oversight, including budgeting and forecasting for Brink’s Argentina. We continue to control our Argentina business for purposes of consolidation of our financial statements and continue to monitor the situation in Argentina. See Note 1 for more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31445"/>
                <wp:effectExtent l="0" t="0" r="0" b="0"/>
                <wp:wrapNone/>
                <wp:docPr id="59" name="Frame5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bookmarkStart w:id="11" w:name="i9c9c146ccdbd46bcbb1e2312d3d961eb_5509"/>
      <w:bookmarkEnd w:id="11"/>
      <w:r>
        <w:rPr>
          <w:rFonts w:ascii="Times New Roman;serif" w:hAnsi="Times New Roman;serif"/>
          <w:b/>
          <w:color w:val="000000"/>
          <w:sz w:val="22"/>
        </w:rPr>
        <w:t>ITEM 7A. QUANTITATIVE AND QUALITATIVE DISCLOSURES ABOUT MARKET RISK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currently serve customers in more than 100 countries, including 51 countries where we operate subsidiaries. These operations expose us to a variety of market risks, including the effects of changes in interest rates and foreign currency exchange rates. These financial exposures are monitored and managed by us as an integral part of our overall risk management program.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may periodically use various derivative and non-derivative financial instruments, as discussed below, to hedge our interest rate and foreign currency exposures when appropriate. The risk that counterparties to these instruments may be unable to perform is minimized by limiting the counterparties used to major financial institutions with investment grade credit ratings. We do not expect to incur a loss from the failure of any counterparty to perform under the agreements. We do not use derivative financial instruments for purposes other than hedging underlying financial exposures.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sensitivity analyses discussed below for the market risk exposures were based on the facts and circumstances in effect at December 31, 2025. Actual results will be determined by a number of factors that are not under management’s control and could vary materially from those disclosed.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Interest Rate Risk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use both fixed and floating rate debt and leases to finance our operations. Floating rate obligations, including both the term loan facility and the revolving credit facility under our senior secured credit facility, expose us to fluctuations in cash flows due to changes in the general level of interest rates. Fixed rate obligations, including our senior unsecured notes, are subject to fluctuations in fair values as a result of changes in interest rates.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Our floating rate debt typically is based on an underlying floating rate component as well as a fixed rate margin component. Based on the contractual interest rates on our floating rate debt at December 31, 2025, a hypothetical 10% increase in rates would increase cash outflows by approximately $7.7 million over a twelve-month period. In other words, the weighted-average interest rate on our floating rate instruments (including any fixed rate margin component) was 4.81% per annum at December 31, 2025. If the underlying floating rate component were to increase by 10%, our average rate on this debt would increase by 0.37 percentage points to 5.18%. The effect on the fair values of our cumulative $1.4 billion of unsecured senior notes of a hypothetical 10% decrease in the yield curve from year-end 2025 levels would result in a $27.5 million increase in the fair value of our unsecured senior notes.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Foreign Currency Risk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have exposure to the effects of foreign currency exchange rate fluctuations on the results of all of our foreign operations. Our foreign operations generally use local currencies to conduct business, but their results are reported in U.S. dollars.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are also exposed periodically to the foreign currency rate fluctuations that affect transactions not denominated in the functional currency of our domestic and foreign operations. To mitigate these exposures, we enter into foreign currency forward and swap contracts from time to time. At December 31, 2025, the notional value of our shorter outstanding foreign currency forward and swap contracts was $982 million with average contract maturities of approximately one month. These contracts primarily offset exposures in the euro, the Mexican peso, and the British pound. Additionally, these contracts are not designated as hedges for accounting purposes, and accordingly, changes in their fair value are recorded immediately in earnings.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have entered into cross currency swaps to hedge a portion of our net investments in certain of our subsidiaries with euro functional currency. At December 31, 2025, the notional value of these cross currency swaps contracts was $400 million with a weighted-average remaining maturity of 0.3 years for the cross currency swaps maturing in May 2026 and a remaining weighted average maturity of 4.8 years for the cross currency swaps maturing in April 2031. The effect on the fair value of these cross currency swaps of a hypothetical 10% appreciation in the forward May 2026 euro exchange rate and a hypothetical 10% appreciation in the forward April 2031 euro exchange rate from year-end 2025 levels would result in a $44.0 million change in fair values, changing the December 31, 2025 net liability of $60.4 million to a net liability of $104.4 million.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31445"/>
                <wp:effectExtent l="0" t="0" r="0" b="0"/>
                <wp:wrapNone/>
                <wp:docPr id="60" name="Frame5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bookmarkStart w:id="12" w:name="i9c9c146ccdbd46bcbb1e2312d3d961eb_5511"/>
      <w:bookmarkEnd w:id="12"/>
      <w:r>
        <w:rPr>
          <w:rFonts w:ascii="Times New Roman;serif" w:hAnsi="Times New Roman;serif"/>
          <w:b w:val="false"/>
          <w:color w:val="000000"/>
          <w:sz w:val="18"/>
        </w:rPr>
        <w:t>The effects of a hypothetical simultaneous 10% appreciation in the U.S. dollar from the 2025 levels against all other currencies of countries in which we have continuing operations are as follows:</w:t>
      </w:r>
    </w:p>
    <w:tbl>
      <w:tblPr>
        <w:tblW w:w="5249" w:type="dxa"/>
        <w:jc w:val="left"/>
        <w:tblInd w:w="0" w:type="dxa"/>
        <w:tblLayout w:type="fixed"/>
        <w:tblCellMar>
          <w:top w:w="28" w:type="dxa"/>
          <w:left w:w="28" w:type="dxa"/>
          <w:bottom w:w="28" w:type="dxa"/>
          <w:right w:w="28" w:type="dxa"/>
        </w:tblCellMar>
      </w:tblPr>
      <w:tblGrid>
        <w:gridCol w:w="1325"/>
        <w:gridCol w:w="1163"/>
        <w:gridCol w:w="1172"/>
        <w:gridCol w:w="373"/>
        <w:gridCol w:w="920"/>
        <w:gridCol w:w="296"/>
      </w:tblGrid>
      <w:tr>
        <w:trPr/>
        <w:tc>
          <w:tcPr>
            <w:tcW w:w="1325"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 xml:space="preserve">(In millions) </w:t>
            </w:r>
          </w:p>
        </w:tc>
        <w:tc>
          <w:tcPr>
            <w:tcW w:w="15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Hypothetical Effects</w:t>
              <w:br/>
              <w:t>Increase/ (decrease)</w:t>
            </w:r>
          </w:p>
        </w:tc>
      </w:tr>
      <w:tr>
        <w:trPr/>
        <w:tc>
          <w:tcPr>
            <w:tcW w:w="36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on Earnings:</w:t>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Translation of 2025 earnings into U.S. dollars</w:t>
            </w:r>
          </w:p>
        </w:tc>
        <w:tc>
          <w:tcPr>
            <w:tcW w:w="3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Transaction gains (losses)</w:t>
            </w:r>
            <w:r>
              <w:rPr>
                <w:rFonts w:ascii="Times New Roman;serif" w:hAnsi="Times New Roman;serif"/>
                <w:b w:val="false"/>
                <w:color w:val="000000"/>
                <w:sz w:val="12"/>
              </w:rPr>
              <w:t>(a)</w:t>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on Other Comprehensive Income (Loss):</w:t>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66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Translation of net assets of foreign subsidiaries </w:t>
            </w:r>
            <w:r>
              <w:rPr>
                <w:rFonts w:ascii="Times New Roman;serif" w:hAnsi="Times New Roman;serif"/>
                <w:b w:val="false"/>
                <w:color w:val="000000"/>
                <w:sz w:val="12"/>
              </w:rPr>
              <w:t>(a)</w:t>
            </w:r>
          </w:p>
        </w:tc>
        <w:tc>
          <w:tcPr>
            <w:tcW w:w="129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(164.1)</w:t>
            </w:r>
          </w:p>
        </w:tc>
        <w:tc>
          <w:tcPr>
            <w:tcW w:w="29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(a) Net of outstanding foreign currency swap and forward contracts.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hypothetical foreign currency effects above detail the consolidated effect attributable to Brink’s of a simultaneous change in the value of a large number of foreign currencies relative to the U. S. dollar. The foreign currency exposure effect related to a change in an individual currency could be significantly different.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31445"/>
                <wp:effectExtent l="0" t="0" r="0" b="0"/>
                <wp:wrapNone/>
                <wp:docPr id="61" name="Frame6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18"/>
        </w:rPr>
      </w:pPr>
      <w:bookmarkStart w:id="13" w:name="i28f3d3b1fdca42b180cd76d78973c542_55"/>
      <w:bookmarkEnd w:id="13"/>
      <w:r>
        <w:rPr>
          <w:rFonts w:ascii="Times New Roman;serif" w:hAnsi="Times New Roman;serif"/>
          <w:b/>
          <w:color w:val="000000"/>
          <w:sz w:val="18"/>
        </w:rPr>
        <w:t>ITEM 8. 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erif" w:hAnsi="Times New Roman;serif"/>
          <w:b/>
          <w:color w:val="000000"/>
          <w:sz w:val="18"/>
        </w:rPr>
      </w:pPr>
      <w:r>
        <w:rPr>
          <w:rFonts w:ascii="Times New Roman;serif" w:hAnsi="Times New Roman;serif"/>
          <w:b/>
          <w:color w:val="000000"/>
          <w:sz w:val="18"/>
        </w:rPr>
        <w:t>THE BRINK’S COMPANY</w:t>
      </w:r>
    </w:p>
    <w:p>
      <w:pPr>
        <w:pStyle w:val="TextBody"/>
        <w:bidi w:val="0"/>
        <w:spacing w:lineRule="auto" w:line="288" w:before="180" w:after="283"/>
        <w:jc w:val="center"/>
        <w:rPr>
          <w:rFonts w:ascii="Times New Roman;serif" w:hAnsi="Times New Roman;serif"/>
          <w:b/>
          <w:color w:val="000000"/>
          <w:sz w:val="18"/>
        </w:rPr>
      </w:pPr>
      <w:r>
        <w:rPr>
          <w:rFonts w:ascii="Times New Roman;serif" w:hAnsi="Times New Roman;serif"/>
          <w:b/>
          <w:color w:val="000000"/>
          <w:sz w:val="18"/>
        </w:rPr>
        <w:t>CONSOLIDATED FINANCIAL STATEMENTS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AS OF DECEMBER 31, 2025 AND 2024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AND FOR EACH OF THE YEARS IN THE THREE-YEAR PERIOD ENDED DECEMBER 31, 2025</w:t>
      </w:r>
    </w:p>
    <w:p>
      <w:pPr>
        <w:pStyle w:val="TextBody"/>
        <w:bidi w:val="0"/>
        <w:spacing w:lineRule="auto" w:line="288" w:before="180" w:after="283"/>
        <w:jc w:val="center"/>
        <w:rPr>
          <w:rFonts w:ascii="Times New Roman;serif" w:hAnsi="Times New Roman;serif"/>
          <w:b/>
          <w:color w:val="000000"/>
          <w:sz w:val="18"/>
        </w:rPr>
      </w:pPr>
      <w:r>
        <w:rPr>
          <w:rFonts w:ascii="Times New Roman;serif" w:hAnsi="Times New Roman;serif"/>
          <w:b/>
          <w:color w:val="000000"/>
          <w:sz w:val="18"/>
        </w:rPr>
        <w:t>TABLE OF CONTENTS</w:t>
      </w:r>
    </w:p>
    <w:tbl>
      <w:tblPr>
        <w:tblW w:w="9440" w:type="dxa"/>
        <w:jc w:val="left"/>
        <w:tblInd w:w="0" w:type="dxa"/>
        <w:tblLayout w:type="fixed"/>
        <w:tblCellMar>
          <w:top w:w="28" w:type="dxa"/>
          <w:left w:w="28" w:type="dxa"/>
          <w:bottom w:w="28" w:type="dxa"/>
          <w:right w:w="28" w:type="dxa"/>
        </w:tblCellMar>
      </w:tblPr>
      <w:tblGrid>
        <w:gridCol w:w="1175"/>
        <w:gridCol w:w="1035"/>
        <w:gridCol w:w="1035"/>
        <w:gridCol w:w="1889"/>
        <w:gridCol w:w="1889"/>
        <w:gridCol w:w="1906"/>
        <w:gridCol w:w="149"/>
        <w:gridCol w:w="149"/>
        <w:gridCol w:w="213"/>
      </w:tblGrid>
      <w:tr>
        <w:trPr/>
        <w:tc>
          <w:tcPr>
            <w:tcW w:w="1175"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889" w:type="dxa"/>
            <w:tcBorders/>
            <w:vAlign w:val="center"/>
          </w:tcPr>
          <w:p>
            <w:pPr>
              <w:pStyle w:val="TableContents"/>
              <w:bidi w:val="0"/>
              <w:spacing w:before="0" w:after="283"/>
              <w:jc w:val="left"/>
              <w:rPr>
                <w:sz w:val="4"/>
                <w:szCs w:val="4"/>
              </w:rPr>
            </w:pPr>
            <w:r>
              <w:rPr>
                <w:sz w:val="4"/>
                <w:szCs w:val="4"/>
              </w:rPr>
            </w:r>
          </w:p>
        </w:tc>
        <w:tc>
          <w:tcPr>
            <w:tcW w:w="1889"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Page</w:t>
            </w:r>
          </w:p>
        </w:tc>
      </w:tr>
      <w:tr>
        <w:trPr/>
        <w:tc>
          <w:tcPr>
            <w:tcW w:w="3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245" w:type="dxa"/>
            <w:gridSpan w:val="3"/>
            <w:tcBorders/>
            <w:vAlign w:val="center"/>
          </w:tcPr>
          <w:p>
            <w:pPr>
              <w:pStyle w:val="TableContents"/>
              <w:bidi w:val="0"/>
              <w:spacing w:before="0" w:after="283"/>
              <w:jc w:val="left"/>
              <w:rPr>
                <w:sz w:val="4"/>
                <w:szCs w:val="4"/>
              </w:rPr>
            </w:pPr>
            <w:r>
              <w:rPr>
                <w:sz w:val="4"/>
                <w:szCs w:val="4"/>
              </w:rPr>
            </w:r>
          </w:p>
        </w:tc>
        <w:tc>
          <w:tcPr>
            <w:tcW w:w="5684"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tcPr>
          <w:p>
            <w:pPr>
              <w:pStyle w:val="TableContents"/>
              <w:bidi w:val="0"/>
              <w:spacing w:before="0" w:after="283"/>
              <w:jc w:val="left"/>
              <w:rPr>
                <w:sz w:val="4"/>
                <w:szCs w:val="4"/>
              </w:rPr>
            </w:pPr>
            <w:r>
              <w:rPr>
                <w:sz w:val="4"/>
                <w:szCs w:val="4"/>
              </w:rPr>
            </w:r>
          </w:p>
        </w:tc>
      </w:tr>
      <w:tr>
        <w:trPr/>
        <w:tc>
          <w:tcPr>
            <w:tcW w:w="3245" w:type="dxa"/>
            <w:gridSpan w:val="3"/>
            <w:tcBorders/>
            <w:vAlign w:val="center"/>
          </w:tcPr>
          <w:p>
            <w:pPr>
              <w:pStyle w:val="TableContents"/>
              <w:bidi w:val="0"/>
              <w:spacing w:before="0" w:after="283"/>
              <w:jc w:val="left"/>
              <w:rPr>
                <w:sz w:val="4"/>
                <w:szCs w:val="4"/>
              </w:rPr>
            </w:pPr>
            <w:r>
              <w:rPr>
                <w:sz w:val="4"/>
                <w:szCs w:val="4"/>
              </w:rPr>
            </w:r>
          </w:p>
        </w:tc>
        <w:tc>
          <w:tcPr>
            <w:tcW w:w="5684"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r>
      <w:tr>
        <w:trPr/>
        <w:tc>
          <w:tcPr>
            <w:tcW w:w="892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275bec4631da4b22a64426a3a4f02a78_157">
              <w:r>
                <w:rPr>
                  <w:rStyle w:val="InternetLink"/>
                  <w:rFonts w:ascii="Times New Roman;serif" w:hAnsi="Times New Roman;serif"/>
                  <w:b/>
                  <w:strike w:val="false"/>
                  <w:dstrike w:val="false"/>
                  <w:color w:val="000000"/>
                  <w:sz w:val="18"/>
                  <w:u w:val="none"/>
                  <w:effect w:val="none"/>
                </w:rPr>
                <w:t>REPORT OF INDEPENDENT REGISTERED PUBLIC ACCOUNTING FIRM</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75bec4631da4b22a64426a3a4f02a78_157">
              <w:r>
                <w:rPr>
                  <w:rStyle w:val="InternetLink"/>
                  <w:rFonts w:ascii="Times New Roman;serif" w:hAnsi="Times New Roman;serif"/>
                  <w:b w:val="false"/>
                  <w:strike w:val="false"/>
                  <w:dstrike w:val="false"/>
                  <w:color w:val="000000"/>
                  <w:sz w:val="18"/>
                  <w:u w:val="none"/>
                  <w:effect w:val="none"/>
                </w:rPr>
                <w:t>Report of Independent Registered Public Accounting Firm</w:t>
              </w:r>
            </w:hyperlink>
            <w:r>
              <w:rPr>
                <w:rFonts w:ascii="Times New Roman;serif" w:hAnsi="Times New Roman;serif"/>
                <w:b w:val="false"/>
                <w:color w:val="000000"/>
                <w:sz w:val="18"/>
              </w:rPr>
              <w:t xml:space="preserve"> - (PCAOB ID 185)</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75bec4631da4b22a64426a3a4f02a78_157">
              <w:r>
                <w:rPr>
                  <w:rStyle w:val="InternetLink"/>
                  <w:rFonts w:ascii="Times New Roman;serif" w:hAnsi="Times New Roman;serif"/>
                  <w:b w:val="false"/>
                  <w:strike w:val="false"/>
                  <w:dstrike w:val="false"/>
                  <w:color w:val="000000"/>
                  <w:sz w:val="18"/>
                  <w:u w:val="none"/>
                  <w:effect w:val="none"/>
                </w:rPr>
                <w:t>60</w:t>
              </w:r>
            </w:hyperlink>
          </w:p>
        </w:tc>
      </w:tr>
      <w:tr>
        <w:trPr/>
        <w:tc>
          <w:tcPr>
            <w:tcW w:w="3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892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275bec4631da4b22a64426a3a4f02a78_160">
              <w:r>
                <w:rPr>
                  <w:rStyle w:val="InternetLink"/>
                  <w:rFonts w:ascii="Times New Roman;serif" w:hAnsi="Times New Roman;serif"/>
                  <w:b/>
                  <w:strike w:val="false"/>
                  <w:dstrike w:val="false"/>
                  <w:color w:val="000000"/>
                  <w:sz w:val="18"/>
                  <w:u w:val="none"/>
                  <w:effect w:val="none"/>
                </w:rPr>
                <w:t>CONSOLIDATED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75bec4631da4b22a64426a3a4f02a78_163">
              <w:r>
                <w:rPr>
                  <w:rStyle w:val="InternetLink"/>
                  <w:rFonts w:ascii="Times New Roman;serif" w:hAnsi="Times New Roman;serif"/>
                  <w:b w:val="false"/>
                  <w:strike w:val="false"/>
                  <w:dstrike w:val="false"/>
                  <w:color w:val="000000"/>
                  <w:sz w:val="18"/>
                  <w:u w:val="none"/>
                  <w:effect w:val="none"/>
                </w:rPr>
                <w:t>Consolidated Balance Sheets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75bec4631da4b22a64426a3a4f02a78_163">
              <w:r>
                <w:rPr>
                  <w:rStyle w:val="InternetLink"/>
                  <w:rFonts w:ascii="Times New Roman;serif" w:hAnsi="Times New Roman;serif"/>
                  <w:b w:val="false"/>
                  <w:strike w:val="false"/>
                  <w:dstrike w:val="false"/>
                  <w:color w:val="000000"/>
                  <w:sz w:val="18"/>
                  <w:u w:val="none"/>
                  <w:effect w:val="none"/>
                </w:rPr>
                <w:t>61</w:t>
              </w:r>
            </w:hyperlink>
          </w:p>
        </w:tc>
      </w:tr>
      <w:tr>
        <w:trPr/>
        <w:tc>
          <w:tcPr>
            <w:tcW w:w="3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75bec4631da4b22a64426a3a4f02a78_166">
              <w:r>
                <w:rPr>
                  <w:rStyle w:val="InternetLink"/>
                  <w:rFonts w:ascii="Times New Roman;serif" w:hAnsi="Times New Roman;serif"/>
                  <w:b w:val="false"/>
                  <w:strike w:val="false"/>
                  <w:dstrike w:val="false"/>
                  <w:color w:val="000000"/>
                  <w:sz w:val="18"/>
                  <w:u w:val="none"/>
                  <w:effect w:val="none"/>
                </w:rPr>
                <w:t>Consolidated Statements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75bec4631da4b22a64426a3a4f02a78_166">
              <w:r>
                <w:rPr>
                  <w:rStyle w:val="InternetLink"/>
                  <w:rFonts w:ascii="Times New Roman;serif" w:hAnsi="Times New Roman;serif"/>
                  <w:b w:val="false"/>
                  <w:strike w:val="false"/>
                  <w:dstrike w:val="false"/>
                  <w:color w:val="000000"/>
                  <w:sz w:val="18"/>
                  <w:u w:val="none"/>
                  <w:effect w:val="none"/>
                </w:rPr>
                <w:t>62</w:t>
              </w:r>
            </w:hyperlink>
          </w:p>
        </w:tc>
      </w:tr>
      <w:tr>
        <w:trPr/>
        <w:tc>
          <w:tcPr>
            <w:tcW w:w="3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75bec4631da4b22a64426a3a4f02a78_169">
              <w:r>
                <w:rPr>
                  <w:rStyle w:val="InternetLink"/>
                  <w:rFonts w:ascii="Times New Roman;serif" w:hAnsi="Times New Roman;serif"/>
                  <w:b w:val="false"/>
                  <w:strike w:val="false"/>
                  <w:dstrike w:val="false"/>
                  <w:color w:val="000000"/>
                  <w:sz w:val="18"/>
                  <w:u w:val="none"/>
                  <w:effect w:val="none"/>
                </w:rPr>
                <w:t>Consolidated Statements of Comprehensive Income (Loss)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75bec4631da4b22a64426a3a4f02a78_169">
              <w:r>
                <w:rPr>
                  <w:rStyle w:val="InternetLink"/>
                  <w:rFonts w:ascii="Times New Roman;serif" w:hAnsi="Times New Roman;serif"/>
                  <w:b w:val="false"/>
                  <w:strike w:val="false"/>
                  <w:dstrike w:val="false"/>
                  <w:color w:val="000000"/>
                  <w:sz w:val="18"/>
                  <w:u w:val="none"/>
                  <w:effect w:val="none"/>
                </w:rPr>
                <w:t>63</w:t>
              </w:r>
            </w:hyperlink>
          </w:p>
        </w:tc>
      </w:tr>
      <w:tr>
        <w:trPr/>
        <w:tc>
          <w:tcPr>
            <w:tcW w:w="3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75bec4631da4b22a64426a3a4f02a78_172">
              <w:r>
                <w:rPr>
                  <w:rStyle w:val="InternetLink"/>
                  <w:rFonts w:ascii="Times New Roman;serif" w:hAnsi="Times New Roman;serif"/>
                  <w:b w:val="false"/>
                  <w:strike w:val="false"/>
                  <w:dstrike w:val="false"/>
                  <w:color w:val="000000"/>
                  <w:sz w:val="18"/>
                  <w:u w:val="none"/>
                  <w:effect w:val="none"/>
                </w:rPr>
                <w:t>Consolidated Statements of Equity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75bec4631da4b22a64426a3a4f02a78_172">
              <w:r>
                <w:rPr>
                  <w:rStyle w:val="InternetLink"/>
                  <w:rFonts w:ascii="Times New Roman;serif" w:hAnsi="Times New Roman;serif"/>
                  <w:b w:val="false"/>
                  <w:strike w:val="false"/>
                  <w:dstrike w:val="false"/>
                  <w:color w:val="000000"/>
                  <w:sz w:val="18"/>
                  <w:u w:val="none"/>
                  <w:effect w:val="none"/>
                </w:rPr>
                <w:t>64</w:t>
              </w:r>
            </w:hyperlink>
          </w:p>
        </w:tc>
      </w:tr>
      <w:tr>
        <w:trPr/>
        <w:tc>
          <w:tcPr>
            <w:tcW w:w="3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75bec4631da4b22a64426a3a4f02a78_175">
              <w:r>
                <w:rPr>
                  <w:rStyle w:val="InternetLink"/>
                  <w:rFonts w:ascii="Times New Roman;serif" w:hAnsi="Times New Roman;serif"/>
                  <w:b w:val="false"/>
                  <w:strike w:val="false"/>
                  <w:dstrike w:val="false"/>
                  <w:color w:val="000000"/>
                  <w:sz w:val="18"/>
                  <w:u w:val="none"/>
                  <w:effect w:val="none"/>
                </w:rPr>
                <w:t>Consolidated Statements of Cash Flows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75bec4631da4b22a64426a3a4f02a78_175">
              <w:r>
                <w:rPr>
                  <w:rStyle w:val="InternetLink"/>
                  <w:rFonts w:ascii="Times New Roman;serif" w:hAnsi="Times New Roman;serif"/>
                  <w:b w:val="false"/>
                  <w:strike w:val="false"/>
                  <w:dstrike w:val="false"/>
                  <w:color w:val="000000"/>
                  <w:sz w:val="18"/>
                  <w:u w:val="none"/>
                  <w:effect w:val="none"/>
                </w:rPr>
                <w:t>64</w:t>
              </w:r>
            </w:hyperlink>
          </w:p>
        </w:tc>
      </w:tr>
      <w:tr>
        <w:trPr/>
        <w:tc>
          <w:tcPr>
            <w:tcW w:w="3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892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275bec4631da4b22a64426a3a4f02a78_178">
              <w:r>
                <w:rPr>
                  <w:rStyle w:val="InternetLink"/>
                  <w:rFonts w:ascii="Times New Roman;serif" w:hAnsi="Times New Roman;serif"/>
                  <w:b/>
                  <w:strike w:val="false"/>
                  <w:dstrike w:val="false"/>
                  <w:color w:val="000000"/>
                  <w:sz w:val="18"/>
                  <w:u w:val="none"/>
                  <w:effect w:val="none"/>
                </w:rPr>
                <w:t>NOTES TO CONSOLIDATED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75bec4631da4b22a64426a3a4f02a78_181">
              <w:r>
                <w:rPr>
                  <w:rStyle w:val="InternetLink"/>
                  <w:rFonts w:ascii="Times New Roman;serif" w:hAnsi="Times New Roman;serif"/>
                  <w:b w:val="false"/>
                  <w:strike w:val="false"/>
                  <w:dstrike w:val="false"/>
                  <w:color w:val="000000"/>
                  <w:sz w:val="18"/>
                  <w:u w:val="none"/>
                  <w:effect w:val="none"/>
                </w:rPr>
                <w:t>Note 1 – Summary of Significant Accounting Policies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75bec4631da4b22a64426a3a4f02a78_181">
              <w:r>
                <w:rPr>
                  <w:rStyle w:val="InternetLink"/>
                  <w:rFonts w:ascii="Times New Roman;serif" w:hAnsi="Times New Roman;serif"/>
                  <w:b w:val="false"/>
                  <w:strike w:val="false"/>
                  <w:dstrike w:val="false"/>
                  <w:color w:val="000000"/>
                  <w:sz w:val="18"/>
                  <w:u w:val="none"/>
                  <w:effect w:val="none"/>
                </w:rPr>
                <w:t>65</w:t>
              </w:r>
            </w:hyperlink>
          </w:p>
        </w:tc>
      </w:tr>
      <w:tr>
        <w:trPr/>
        <w:tc>
          <w:tcPr>
            <w:tcW w:w="3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75bec4631da4b22a64426a3a4f02a78_184">
              <w:r>
                <w:rPr>
                  <w:rStyle w:val="InternetLink"/>
                  <w:rFonts w:ascii="Times New Roman;serif" w:hAnsi="Times New Roman;serif"/>
                  <w:b w:val="false"/>
                  <w:strike w:val="false"/>
                  <w:dstrike w:val="false"/>
                  <w:color w:val="000000"/>
                  <w:sz w:val="18"/>
                  <w:u w:val="none"/>
                  <w:effect w:val="none"/>
                </w:rPr>
                <w:t>Note 2 – Revenue from Contracts with Customers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75bec4631da4b22a64426a3a4f02a78_184">
              <w:r>
                <w:rPr>
                  <w:rStyle w:val="InternetLink"/>
                  <w:rFonts w:ascii="Times New Roman;serif" w:hAnsi="Times New Roman;serif"/>
                  <w:b w:val="false"/>
                  <w:strike w:val="false"/>
                  <w:dstrike w:val="false"/>
                  <w:color w:val="000000"/>
                  <w:sz w:val="18"/>
                  <w:u w:val="none"/>
                  <w:effect w:val="none"/>
                </w:rPr>
                <w:t>69</w:t>
              </w:r>
            </w:hyperlink>
          </w:p>
        </w:tc>
      </w:tr>
      <w:tr>
        <w:trPr/>
        <w:tc>
          <w:tcPr>
            <w:tcW w:w="3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75bec4631da4b22a64426a3a4f02a78_187">
              <w:r>
                <w:rPr>
                  <w:rStyle w:val="InternetLink"/>
                  <w:rFonts w:ascii="Times New Roman;serif" w:hAnsi="Times New Roman;serif"/>
                  <w:b w:val="false"/>
                  <w:strike w:val="false"/>
                  <w:dstrike w:val="false"/>
                  <w:color w:val="000000"/>
                  <w:sz w:val="18"/>
                  <w:u w:val="none"/>
                  <w:effect w:val="none"/>
                </w:rPr>
                <w:t>Note 3 – Segment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75bec4631da4b22a64426a3a4f02a78_187">
              <w:r>
                <w:rPr>
                  <w:rStyle w:val="InternetLink"/>
                  <w:rFonts w:ascii="Times New Roman;serif" w:hAnsi="Times New Roman;serif"/>
                  <w:b w:val="false"/>
                  <w:strike w:val="false"/>
                  <w:dstrike w:val="false"/>
                  <w:color w:val="000000"/>
                  <w:sz w:val="18"/>
                  <w:u w:val="none"/>
                  <w:effect w:val="none"/>
                </w:rPr>
                <w:t>72</w:t>
              </w:r>
            </w:hyperlink>
          </w:p>
        </w:tc>
      </w:tr>
      <w:tr>
        <w:trPr/>
        <w:tc>
          <w:tcPr>
            <w:tcW w:w="3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75bec4631da4b22a64426a3a4f02a78_190">
              <w:r>
                <w:rPr>
                  <w:rStyle w:val="InternetLink"/>
                  <w:rFonts w:ascii="Times New Roman;serif" w:hAnsi="Times New Roman;serif"/>
                  <w:b w:val="false"/>
                  <w:strike w:val="false"/>
                  <w:dstrike w:val="false"/>
                  <w:color w:val="000000"/>
                  <w:sz w:val="18"/>
                  <w:u w:val="none"/>
                  <w:effect w:val="none"/>
                </w:rPr>
                <w:t>Note 4 – Retirement Benefits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75bec4631da4b22a64426a3a4f02a78_190">
              <w:r>
                <w:rPr>
                  <w:rStyle w:val="InternetLink"/>
                  <w:rFonts w:ascii="Times New Roman;serif" w:hAnsi="Times New Roman;serif"/>
                  <w:b w:val="false"/>
                  <w:strike w:val="false"/>
                  <w:dstrike w:val="false"/>
                  <w:color w:val="000000"/>
                  <w:sz w:val="18"/>
                  <w:u w:val="none"/>
                  <w:effect w:val="none"/>
                </w:rPr>
                <w:t>77</w:t>
              </w:r>
            </w:hyperlink>
          </w:p>
        </w:tc>
      </w:tr>
      <w:tr>
        <w:trPr/>
        <w:tc>
          <w:tcPr>
            <w:tcW w:w="3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75bec4631da4b22a64426a3a4f02a78_193">
              <w:r>
                <w:rPr>
                  <w:rStyle w:val="InternetLink"/>
                  <w:rFonts w:ascii="Times New Roman;serif" w:hAnsi="Times New Roman;serif"/>
                  <w:b w:val="false"/>
                  <w:strike w:val="false"/>
                  <w:dstrike w:val="false"/>
                  <w:color w:val="000000"/>
                  <w:sz w:val="18"/>
                  <w:u w:val="none"/>
                  <w:effect w:val="none"/>
                </w:rPr>
                <w:t>Note 5 – Income Taxes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75bec4631da4b22a64426a3a4f02a78_193">
              <w:r>
                <w:rPr>
                  <w:rStyle w:val="InternetLink"/>
                  <w:rFonts w:ascii="Times New Roman;serif" w:hAnsi="Times New Roman;serif"/>
                  <w:b w:val="false"/>
                  <w:strike w:val="false"/>
                  <w:dstrike w:val="false"/>
                  <w:color w:val="000000"/>
                  <w:sz w:val="18"/>
                  <w:u w:val="none"/>
                  <w:effect w:val="none"/>
                </w:rPr>
                <w:t>87</w:t>
              </w:r>
            </w:hyperlink>
          </w:p>
        </w:tc>
      </w:tr>
      <w:tr>
        <w:trPr/>
        <w:tc>
          <w:tcPr>
            <w:tcW w:w="3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75bec4631da4b22a64426a3a4f02a78_196">
              <w:r>
                <w:rPr>
                  <w:rStyle w:val="InternetLink"/>
                  <w:rFonts w:ascii="Times New Roman;serif" w:hAnsi="Times New Roman;serif"/>
                  <w:b w:val="false"/>
                  <w:strike w:val="false"/>
                  <w:dstrike w:val="false"/>
                  <w:color w:val="000000"/>
                  <w:sz w:val="18"/>
                  <w:u w:val="none"/>
                  <w:effect w:val="none"/>
                </w:rPr>
                <w:t>Note 6 – Property and Equipment</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75bec4631da4b22a64426a3a4f02a78_196">
              <w:r>
                <w:rPr>
                  <w:rStyle w:val="InternetLink"/>
                  <w:rFonts w:ascii="Times New Roman;serif" w:hAnsi="Times New Roman;serif"/>
                  <w:b w:val="false"/>
                  <w:strike w:val="false"/>
                  <w:dstrike w:val="false"/>
                  <w:color w:val="000000"/>
                  <w:sz w:val="18"/>
                  <w:u w:val="none"/>
                  <w:effect w:val="none"/>
                </w:rPr>
                <w:t>92</w:t>
              </w:r>
            </w:hyperlink>
          </w:p>
        </w:tc>
      </w:tr>
      <w:tr>
        <w:trPr/>
        <w:tc>
          <w:tcPr>
            <w:tcW w:w="3245" w:type="dxa"/>
            <w:gridSpan w:val="3"/>
            <w:tcBorders/>
            <w:vAlign w:val="center"/>
          </w:tcPr>
          <w:p>
            <w:pPr>
              <w:pStyle w:val="TableContents"/>
              <w:bidi w:val="0"/>
              <w:spacing w:before="0" w:after="283"/>
              <w:jc w:val="left"/>
              <w:rPr>
                <w:sz w:val="4"/>
                <w:szCs w:val="4"/>
              </w:rPr>
            </w:pPr>
            <w:r>
              <w:rPr>
                <w:sz w:val="4"/>
                <w:szCs w:val="4"/>
              </w:rPr>
            </w:r>
          </w:p>
        </w:tc>
        <w:tc>
          <w:tcPr>
            <w:tcW w:w="5684"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r>
      <w:tr>
        <w:trPr/>
        <w:tc>
          <w:tcPr>
            <w:tcW w:w="3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75bec4631da4b22a64426a3a4f02a78_202">
              <w:r>
                <w:rPr>
                  <w:rStyle w:val="InternetLink"/>
                  <w:rFonts w:ascii="Times New Roman;serif" w:hAnsi="Times New Roman;serif"/>
                  <w:b w:val="false"/>
                  <w:strike w:val="false"/>
                  <w:dstrike w:val="false"/>
                  <w:color w:val="000080"/>
                  <w:sz w:val="18"/>
                  <w:u w:val="single"/>
                  <w:effect w:val="none"/>
                </w:rPr>
                <w:t xml:space="preserve">Note </w:t>
              </w:r>
            </w:hyperlink>
            <w:hyperlink w:anchor="i275bec4631da4b22a64426a3a4f02a78_202">
              <w:r>
                <w:rPr>
                  <w:rStyle w:val="InternetLink"/>
                  <w:rFonts w:ascii="Times New Roman;serif" w:hAnsi="Times New Roman;serif"/>
                  <w:b w:val="false"/>
                  <w:strike w:val="false"/>
                  <w:dstrike w:val="false"/>
                  <w:color w:val="000080"/>
                  <w:sz w:val="18"/>
                  <w:u w:val="single"/>
                  <w:effect w:val="none"/>
                </w:rPr>
                <w:t>7</w:t>
              </w:r>
            </w:hyperlink>
            <w:hyperlink w:anchor="i275bec4631da4b22a64426a3a4f02a78_202">
              <w:r>
                <w:rPr>
                  <w:rStyle w:val="InternetLink"/>
                  <w:rFonts w:ascii="Times New Roman;serif" w:hAnsi="Times New Roman;serif"/>
                  <w:b w:val="false"/>
                  <w:strike w:val="false"/>
                  <w:dstrike w:val="false"/>
                  <w:color w:val="000080"/>
                  <w:sz w:val="18"/>
                  <w:u w:val="single"/>
                  <w:effect w:val="none"/>
                </w:rPr>
                <w:t xml:space="preserve"> – Goodwill and Other Intangible Assets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75bec4631da4b22a64426a3a4f02a78_202">
              <w:r>
                <w:rPr>
                  <w:rStyle w:val="InternetLink"/>
                  <w:rFonts w:ascii="Times New Roman;serif" w:hAnsi="Times New Roman;serif"/>
                  <w:b w:val="false"/>
                  <w:strike w:val="false"/>
                  <w:dstrike w:val="false"/>
                  <w:color w:val="000000"/>
                  <w:sz w:val="18"/>
                  <w:u w:val="none"/>
                  <w:effect w:val="none"/>
                </w:rPr>
                <w:t>93</w:t>
              </w:r>
            </w:hyperlink>
          </w:p>
        </w:tc>
      </w:tr>
      <w:tr>
        <w:trPr/>
        <w:tc>
          <w:tcPr>
            <w:tcW w:w="3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75bec4631da4b22a64426a3a4f02a78_205">
              <w:r>
                <w:rPr>
                  <w:rStyle w:val="InternetLink"/>
                  <w:rFonts w:ascii="Times New Roman;serif" w:hAnsi="Times New Roman;serif"/>
                  <w:b w:val="false"/>
                  <w:strike w:val="false"/>
                  <w:dstrike w:val="false"/>
                  <w:color w:val="000080"/>
                  <w:sz w:val="18"/>
                  <w:u w:val="single"/>
                  <w:effect w:val="none"/>
                </w:rPr>
                <w:t xml:space="preserve">Note </w:t>
              </w:r>
            </w:hyperlink>
            <w:hyperlink w:anchor="i275bec4631da4b22a64426a3a4f02a78_205">
              <w:r>
                <w:rPr>
                  <w:rStyle w:val="InternetLink"/>
                  <w:rFonts w:ascii="Times New Roman;serif" w:hAnsi="Times New Roman;serif"/>
                  <w:b w:val="false"/>
                  <w:strike w:val="false"/>
                  <w:dstrike w:val="false"/>
                  <w:color w:val="000080"/>
                  <w:sz w:val="18"/>
                  <w:u w:val="single"/>
                  <w:effect w:val="none"/>
                </w:rPr>
                <w:t>8</w:t>
              </w:r>
            </w:hyperlink>
            <w:hyperlink w:anchor="i275bec4631da4b22a64426a3a4f02a78_205">
              <w:r>
                <w:rPr>
                  <w:rStyle w:val="InternetLink"/>
                  <w:rFonts w:ascii="Times New Roman;serif" w:hAnsi="Times New Roman;serif"/>
                  <w:b w:val="false"/>
                  <w:strike w:val="false"/>
                  <w:dstrike w:val="false"/>
                  <w:color w:val="000080"/>
                  <w:sz w:val="18"/>
                  <w:u w:val="single"/>
                  <w:effect w:val="none"/>
                </w:rPr>
                <w:t xml:space="preserve"> – Prepaid Expenses and Other</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75bec4631da4b22a64426a3a4f02a78_205">
              <w:r>
                <w:rPr>
                  <w:rStyle w:val="InternetLink"/>
                  <w:rFonts w:ascii="Times New Roman;serif" w:hAnsi="Times New Roman;serif"/>
                  <w:b w:val="false"/>
                  <w:strike w:val="false"/>
                  <w:dstrike w:val="false"/>
                  <w:color w:val="000000"/>
                  <w:sz w:val="18"/>
                  <w:u w:val="none"/>
                  <w:effect w:val="none"/>
                </w:rPr>
                <w:t>95</w:t>
              </w:r>
            </w:hyperlink>
          </w:p>
        </w:tc>
      </w:tr>
      <w:tr>
        <w:trPr/>
        <w:tc>
          <w:tcPr>
            <w:tcW w:w="3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75bec4631da4b22a64426a3a4f02a78_208">
              <w:r>
                <w:rPr>
                  <w:rStyle w:val="InternetLink"/>
                  <w:rFonts w:ascii="Times New Roman;serif" w:hAnsi="Times New Roman;serif"/>
                  <w:b w:val="false"/>
                  <w:strike w:val="false"/>
                  <w:dstrike w:val="false"/>
                  <w:color w:val="000080"/>
                  <w:sz w:val="18"/>
                  <w:u w:val="single"/>
                  <w:effect w:val="none"/>
                </w:rPr>
                <w:t xml:space="preserve">Note </w:t>
              </w:r>
            </w:hyperlink>
            <w:hyperlink w:anchor="i275bec4631da4b22a64426a3a4f02a78_208">
              <w:r>
                <w:rPr>
                  <w:rStyle w:val="InternetLink"/>
                  <w:rFonts w:ascii="Times New Roman;serif" w:hAnsi="Times New Roman;serif"/>
                  <w:b w:val="false"/>
                  <w:strike w:val="false"/>
                  <w:dstrike w:val="false"/>
                  <w:color w:val="000080"/>
                  <w:sz w:val="18"/>
                  <w:u w:val="single"/>
                  <w:effect w:val="none"/>
                </w:rPr>
                <w:t>9</w:t>
              </w:r>
            </w:hyperlink>
            <w:hyperlink w:anchor="i275bec4631da4b22a64426a3a4f02a78_208">
              <w:r>
                <w:rPr>
                  <w:rStyle w:val="InternetLink"/>
                  <w:rFonts w:ascii="Times New Roman;serif" w:hAnsi="Times New Roman;serif"/>
                  <w:b w:val="false"/>
                  <w:strike w:val="false"/>
                  <w:dstrike w:val="false"/>
                  <w:color w:val="000080"/>
                  <w:sz w:val="18"/>
                  <w:u w:val="single"/>
                  <w:effect w:val="none"/>
                </w:rPr>
                <w:t xml:space="preserve"> – Other Assets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75bec4631da4b22a64426a3a4f02a78_208">
              <w:r>
                <w:rPr>
                  <w:rStyle w:val="InternetLink"/>
                  <w:rFonts w:ascii="Times New Roman;serif" w:hAnsi="Times New Roman;serif"/>
                  <w:b w:val="false"/>
                  <w:strike w:val="false"/>
                  <w:dstrike w:val="false"/>
                  <w:color w:val="000000"/>
                  <w:sz w:val="18"/>
                  <w:u w:val="none"/>
                  <w:effect w:val="none"/>
                </w:rPr>
                <w:t>95</w:t>
              </w:r>
            </w:hyperlink>
          </w:p>
        </w:tc>
      </w:tr>
      <w:tr>
        <w:trPr/>
        <w:tc>
          <w:tcPr>
            <w:tcW w:w="3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75bec4631da4b22a64426a3a4f02a78_211">
              <w:r>
                <w:rPr>
                  <w:rStyle w:val="InternetLink"/>
                  <w:rFonts w:ascii="Times New Roman;serif" w:hAnsi="Times New Roman;serif"/>
                  <w:b w:val="false"/>
                  <w:strike w:val="false"/>
                  <w:dstrike w:val="false"/>
                  <w:color w:val="000080"/>
                  <w:sz w:val="18"/>
                  <w:u w:val="single"/>
                  <w:effect w:val="none"/>
                </w:rPr>
                <w:t xml:space="preserve">Note </w:t>
              </w:r>
            </w:hyperlink>
            <w:hyperlink w:anchor="i275bec4631da4b22a64426a3a4f02a78_211">
              <w:r>
                <w:rPr>
                  <w:rStyle w:val="InternetLink"/>
                  <w:rFonts w:ascii="Times New Roman;serif" w:hAnsi="Times New Roman;serif"/>
                  <w:b w:val="false"/>
                  <w:strike w:val="false"/>
                  <w:dstrike w:val="false"/>
                  <w:color w:val="000080"/>
                  <w:sz w:val="18"/>
                  <w:u w:val="single"/>
                  <w:effect w:val="none"/>
                </w:rPr>
                <w:t>10</w:t>
              </w:r>
            </w:hyperlink>
            <w:hyperlink w:anchor="i275bec4631da4b22a64426a3a4f02a78_211">
              <w:r>
                <w:rPr>
                  <w:rStyle w:val="InternetLink"/>
                  <w:rFonts w:ascii="Times New Roman;serif" w:hAnsi="Times New Roman;serif"/>
                  <w:b w:val="false"/>
                  <w:strike w:val="false"/>
                  <w:dstrike w:val="false"/>
                  <w:color w:val="000080"/>
                  <w:sz w:val="18"/>
                  <w:u w:val="single"/>
                  <w:effect w:val="none"/>
                </w:rPr>
                <w:t xml:space="preserve"> – Accumulated Other Comprehensive Income (Loss)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75bec4631da4b22a64426a3a4f02a78_211">
              <w:r>
                <w:rPr>
                  <w:rStyle w:val="InternetLink"/>
                  <w:rFonts w:ascii="Times New Roman;serif" w:hAnsi="Times New Roman;serif"/>
                  <w:b w:val="false"/>
                  <w:strike w:val="false"/>
                  <w:dstrike w:val="false"/>
                  <w:color w:val="000000"/>
                  <w:sz w:val="18"/>
                  <w:u w:val="none"/>
                  <w:effect w:val="none"/>
                </w:rPr>
                <w:t>96</w:t>
              </w:r>
            </w:hyperlink>
          </w:p>
        </w:tc>
      </w:tr>
      <w:tr>
        <w:trPr/>
        <w:tc>
          <w:tcPr>
            <w:tcW w:w="3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75bec4631da4b22a64426a3a4f02a78_214">
              <w:r>
                <w:rPr>
                  <w:rStyle w:val="InternetLink"/>
                  <w:rFonts w:ascii="Times New Roman;serif" w:hAnsi="Times New Roman;serif"/>
                  <w:b w:val="false"/>
                  <w:strike w:val="false"/>
                  <w:dstrike w:val="false"/>
                  <w:color w:val="000080"/>
                  <w:sz w:val="18"/>
                  <w:u w:val="single"/>
                  <w:effect w:val="none"/>
                </w:rPr>
                <w:t>Note 1</w:t>
              </w:r>
            </w:hyperlink>
            <w:hyperlink w:anchor="i275bec4631da4b22a64426a3a4f02a78_214">
              <w:r>
                <w:rPr>
                  <w:rStyle w:val="InternetLink"/>
                  <w:rFonts w:ascii="Times New Roman;serif" w:hAnsi="Times New Roman;serif"/>
                  <w:b w:val="false"/>
                  <w:strike w:val="false"/>
                  <w:dstrike w:val="false"/>
                  <w:color w:val="000080"/>
                  <w:sz w:val="18"/>
                  <w:u w:val="single"/>
                  <w:effect w:val="none"/>
                </w:rPr>
                <w:t>1</w:t>
              </w:r>
            </w:hyperlink>
            <w:hyperlink w:anchor="i275bec4631da4b22a64426a3a4f02a78_214">
              <w:r>
                <w:rPr>
                  <w:rStyle w:val="InternetLink"/>
                  <w:rFonts w:ascii="Times New Roman;serif" w:hAnsi="Times New Roman;serif"/>
                  <w:b w:val="false"/>
                  <w:strike w:val="false"/>
                  <w:dstrike w:val="false"/>
                  <w:color w:val="000080"/>
                  <w:sz w:val="18"/>
                  <w:u w:val="single"/>
                  <w:effect w:val="none"/>
                </w:rPr>
                <w:t xml:space="preserve"> – Fair Value of Financial Instruments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75bec4631da4b22a64426a3a4f02a78_214">
              <w:r>
                <w:rPr>
                  <w:rStyle w:val="InternetLink"/>
                  <w:rFonts w:ascii="Times New Roman;serif" w:hAnsi="Times New Roman;serif"/>
                  <w:b w:val="false"/>
                  <w:strike w:val="false"/>
                  <w:dstrike w:val="false"/>
                  <w:color w:val="000000"/>
                  <w:sz w:val="18"/>
                  <w:u w:val="none"/>
                  <w:effect w:val="none"/>
                </w:rPr>
                <w:t>99</w:t>
              </w:r>
            </w:hyperlink>
          </w:p>
        </w:tc>
      </w:tr>
      <w:tr>
        <w:trPr/>
        <w:tc>
          <w:tcPr>
            <w:tcW w:w="3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75bec4631da4b22a64426a3a4f02a78_217">
              <w:r>
                <w:rPr>
                  <w:rStyle w:val="InternetLink"/>
                  <w:rFonts w:ascii="Times New Roman;serif" w:hAnsi="Times New Roman;serif"/>
                  <w:b w:val="false"/>
                  <w:strike w:val="false"/>
                  <w:dstrike w:val="false"/>
                  <w:color w:val="000080"/>
                  <w:sz w:val="18"/>
                  <w:u w:val="single"/>
                  <w:effect w:val="none"/>
                </w:rPr>
                <w:t>Note 1</w:t>
              </w:r>
            </w:hyperlink>
            <w:hyperlink w:anchor="i275bec4631da4b22a64426a3a4f02a78_217">
              <w:r>
                <w:rPr>
                  <w:rStyle w:val="InternetLink"/>
                  <w:rFonts w:ascii="Times New Roman;serif" w:hAnsi="Times New Roman;serif"/>
                  <w:b w:val="false"/>
                  <w:strike w:val="false"/>
                  <w:dstrike w:val="false"/>
                  <w:color w:val="000080"/>
                  <w:sz w:val="18"/>
                  <w:u w:val="single"/>
                  <w:effect w:val="none"/>
                </w:rPr>
                <w:t>2</w:t>
              </w:r>
            </w:hyperlink>
            <w:hyperlink w:anchor="i275bec4631da4b22a64426a3a4f02a78_217">
              <w:r>
                <w:rPr>
                  <w:rStyle w:val="InternetLink"/>
                  <w:rFonts w:ascii="Times New Roman;serif" w:hAnsi="Times New Roman;serif"/>
                  <w:b w:val="false"/>
                  <w:strike w:val="false"/>
                  <w:dstrike w:val="false"/>
                  <w:color w:val="000080"/>
                  <w:sz w:val="18"/>
                  <w:u w:val="single"/>
                  <w:effect w:val="none"/>
                </w:rPr>
                <w:t xml:space="preserve"> – Accrued Liabilities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75bec4631da4b22a64426a3a4f02a78_217">
              <w:r>
                <w:rPr>
                  <w:rStyle w:val="InternetLink"/>
                  <w:rFonts w:ascii="Times New Roman;serif" w:hAnsi="Times New Roman;serif"/>
                  <w:b w:val="false"/>
                  <w:strike w:val="false"/>
                  <w:dstrike w:val="false"/>
                  <w:color w:val="000000"/>
                  <w:sz w:val="18"/>
                  <w:u w:val="none"/>
                  <w:effect w:val="none"/>
                </w:rPr>
                <w:t>102</w:t>
              </w:r>
            </w:hyperlink>
          </w:p>
        </w:tc>
      </w:tr>
      <w:tr>
        <w:trPr/>
        <w:tc>
          <w:tcPr>
            <w:tcW w:w="3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75bec4631da4b22a64426a3a4f02a78_220">
              <w:r>
                <w:rPr>
                  <w:rStyle w:val="InternetLink"/>
                  <w:rFonts w:ascii="Times New Roman;serif" w:hAnsi="Times New Roman;serif"/>
                  <w:b w:val="false"/>
                  <w:strike w:val="false"/>
                  <w:dstrike w:val="false"/>
                  <w:color w:val="000080"/>
                  <w:sz w:val="18"/>
                  <w:u w:val="single"/>
                  <w:effect w:val="none"/>
                </w:rPr>
                <w:t>Note 1</w:t>
              </w:r>
            </w:hyperlink>
            <w:hyperlink w:anchor="i275bec4631da4b22a64426a3a4f02a78_220">
              <w:r>
                <w:rPr>
                  <w:rStyle w:val="InternetLink"/>
                  <w:rFonts w:ascii="Times New Roman;serif" w:hAnsi="Times New Roman;serif"/>
                  <w:b w:val="false"/>
                  <w:strike w:val="false"/>
                  <w:dstrike w:val="false"/>
                  <w:color w:val="000080"/>
                  <w:sz w:val="18"/>
                  <w:u w:val="single"/>
                  <w:effect w:val="none"/>
                </w:rPr>
                <w:t>3</w:t>
              </w:r>
            </w:hyperlink>
            <w:hyperlink w:anchor="i275bec4631da4b22a64426a3a4f02a78_220">
              <w:r>
                <w:rPr>
                  <w:rStyle w:val="InternetLink"/>
                  <w:rFonts w:ascii="Times New Roman;serif" w:hAnsi="Times New Roman;serif"/>
                  <w:b w:val="false"/>
                  <w:strike w:val="false"/>
                  <w:dstrike w:val="false"/>
                  <w:color w:val="000080"/>
                  <w:sz w:val="18"/>
                  <w:u w:val="single"/>
                  <w:effect w:val="none"/>
                </w:rPr>
                <w:t xml:space="preserve"> – Other Liabilities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75bec4631da4b22a64426a3a4f02a78_220">
              <w:r>
                <w:rPr>
                  <w:rStyle w:val="InternetLink"/>
                  <w:rFonts w:ascii="Times New Roman;serif" w:hAnsi="Times New Roman;serif"/>
                  <w:b w:val="false"/>
                  <w:strike w:val="false"/>
                  <w:dstrike w:val="false"/>
                  <w:color w:val="000000"/>
                  <w:sz w:val="18"/>
                  <w:u w:val="none"/>
                  <w:effect w:val="none"/>
                </w:rPr>
                <w:t>102</w:t>
              </w:r>
            </w:hyperlink>
          </w:p>
        </w:tc>
      </w:tr>
      <w:tr>
        <w:trPr/>
        <w:tc>
          <w:tcPr>
            <w:tcW w:w="3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75bec4631da4b22a64426a3a4f02a78_223">
              <w:r>
                <w:rPr>
                  <w:rStyle w:val="InternetLink"/>
                  <w:rFonts w:ascii="Times New Roman;serif" w:hAnsi="Times New Roman;serif"/>
                  <w:b w:val="false"/>
                  <w:strike w:val="false"/>
                  <w:dstrike w:val="false"/>
                  <w:color w:val="000080"/>
                  <w:sz w:val="18"/>
                  <w:u w:val="single"/>
                  <w:effect w:val="none"/>
                </w:rPr>
                <w:t>Note 1</w:t>
              </w:r>
            </w:hyperlink>
            <w:hyperlink w:anchor="i275bec4631da4b22a64426a3a4f02a78_223">
              <w:r>
                <w:rPr>
                  <w:rStyle w:val="InternetLink"/>
                  <w:rFonts w:ascii="Times New Roman;serif" w:hAnsi="Times New Roman;serif"/>
                  <w:b w:val="false"/>
                  <w:strike w:val="false"/>
                  <w:dstrike w:val="false"/>
                  <w:color w:val="000080"/>
                  <w:sz w:val="18"/>
                  <w:u w:val="single"/>
                  <w:effect w:val="none"/>
                </w:rPr>
                <w:t>4</w:t>
              </w:r>
            </w:hyperlink>
            <w:hyperlink w:anchor="i275bec4631da4b22a64426a3a4f02a78_223">
              <w:r>
                <w:rPr>
                  <w:rStyle w:val="InternetLink"/>
                  <w:rFonts w:ascii="Times New Roman;serif" w:hAnsi="Times New Roman;serif"/>
                  <w:b w:val="false"/>
                  <w:strike w:val="false"/>
                  <w:dstrike w:val="false"/>
                  <w:color w:val="000080"/>
                  <w:sz w:val="18"/>
                  <w:u w:val="single"/>
                  <w:effect w:val="none"/>
                </w:rPr>
                <w:t xml:space="preserve"> – Debt</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75bec4631da4b22a64426a3a4f02a78_223">
              <w:r>
                <w:rPr>
                  <w:rStyle w:val="InternetLink"/>
                  <w:rFonts w:ascii="Times New Roman;serif" w:hAnsi="Times New Roman;serif"/>
                  <w:b w:val="false"/>
                  <w:strike w:val="false"/>
                  <w:dstrike w:val="false"/>
                  <w:color w:val="000000"/>
                  <w:sz w:val="18"/>
                  <w:u w:val="none"/>
                  <w:effect w:val="none"/>
                </w:rPr>
                <w:t>103</w:t>
              </w:r>
            </w:hyperlink>
          </w:p>
        </w:tc>
      </w:tr>
      <w:tr>
        <w:trPr/>
        <w:tc>
          <w:tcPr>
            <w:tcW w:w="3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75bec4631da4b22a64426a3a4f02a78_226">
              <w:r>
                <w:rPr>
                  <w:rStyle w:val="InternetLink"/>
                  <w:rFonts w:ascii="Times New Roman;serif" w:hAnsi="Times New Roman;serif"/>
                  <w:b w:val="false"/>
                  <w:strike w:val="false"/>
                  <w:dstrike w:val="false"/>
                  <w:color w:val="000080"/>
                  <w:sz w:val="18"/>
                  <w:u w:val="single"/>
                  <w:effect w:val="none"/>
                </w:rPr>
                <w:t>Note 1</w:t>
              </w:r>
            </w:hyperlink>
            <w:hyperlink w:anchor="i275bec4631da4b22a64426a3a4f02a78_226">
              <w:r>
                <w:rPr>
                  <w:rStyle w:val="InternetLink"/>
                  <w:rFonts w:ascii="Times New Roman;serif" w:hAnsi="Times New Roman;serif"/>
                  <w:b w:val="false"/>
                  <w:strike w:val="false"/>
                  <w:dstrike w:val="false"/>
                  <w:color w:val="000080"/>
                  <w:sz w:val="18"/>
                  <w:u w:val="single"/>
                  <w:effect w:val="none"/>
                </w:rPr>
                <w:t>5</w:t>
              </w:r>
            </w:hyperlink>
            <w:hyperlink w:anchor="i275bec4631da4b22a64426a3a4f02a78_226">
              <w:r>
                <w:rPr>
                  <w:rStyle w:val="InternetLink"/>
                  <w:rFonts w:ascii="Times New Roman;serif" w:hAnsi="Times New Roman;serif"/>
                  <w:b w:val="false"/>
                  <w:strike w:val="false"/>
                  <w:dstrike w:val="false"/>
                  <w:color w:val="000080"/>
                  <w:sz w:val="18"/>
                  <w:u w:val="single"/>
                  <w:effect w:val="none"/>
                </w:rPr>
                <w:t xml:space="preserve"> – Accounts Receivable</w:t>
              </w:r>
            </w:hyperlink>
            <w:r>
              <w:rPr>
                <w:rFonts w:ascii="Times New Roman;serif" w:hAnsi="Times New Roman;serif"/>
                <w:b w:val="false"/>
                <w:color w:val="000000"/>
                <w:sz w:val="18"/>
              </w:rPr>
              <w:t xml:space="preserve"> and Credit Losses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75bec4631da4b22a64426a3a4f02a78_226">
              <w:r>
                <w:rPr>
                  <w:rStyle w:val="InternetLink"/>
                  <w:rFonts w:ascii="Times New Roman;serif" w:hAnsi="Times New Roman;serif"/>
                  <w:b w:val="false"/>
                  <w:strike w:val="false"/>
                  <w:dstrike w:val="false"/>
                  <w:color w:val="000000"/>
                  <w:sz w:val="18"/>
                  <w:u w:val="none"/>
                  <w:effect w:val="none"/>
                </w:rPr>
                <w:t>106</w:t>
              </w:r>
            </w:hyperlink>
          </w:p>
        </w:tc>
      </w:tr>
      <w:tr>
        <w:trPr/>
        <w:tc>
          <w:tcPr>
            <w:tcW w:w="3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75bec4631da4b22a64426a3a4f02a78_229">
              <w:r>
                <w:rPr>
                  <w:rStyle w:val="InternetLink"/>
                  <w:rFonts w:ascii="Times New Roman;serif" w:hAnsi="Times New Roman;serif"/>
                  <w:b w:val="false"/>
                  <w:strike w:val="false"/>
                  <w:dstrike w:val="false"/>
                  <w:color w:val="000080"/>
                  <w:sz w:val="18"/>
                  <w:u w:val="single"/>
                  <w:effect w:val="none"/>
                </w:rPr>
                <w:t>Note 1</w:t>
              </w:r>
            </w:hyperlink>
            <w:hyperlink w:anchor="i275bec4631da4b22a64426a3a4f02a78_229">
              <w:r>
                <w:rPr>
                  <w:rStyle w:val="InternetLink"/>
                  <w:rFonts w:ascii="Times New Roman;serif" w:hAnsi="Times New Roman;serif"/>
                  <w:b w:val="false"/>
                  <w:strike w:val="false"/>
                  <w:dstrike w:val="false"/>
                  <w:color w:val="000080"/>
                  <w:sz w:val="18"/>
                  <w:u w:val="single"/>
                  <w:effect w:val="none"/>
                </w:rPr>
                <w:t>6</w:t>
              </w:r>
            </w:hyperlink>
            <w:hyperlink w:anchor="i275bec4631da4b22a64426a3a4f02a78_229">
              <w:r>
                <w:rPr>
                  <w:rStyle w:val="InternetLink"/>
                  <w:rFonts w:ascii="Times New Roman;serif" w:hAnsi="Times New Roman;serif"/>
                  <w:b w:val="false"/>
                  <w:strike w:val="false"/>
                  <w:dstrike w:val="false"/>
                  <w:color w:val="000080"/>
                  <w:sz w:val="18"/>
                  <w:u w:val="single"/>
                  <w:effect w:val="none"/>
                </w:rPr>
                <w:t xml:space="preserve"> – Leases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75bec4631da4b22a64426a3a4f02a78_229">
              <w:r>
                <w:rPr>
                  <w:rStyle w:val="InternetLink"/>
                  <w:rFonts w:ascii="Times New Roman;serif" w:hAnsi="Times New Roman;serif"/>
                  <w:b w:val="false"/>
                  <w:strike w:val="false"/>
                  <w:dstrike w:val="false"/>
                  <w:color w:val="000000"/>
                  <w:sz w:val="18"/>
                  <w:u w:val="none"/>
                  <w:effect w:val="none"/>
                </w:rPr>
                <w:t>107</w:t>
              </w:r>
            </w:hyperlink>
          </w:p>
        </w:tc>
      </w:tr>
      <w:tr>
        <w:trPr/>
        <w:tc>
          <w:tcPr>
            <w:tcW w:w="3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75bec4631da4b22a64426a3a4f02a78_232">
              <w:r>
                <w:rPr>
                  <w:rStyle w:val="InternetLink"/>
                  <w:rFonts w:ascii="Times New Roman;serif" w:hAnsi="Times New Roman;serif"/>
                  <w:b w:val="false"/>
                  <w:strike w:val="false"/>
                  <w:dstrike w:val="false"/>
                  <w:color w:val="000080"/>
                  <w:sz w:val="18"/>
                  <w:u w:val="single"/>
                  <w:effect w:val="none"/>
                </w:rPr>
                <w:t>Note 1</w:t>
              </w:r>
            </w:hyperlink>
            <w:hyperlink w:anchor="i275bec4631da4b22a64426a3a4f02a78_232">
              <w:r>
                <w:rPr>
                  <w:rStyle w:val="InternetLink"/>
                  <w:rFonts w:ascii="Times New Roman;serif" w:hAnsi="Times New Roman;serif"/>
                  <w:b w:val="false"/>
                  <w:strike w:val="false"/>
                  <w:dstrike w:val="false"/>
                  <w:color w:val="000080"/>
                  <w:sz w:val="18"/>
                  <w:u w:val="single"/>
                  <w:effect w:val="none"/>
                </w:rPr>
                <w:t>7</w:t>
              </w:r>
            </w:hyperlink>
            <w:hyperlink w:anchor="i275bec4631da4b22a64426a3a4f02a78_232">
              <w:r>
                <w:rPr>
                  <w:rStyle w:val="InternetLink"/>
                  <w:rFonts w:ascii="Times New Roman;serif" w:hAnsi="Times New Roman;serif"/>
                  <w:b w:val="false"/>
                  <w:strike w:val="false"/>
                  <w:dstrike w:val="false"/>
                  <w:color w:val="000080"/>
                  <w:sz w:val="18"/>
                  <w:u w:val="single"/>
                  <w:effect w:val="none"/>
                </w:rPr>
                <w:t xml:space="preserve"> – Share-Based Compensation Plans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75bec4631da4b22a64426a3a4f02a78_232">
              <w:r>
                <w:rPr>
                  <w:rStyle w:val="InternetLink"/>
                  <w:rFonts w:ascii="Times New Roman;serif" w:hAnsi="Times New Roman;serif"/>
                  <w:b w:val="false"/>
                  <w:strike w:val="false"/>
                  <w:dstrike w:val="false"/>
                  <w:color w:val="000000"/>
                  <w:sz w:val="18"/>
                  <w:u w:val="none"/>
                  <w:effect w:val="none"/>
                </w:rPr>
                <w:t>109</w:t>
              </w:r>
            </w:hyperlink>
          </w:p>
        </w:tc>
      </w:tr>
      <w:tr>
        <w:trPr/>
        <w:tc>
          <w:tcPr>
            <w:tcW w:w="3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75bec4631da4b22a64426a3a4f02a78_235">
              <w:r>
                <w:rPr>
                  <w:rStyle w:val="InternetLink"/>
                  <w:rFonts w:ascii="Times New Roman;serif" w:hAnsi="Times New Roman;serif"/>
                  <w:b w:val="false"/>
                  <w:strike w:val="false"/>
                  <w:dstrike w:val="false"/>
                  <w:color w:val="000080"/>
                  <w:sz w:val="18"/>
                  <w:u w:val="single"/>
                  <w:effect w:val="none"/>
                </w:rPr>
                <w:t>Note 1</w:t>
              </w:r>
            </w:hyperlink>
            <w:hyperlink w:anchor="i275bec4631da4b22a64426a3a4f02a78_235">
              <w:r>
                <w:rPr>
                  <w:rStyle w:val="InternetLink"/>
                  <w:rFonts w:ascii="Times New Roman;serif" w:hAnsi="Times New Roman;serif"/>
                  <w:b w:val="false"/>
                  <w:strike w:val="false"/>
                  <w:dstrike w:val="false"/>
                  <w:color w:val="000080"/>
                  <w:sz w:val="18"/>
                  <w:u w:val="single"/>
                  <w:effect w:val="none"/>
                </w:rPr>
                <w:t>8</w:t>
              </w:r>
            </w:hyperlink>
            <w:hyperlink w:anchor="i275bec4631da4b22a64426a3a4f02a78_235">
              <w:r>
                <w:rPr>
                  <w:rStyle w:val="InternetLink"/>
                  <w:rFonts w:ascii="Times New Roman;serif" w:hAnsi="Times New Roman;serif"/>
                  <w:b w:val="false"/>
                  <w:strike w:val="false"/>
                  <w:dstrike w:val="false"/>
                  <w:color w:val="000080"/>
                  <w:sz w:val="18"/>
                  <w:u w:val="single"/>
                  <w:effect w:val="none"/>
                </w:rPr>
                <w:t xml:space="preserve"> – Capital Stock</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75bec4631da4b22a64426a3a4f02a78_235">
              <w:r>
                <w:rPr>
                  <w:rStyle w:val="InternetLink"/>
                  <w:rFonts w:ascii="Times New Roman;serif" w:hAnsi="Times New Roman;serif"/>
                  <w:b w:val="false"/>
                  <w:strike w:val="false"/>
                  <w:dstrike w:val="false"/>
                  <w:color w:val="000000"/>
                  <w:sz w:val="18"/>
                  <w:u w:val="none"/>
                  <w:effect w:val="none"/>
                </w:rPr>
                <w:t>114</w:t>
              </w:r>
            </w:hyperlink>
          </w:p>
        </w:tc>
      </w:tr>
      <w:tr>
        <w:trPr/>
        <w:tc>
          <w:tcPr>
            <w:tcW w:w="3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75bec4631da4b22a64426a3a4f02a78_238">
              <w:r>
                <w:rPr>
                  <w:rStyle w:val="InternetLink"/>
                  <w:rFonts w:ascii="Times New Roman;serif" w:hAnsi="Times New Roman;serif"/>
                  <w:b w:val="false"/>
                  <w:strike w:val="false"/>
                  <w:dstrike w:val="false"/>
                  <w:color w:val="000080"/>
                  <w:sz w:val="18"/>
                  <w:u w:val="single"/>
                  <w:effect w:val="none"/>
                </w:rPr>
                <w:t xml:space="preserve">Note </w:t>
              </w:r>
            </w:hyperlink>
            <w:hyperlink w:anchor="i275bec4631da4b22a64426a3a4f02a78_238">
              <w:r>
                <w:rPr>
                  <w:rStyle w:val="InternetLink"/>
                  <w:rFonts w:ascii="Times New Roman;serif" w:hAnsi="Times New Roman;serif"/>
                  <w:b w:val="false"/>
                  <w:strike w:val="false"/>
                  <w:dstrike w:val="false"/>
                  <w:color w:val="000080"/>
                  <w:sz w:val="18"/>
                  <w:u w:val="single"/>
                  <w:effect w:val="none"/>
                </w:rPr>
                <w:t>19</w:t>
              </w:r>
            </w:hyperlink>
            <w:hyperlink w:anchor="i275bec4631da4b22a64426a3a4f02a78_238">
              <w:r>
                <w:rPr>
                  <w:rStyle w:val="InternetLink"/>
                  <w:rFonts w:ascii="Times New Roman;serif" w:hAnsi="Times New Roman;serif"/>
                  <w:b w:val="false"/>
                  <w:strike w:val="false"/>
                  <w:dstrike w:val="false"/>
                  <w:color w:val="000080"/>
                  <w:sz w:val="18"/>
                  <w:u w:val="single"/>
                  <w:effect w:val="none"/>
                </w:rPr>
                <w:t xml:space="preserve"> – Supplemental Cash Flow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75bec4631da4b22a64426a3a4f02a78_238">
              <w:r>
                <w:rPr>
                  <w:rStyle w:val="InternetLink"/>
                  <w:rFonts w:ascii="Times New Roman;serif" w:hAnsi="Times New Roman;serif"/>
                  <w:b w:val="false"/>
                  <w:strike w:val="false"/>
                  <w:dstrike w:val="false"/>
                  <w:color w:val="000000"/>
                  <w:sz w:val="18"/>
                  <w:u w:val="none"/>
                  <w:effect w:val="none"/>
                </w:rPr>
                <w:t>115</w:t>
              </w:r>
            </w:hyperlink>
          </w:p>
        </w:tc>
      </w:tr>
      <w:tr>
        <w:trPr/>
        <w:tc>
          <w:tcPr>
            <w:tcW w:w="3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75bec4631da4b22a64426a3a4f02a78_241">
              <w:r>
                <w:rPr>
                  <w:rStyle w:val="InternetLink"/>
                  <w:rFonts w:ascii="Times New Roman;serif" w:hAnsi="Times New Roman;serif"/>
                  <w:b w:val="false"/>
                  <w:strike w:val="false"/>
                  <w:dstrike w:val="false"/>
                  <w:color w:val="000080"/>
                  <w:sz w:val="18"/>
                  <w:u w:val="single"/>
                  <w:effect w:val="none"/>
                </w:rPr>
                <w:t>Note 2</w:t>
              </w:r>
            </w:hyperlink>
            <w:hyperlink w:anchor="i275bec4631da4b22a64426a3a4f02a78_241">
              <w:r>
                <w:rPr>
                  <w:rStyle w:val="InternetLink"/>
                  <w:rFonts w:ascii="Times New Roman;serif" w:hAnsi="Times New Roman;serif"/>
                  <w:b w:val="false"/>
                  <w:strike w:val="false"/>
                  <w:dstrike w:val="false"/>
                  <w:color w:val="000080"/>
                  <w:sz w:val="18"/>
                  <w:u w:val="single"/>
                  <w:effect w:val="none"/>
                </w:rPr>
                <w:t>0</w:t>
              </w:r>
            </w:hyperlink>
            <w:hyperlink w:anchor="i275bec4631da4b22a64426a3a4f02a78_241">
              <w:r>
                <w:rPr>
                  <w:rStyle w:val="InternetLink"/>
                  <w:rFonts w:ascii="Times New Roman;serif" w:hAnsi="Times New Roman;serif"/>
                  <w:b w:val="false"/>
                  <w:strike w:val="false"/>
                  <w:dstrike w:val="false"/>
                  <w:color w:val="000080"/>
                  <w:sz w:val="18"/>
                  <w:u w:val="single"/>
                  <w:effect w:val="none"/>
                </w:rPr>
                <w:t xml:space="preserve"> – Other Operating Income (Expense)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75bec4631da4b22a64426a3a4f02a78_241">
              <w:r>
                <w:rPr>
                  <w:rStyle w:val="InternetLink"/>
                  <w:rFonts w:ascii="Times New Roman;serif" w:hAnsi="Times New Roman;serif"/>
                  <w:b w:val="false"/>
                  <w:strike w:val="false"/>
                  <w:dstrike w:val="false"/>
                  <w:color w:val="000000"/>
                  <w:sz w:val="18"/>
                  <w:u w:val="none"/>
                  <w:effect w:val="none"/>
                </w:rPr>
                <w:t>116</w:t>
              </w:r>
            </w:hyperlink>
          </w:p>
        </w:tc>
      </w:tr>
      <w:tr>
        <w:trPr/>
        <w:tc>
          <w:tcPr>
            <w:tcW w:w="3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75bec4631da4b22a64426a3a4f02a78_244">
              <w:r>
                <w:rPr>
                  <w:rStyle w:val="InternetLink"/>
                  <w:rFonts w:ascii="Times New Roman;serif" w:hAnsi="Times New Roman;serif"/>
                  <w:b w:val="false"/>
                  <w:strike w:val="false"/>
                  <w:dstrike w:val="false"/>
                  <w:color w:val="000080"/>
                  <w:sz w:val="18"/>
                  <w:u w:val="single"/>
                  <w:effect w:val="none"/>
                </w:rPr>
                <w:t>Note 2</w:t>
              </w:r>
            </w:hyperlink>
            <w:hyperlink w:anchor="i275bec4631da4b22a64426a3a4f02a78_244">
              <w:r>
                <w:rPr>
                  <w:rStyle w:val="InternetLink"/>
                  <w:rFonts w:ascii="Times New Roman;serif" w:hAnsi="Times New Roman;serif"/>
                  <w:b w:val="false"/>
                  <w:strike w:val="false"/>
                  <w:dstrike w:val="false"/>
                  <w:color w:val="000080"/>
                  <w:sz w:val="18"/>
                  <w:u w:val="single"/>
                  <w:effect w:val="none"/>
                </w:rPr>
                <w:t xml:space="preserve">1 </w:t>
              </w:r>
            </w:hyperlink>
            <w:hyperlink w:anchor="i275bec4631da4b22a64426a3a4f02a78_244">
              <w:r>
                <w:rPr>
                  <w:rStyle w:val="InternetLink"/>
                  <w:rFonts w:ascii="Times New Roman;serif" w:hAnsi="Times New Roman;serif"/>
                  <w:b w:val="false"/>
                  <w:strike w:val="false"/>
                  <w:dstrike w:val="false"/>
                  <w:color w:val="000080"/>
                  <w:sz w:val="18"/>
                  <w:u w:val="single"/>
                  <w:effect w:val="none"/>
                </w:rPr>
                <w:t>– Interest and Other Nonoperating Income (Expense)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75bec4631da4b22a64426a3a4f02a78_244">
              <w:r>
                <w:rPr>
                  <w:rStyle w:val="InternetLink"/>
                  <w:rFonts w:ascii="Times New Roman;serif" w:hAnsi="Times New Roman;serif"/>
                  <w:b w:val="false"/>
                  <w:strike w:val="false"/>
                  <w:dstrike w:val="false"/>
                  <w:color w:val="000000"/>
                  <w:sz w:val="18"/>
                  <w:u w:val="none"/>
                  <w:effect w:val="none"/>
                </w:rPr>
                <w:t>116</w:t>
              </w:r>
            </w:hyperlink>
          </w:p>
        </w:tc>
      </w:tr>
      <w:tr>
        <w:trPr/>
        <w:tc>
          <w:tcPr>
            <w:tcW w:w="32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75bec4631da4b22a64426a3a4f02a78_247">
              <w:r>
                <w:rPr>
                  <w:rStyle w:val="InternetLink"/>
                  <w:rFonts w:ascii="Times New Roman;serif" w:hAnsi="Times New Roman;serif"/>
                  <w:b w:val="false"/>
                  <w:strike w:val="false"/>
                  <w:dstrike w:val="false"/>
                  <w:color w:val="000080"/>
                  <w:sz w:val="18"/>
                  <w:u w:val="single"/>
                  <w:effect w:val="none"/>
                </w:rPr>
                <w:t>Note 2</w:t>
              </w:r>
            </w:hyperlink>
            <w:hyperlink w:anchor="i275bec4631da4b22a64426a3a4f02a78_247">
              <w:r>
                <w:rPr>
                  <w:rStyle w:val="InternetLink"/>
                  <w:rFonts w:ascii="Times New Roman;serif" w:hAnsi="Times New Roman;serif"/>
                  <w:b w:val="false"/>
                  <w:strike w:val="false"/>
                  <w:dstrike w:val="false"/>
                  <w:color w:val="000080"/>
                  <w:sz w:val="18"/>
                  <w:u w:val="single"/>
                  <w:effect w:val="none"/>
                </w:rPr>
                <w:t>2</w:t>
              </w:r>
            </w:hyperlink>
            <w:hyperlink w:anchor="i275bec4631da4b22a64426a3a4f02a78_247">
              <w:r>
                <w:rPr>
                  <w:rStyle w:val="InternetLink"/>
                  <w:rFonts w:ascii="Times New Roman;serif" w:hAnsi="Times New Roman;serif"/>
                  <w:b w:val="false"/>
                  <w:strike w:val="false"/>
                  <w:dstrike w:val="false"/>
                  <w:color w:val="000080"/>
                  <w:sz w:val="18"/>
                  <w:u w:val="single"/>
                  <w:effect w:val="none"/>
                </w:rPr>
                <w:t xml:space="preserve"> – Other Commitments and Contingencies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75bec4631da4b22a64426a3a4f02a78_247">
              <w:r>
                <w:rPr>
                  <w:rStyle w:val="InternetLink"/>
                  <w:rFonts w:ascii="Times New Roman;serif" w:hAnsi="Times New Roman;serif"/>
                  <w:b w:val="false"/>
                  <w:strike w:val="false"/>
                  <w:dstrike w:val="false"/>
                  <w:color w:val="000000"/>
                  <w:sz w:val="18"/>
                  <w:u w:val="none"/>
                  <w:effect w:val="none"/>
                </w:rPr>
                <w:t>117</w:t>
              </w:r>
            </w:hyperlink>
          </w:p>
        </w:tc>
      </w:tr>
      <w:tr>
        <w:trPr/>
        <w:tc>
          <w:tcPr>
            <w:tcW w:w="3245" w:type="dxa"/>
            <w:gridSpan w:val="3"/>
            <w:tcBorders/>
            <w:vAlign w:val="center"/>
          </w:tcPr>
          <w:p>
            <w:pPr>
              <w:pStyle w:val="TableContents"/>
              <w:bidi w:val="0"/>
              <w:spacing w:before="0" w:after="283"/>
              <w:jc w:val="left"/>
              <w:rPr>
                <w:sz w:val="4"/>
                <w:szCs w:val="4"/>
              </w:rPr>
            </w:pPr>
            <w:r>
              <w:rPr>
                <w:sz w:val="4"/>
                <w:szCs w:val="4"/>
              </w:rPr>
            </w:r>
          </w:p>
        </w:tc>
        <w:tc>
          <w:tcPr>
            <w:tcW w:w="5684"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r>
      <w:tr>
        <w:trPr/>
        <w:tc>
          <w:tcPr>
            <w:tcW w:w="3245" w:type="dxa"/>
            <w:gridSpan w:val="3"/>
            <w:tcBorders/>
            <w:vAlign w:val="center"/>
          </w:tcPr>
          <w:p>
            <w:pPr>
              <w:pStyle w:val="TableContents"/>
              <w:bidi w:val="0"/>
              <w:spacing w:before="0" w:after="283"/>
              <w:jc w:val="left"/>
              <w:rPr>
                <w:sz w:val="4"/>
                <w:szCs w:val="4"/>
              </w:rPr>
            </w:pPr>
            <w:r>
              <w:rPr>
                <w:sz w:val="4"/>
                <w:szCs w:val="4"/>
              </w:rPr>
            </w:r>
          </w:p>
        </w:tc>
        <w:tc>
          <w:tcPr>
            <w:tcW w:w="5684"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r>
      <w:tr>
        <w:trPr/>
        <w:tc>
          <w:tcPr>
            <w:tcW w:w="3245" w:type="dxa"/>
            <w:gridSpan w:val="3"/>
            <w:tcBorders/>
            <w:vAlign w:val="center"/>
          </w:tcPr>
          <w:p>
            <w:pPr>
              <w:pStyle w:val="TableContents"/>
              <w:bidi w:val="0"/>
              <w:spacing w:before="0" w:after="283"/>
              <w:jc w:val="left"/>
              <w:rPr>
                <w:sz w:val="4"/>
                <w:szCs w:val="4"/>
              </w:rPr>
            </w:pPr>
            <w:r>
              <w:rPr>
                <w:sz w:val="4"/>
                <w:szCs w:val="4"/>
              </w:rPr>
            </w:r>
          </w:p>
        </w:tc>
        <w:tc>
          <w:tcPr>
            <w:tcW w:w="5684"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31445"/>
                <wp:effectExtent l="0" t="0" r="0" b="0"/>
                <wp:wrapNone/>
                <wp:docPr id="62" name="Frame6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Report of Independent Registered Public Accounting Firm</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To the Shareholders and Board of Directors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Brink's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Opinion on the Consolidated Financial Statements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 xml:space="preserve">We have audited the accompanying consolidated balance sheets of The Brink's Company and subsidiaries (the Company) as of December 31, 2025 and 2024, the related consolidated statements of operations, comprehensive income (loss), equity, and cash flows for each of the years in the three-year period ended December 31, 2025, and the related notes (collectively, the consolidated financial statements). In our opinion, the consolidated financial statements present fairly, in all material respects, the financial position of the Company as of </w:t>
      </w:r>
      <w:r>
        <w:rPr>
          <w:rFonts w:ascii="Times New Roman;serif" w:hAnsi="Times New Roman;serif"/>
          <w:b w:val="false"/>
          <w:color w:val="000000"/>
          <w:sz w:val="18"/>
        </w:rPr>
        <w:t>December 31, 2025</w:t>
      </w:r>
      <w:r>
        <w:rPr>
          <w:color w:val="000000"/>
        </w:rPr>
        <w:t xml:space="preserve"> </w:t>
      </w:r>
      <w:r>
        <w:rPr>
          <w:rFonts w:ascii="Times New Roman;serif" w:hAnsi="Times New Roman;serif"/>
          <w:b w:val="false"/>
          <w:color w:val="000000"/>
          <w:sz w:val="18"/>
        </w:rPr>
        <w:t xml:space="preserve">and </w:t>
      </w:r>
      <w:r>
        <w:rPr>
          <w:rFonts w:ascii="Times New Roman;serif" w:hAnsi="Times New Roman;serif"/>
          <w:b w:val="false"/>
          <w:color w:val="000000"/>
          <w:sz w:val="18"/>
        </w:rPr>
        <w:t>2024</w:t>
      </w:r>
      <w:r>
        <w:rPr>
          <w:rFonts w:ascii="Times New Roman;serif" w:hAnsi="Times New Roman;serif"/>
          <w:b w:val="false"/>
          <w:color w:val="000000"/>
          <w:sz w:val="18"/>
        </w:rPr>
        <w:t xml:space="preserve">, and the results of its operations and its cash flows for each of the years in the three-year period ended </w:t>
      </w:r>
      <w:r>
        <w:rPr>
          <w:rFonts w:ascii="Times New Roman;serif" w:hAnsi="Times New Roman;serif"/>
          <w:b w:val="false"/>
          <w:color w:val="000000"/>
          <w:sz w:val="18"/>
        </w:rPr>
        <w:t>December 31, 2025</w:t>
      </w:r>
      <w:r>
        <w:rPr>
          <w:rFonts w:ascii="Times New Roman;serif" w:hAnsi="Times New Roman;serif"/>
          <w:b w:val="false"/>
          <w:color w:val="000000"/>
          <w:sz w:val="18"/>
        </w:rPr>
        <w:t>, in conformity with U.S. generally accepted accounting principles.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 xml:space="preserve">We also have audited, in accordance with the standards of the Public Company Accounting Oversight Board (United States) (PCAOB), the Company’s internal control over financial reporting as of </w:t>
      </w:r>
      <w:r>
        <w:rPr>
          <w:rFonts w:ascii="Times New Roman;serif" w:hAnsi="Times New Roman;serif"/>
          <w:b w:val="false"/>
          <w:color w:val="000000"/>
          <w:sz w:val="18"/>
        </w:rPr>
        <w:t>December 31, 2025</w:t>
      </w:r>
      <w:r>
        <w:rPr>
          <w:rFonts w:ascii="Times New Roman;serif" w:hAnsi="Times New Roman;serif"/>
          <w:b w:val="false"/>
          <w:color w:val="000000"/>
          <w:sz w:val="18"/>
        </w:rPr>
        <w:t>, based on criteria established in Internal Control – Integrated Framework (2013) issued by the Committee of Sponsoring Organizations of the Treadway Commission, and our report dated February 26, 2026 expressed an unqualified opinion on the effectiveness of the Company’s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Basis for Opinion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Critical Audit Matter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Sufficiency of Audit Evidence over Revenue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 xml:space="preserve">As discussed in Note 2 to the Company’s consolidated financial statements, the Company recognizes revenue when it satisfies a performance obligation by transferring control over a product or service to a customer. The Company’s operations are disbursed among many countries. The Company recorded $5,261.2 million of revenue for the year ended </w:t>
      </w:r>
      <w:r>
        <w:rPr>
          <w:rFonts w:ascii="Times New Roman;serif" w:hAnsi="Times New Roman;serif"/>
          <w:b w:val="false"/>
          <w:color w:val="000000"/>
          <w:sz w:val="18"/>
        </w:rPr>
        <w:t>December 31, 2025</w:t>
      </w:r>
      <w:r>
        <w:rPr>
          <w:rFonts w:ascii="Times New Roman;serif" w:hAnsi="Times New Roman;serif"/>
          <w:b w:val="false"/>
          <w:color w:val="000000"/>
          <w:sz w:val="18"/>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identified the evaluation of the sufficiency of audit evidence over revenue as a critical audit matter. Subjective auditor judgment was required to evaluate the sufficiency of audit evidence over revenue, including determining the locations for which procedures were performed, because of the geographical dispersion of the Company’s revenue generating activities.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are the primary procedures we performed to address this critical audit matter. We applied auditor judgment to determine the nature and extent of procedures to be performed over revenue, including the determination of the locations for which those procedures were to be performed. At each Company location for which procedures were performed, we evaluated the design and tested the operating effectiveness of certain internal controls over the Company’s revenue process. For a sample of revenue transactions, we compared the amounts recognized by the Company to relevant underlying documentation such as contracts with customers and cash receipts, or other third-party evidence. At one location, we also performed a software-assisted data analysis to test relationships among certain revenue transactions. We evaluated the sufficiency of audit</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evidence obtained by assessing the results of procedures performed, including the appropriateness of the nature and extent of audit effort.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/s/ KPMG LLP</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have served as the Company’s auditor since 2020.</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Richmond, Virginia</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February 26,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31445"/>
                <wp:effectExtent l="0" t="0" r="0" b="0"/>
                <wp:wrapNone/>
                <wp:docPr id="63" name="Frame6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THE BRINK’S COMPANY</w:t>
      </w:r>
    </w:p>
    <w:p>
      <w:pPr>
        <w:pStyle w:val="TextBody"/>
        <w:bidi w:val="0"/>
        <w:spacing w:lineRule="auto" w:line="288" w:before="0" w:after="0"/>
        <w:jc w:val="center"/>
        <w:rPr/>
      </w:pPr>
      <w:r>
        <w:rPr>
          <w:rFonts w:ascii="Times New Roman;serif" w:hAnsi="Times New Roman;serif"/>
          <w:b/>
          <w:color w:val="000000"/>
          <w:sz w:val="18"/>
        </w:rPr>
        <w:t>and subsidiaries</w:t>
      </w:r>
      <w:r>
        <w:rPr>
          <w:color w:val="000000"/>
        </w:rPr>
        <w:t xml:space="preserve">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Consolidated Balance Sheets</w:t>
      </w:r>
    </w:p>
    <w:tbl>
      <w:tblPr>
        <w:tblW w:w="10102" w:type="dxa"/>
        <w:jc w:val="left"/>
        <w:tblInd w:w="0" w:type="dxa"/>
        <w:tblLayout w:type="fixed"/>
        <w:tblCellMar>
          <w:top w:w="28" w:type="dxa"/>
          <w:left w:w="28" w:type="dxa"/>
          <w:bottom w:w="28" w:type="dxa"/>
          <w:right w:w="28" w:type="dxa"/>
        </w:tblCellMar>
      </w:tblPr>
      <w:tblGrid>
        <w:gridCol w:w="2840"/>
        <w:gridCol w:w="2504"/>
        <w:gridCol w:w="2516"/>
        <w:gridCol w:w="196"/>
        <w:gridCol w:w="706"/>
        <w:gridCol w:w="109"/>
        <w:gridCol w:w="109"/>
        <w:gridCol w:w="109"/>
        <w:gridCol w:w="109"/>
        <w:gridCol w:w="345"/>
        <w:gridCol w:w="346"/>
        <w:gridCol w:w="213"/>
      </w:tblGrid>
      <w:tr>
        <w:trPr/>
        <w:tc>
          <w:tcPr>
            <w:tcW w:w="2840" w:type="dxa"/>
            <w:tcBorders/>
            <w:vAlign w:val="center"/>
          </w:tcPr>
          <w:p>
            <w:pPr>
              <w:pStyle w:val="TableContents"/>
              <w:bidi w:val="0"/>
              <w:spacing w:before="0" w:after="283"/>
              <w:jc w:val="left"/>
              <w:rPr>
                <w:sz w:val="4"/>
                <w:szCs w:val="4"/>
              </w:rPr>
            </w:pPr>
            <w:r>
              <w:rPr>
                <w:sz w:val="4"/>
                <w:szCs w:val="4"/>
              </w:rPr>
            </w:r>
          </w:p>
        </w:tc>
        <w:tc>
          <w:tcPr>
            <w:tcW w:w="2504" w:type="dxa"/>
            <w:tcBorders/>
            <w:vAlign w:val="center"/>
          </w:tcPr>
          <w:p>
            <w:pPr>
              <w:pStyle w:val="TableContents"/>
              <w:bidi w:val="0"/>
              <w:spacing w:before="0" w:after="283"/>
              <w:jc w:val="left"/>
              <w:rPr>
                <w:sz w:val="4"/>
                <w:szCs w:val="4"/>
              </w:rPr>
            </w:pPr>
            <w:r>
              <w:rPr>
                <w:sz w:val="4"/>
                <w:szCs w:val="4"/>
              </w:rPr>
            </w:r>
          </w:p>
        </w:tc>
        <w:tc>
          <w:tcPr>
            <w:tcW w:w="25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786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2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31,</w:t>
            </w:r>
          </w:p>
        </w:tc>
      </w:tr>
      <w:tr>
        <w:trPr/>
        <w:tc>
          <w:tcPr>
            <w:tcW w:w="78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 except for per share amounts)</w:t>
            </w:r>
          </w:p>
        </w:tc>
        <w:tc>
          <w:tcPr>
            <w:tcW w:w="10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r>
      <w:tr>
        <w:trPr/>
        <w:tc>
          <w:tcPr>
            <w:tcW w:w="78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ASSETS</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1,725.9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1,395.3 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541.0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Accounts receivable (net of allowance: 2025 - $20.6; 2024 - $24.5)</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766.0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733.5 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296.1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3,329.0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2,887.9 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Right-of-use assets, net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388.7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354.9 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Property and equipment (net of accumulated depreciation and amortization: 2025 - $1,886.2; 2024 - $1,633.2)</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1,130.5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982.7 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1,515.3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1,434.9 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intangibles (net of accumulated amortization: 2025 - $368.3; 2024 - $321.3)</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385.2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237.3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353.2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7,339.2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6,623.1 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LIABILITIES AND EQUITY</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Short-term borrowings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maturities of long-term debt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319.3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liabilities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1,180.2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1,058.1 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 held for customers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294.2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2,197.9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1,898.4 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3,810.1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3,605.2 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pension costs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147.8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Retirement benefits other than pensions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liabilities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310.2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66.5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6,931.9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6,310.6 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Commitments and contingent liabilities (notes 4, 5, 14, 16, and 22)</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The Brink’s Company (“Brink’s”) shareholders:</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Common stock, par value $1 per share:</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Shares authorized: 100.0</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Shares issued and outstanding: 2025 - 41.1; 2024 - 42.9</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 in excess of par value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632.1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660.7 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earnings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income (loss):</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Benefit plan adjustments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(267.0)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(260.4)</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(406.8)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Unrealized losses on available-for-sale securities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Unrealized gains on cash flow hedges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loss</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(665.6)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(804.1)</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Brink’s shareholders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277.7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184.9 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129.6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equity</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407.3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equity</w:t>
            </w:r>
          </w:p>
        </w:tc>
        <w:tc>
          <w:tcPr>
            <w:tcW w:w="19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7,339.2</w:t>
            </w: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6,623.1 </w:t>
            </w:r>
          </w:p>
        </w:tc>
        <w:tc>
          <w:tcPr>
            <w:tcW w:w="213"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31445"/>
                <wp:effectExtent l="0" t="0" r="0" b="0"/>
                <wp:wrapNone/>
                <wp:docPr id="64" name="Frame6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THE BRINK’S COMPANY</w:t>
      </w:r>
    </w:p>
    <w:p>
      <w:pPr>
        <w:pStyle w:val="TextBody"/>
        <w:bidi w:val="0"/>
        <w:spacing w:lineRule="auto" w:line="288" w:before="0" w:after="0"/>
        <w:jc w:val="center"/>
        <w:rPr/>
      </w:pPr>
      <w:r>
        <w:rPr>
          <w:rFonts w:ascii="Times New Roman;serif" w:hAnsi="Times New Roman;serif"/>
          <w:b/>
          <w:color w:val="000000"/>
          <w:sz w:val="18"/>
        </w:rPr>
        <w:t>and subsidiaries</w:t>
      </w:r>
      <w:r>
        <w:rPr>
          <w:color w:val="000000"/>
        </w:rPr>
        <w:t>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Consolidated Statements of Operations</w:t>
      </w:r>
    </w:p>
    <w:tbl>
      <w:tblPr>
        <w:tblW w:w="8800" w:type="dxa"/>
        <w:jc w:val="left"/>
        <w:tblInd w:w="0" w:type="dxa"/>
        <w:tblLayout w:type="fixed"/>
        <w:tblCellMar>
          <w:top w:w="28" w:type="dxa"/>
          <w:left w:w="28" w:type="dxa"/>
          <w:bottom w:w="28" w:type="dxa"/>
          <w:right w:w="28" w:type="dxa"/>
        </w:tblCellMar>
      </w:tblPr>
      <w:tblGrid>
        <w:gridCol w:w="1945"/>
        <w:gridCol w:w="1716"/>
        <w:gridCol w:w="1723"/>
        <w:gridCol w:w="196"/>
        <w:gridCol w:w="706"/>
        <w:gridCol w:w="109"/>
        <w:gridCol w:w="109"/>
        <w:gridCol w:w="109"/>
        <w:gridCol w:w="109"/>
        <w:gridCol w:w="345"/>
        <w:gridCol w:w="346"/>
        <w:gridCol w:w="156"/>
        <w:gridCol w:w="109"/>
        <w:gridCol w:w="109"/>
        <w:gridCol w:w="109"/>
        <w:gridCol w:w="345"/>
        <w:gridCol w:w="346"/>
        <w:gridCol w:w="213"/>
      </w:tblGrid>
      <w:tr>
        <w:trPr/>
        <w:tc>
          <w:tcPr>
            <w:tcW w:w="1945"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1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Years Ended December 31,</w:t>
            </w:r>
          </w:p>
        </w:tc>
      </w:tr>
      <w:tr>
        <w:trPr/>
        <w:tc>
          <w:tcPr>
            <w:tcW w:w="53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 except for per share amounts)</w:t>
            </w:r>
          </w:p>
        </w:tc>
        <w:tc>
          <w:tcPr>
            <w:tcW w:w="10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r>
      <w:tr>
        <w:trPr/>
        <w:tc>
          <w:tcPr>
            <w:tcW w:w="53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Revenues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5,261.2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4,874.6 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Costs and expenses:</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revenues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3,903.2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3,707.1 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 expenses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778.0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688.1 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costs and expenses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4,681.2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4,577.6 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4,395.2 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operating income (expense)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(54.2)</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profit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585.5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(245.5)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(203.8)</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and other nonoperating income (expense)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from continuing operations before tax</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353.9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235.8 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income taxes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Income from continuing operations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from discontinued operations, net of tax</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net income attributable to noncontrolling interests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 attributable to Brink’s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199.7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Amounts attributable to Brink’s:</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Continuing operations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Discontinued operations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 attributable to Brink’s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199.7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Earnings (loss) per share attributable to Brink’s common shareholders</w:t>
            </w:r>
            <w:r>
              <w:rPr>
                <w:rFonts w:ascii="Times New Roman;serif" w:hAnsi="Times New Roman;serif"/>
                <w:b/>
                <w:color w:val="000000"/>
                <w:sz w:val="10"/>
              </w:rPr>
              <w:t>(a)</w:t>
            </w:r>
            <w:r>
              <w:rPr>
                <w:rFonts w:ascii="Times New Roman;serif" w:hAnsi="Times New Roman;serif"/>
                <w:b/>
                <w:color w:val="000000"/>
                <w:sz w:val="16"/>
              </w:rPr>
              <w:t>:</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Continuing operations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4.74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Discontinued operations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4.73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Continuing operations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4.70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Discontinued operations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4.69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Weighted-average shares</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90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42.5</w:t>
            </w:r>
            <w:r>
              <w:rPr>
                <w:color w:val="000000"/>
              </w:rPr>
              <w:t>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44.8 </w:t>
            </w:r>
          </w:p>
        </w:tc>
        <w:tc>
          <w:tcPr>
            <w:tcW w:w="1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46.9 </w:t>
            </w:r>
          </w:p>
        </w:tc>
        <w:tc>
          <w:tcPr>
            <w:tcW w:w="213"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(a) Amounts may not add due to rounding.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4"/>
        </w:rPr>
      </w:pPr>
      <w:r>
        <w:rPr>
          <w:rFonts w:ascii="Times New Roman;serif" w:hAnsi="Times New Roman;serif"/>
          <w:b w:val="false"/>
          <w:i/>
          <w:color w:val="000000"/>
          <w:sz w:val="14"/>
        </w:rPr>
        <w:t>See accompanying notes to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31445"/>
                <wp:effectExtent l="0" t="0" r="0" b="0"/>
                <wp:wrapNone/>
                <wp:docPr id="65" name="Frame6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THE BRINK’S COMPANY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and subsidiaries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Consolidated Statements of Comprehensive Income (Loss)</w:t>
      </w:r>
    </w:p>
    <w:tbl>
      <w:tblPr>
        <w:tblW w:w="7839" w:type="dxa"/>
        <w:jc w:val="left"/>
        <w:tblInd w:w="0" w:type="dxa"/>
        <w:tblLayout w:type="fixed"/>
        <w:tblCellMar>
          <w:top w:w="28" w:type="dxa"/>
          <w:left w:w="28" w:type="dxa"/>
          <w:bottom w:w="28" w:type="dxa"/>
          <w:right w:w="28" w:type="dxa"/>
        </w:tblCellMar>
      </w:tblPr>
      <w:tblGrid>
        <w:gridCol w:w="1716"/>
        <w:gridCol w:w="1512"/>
        <w:gridCol w:w="1526"/>
        <w:gridCol w:w="196"/>
        <w:gridCol w:w="571"/>
        <w:gridCol w:w="109"/>
        <w:gridCol w:w="109"/>
        <w:gridCol w:w="109"/>
        <w:gridCol w:w="109"/>
        <w:gridCol w:w="314"/>
        <w:gridCol w:w="316"/>
        <w:gridCol w:w="156"/>
        <w:gridCol w:w="109"/>
        <w:gridCol w:w="109"/>
        <w:gridCol w:w="109"/>
        <w:gridCol w:w="277"/>
        <w:gridCol w:w="279"/>
        <w:gridCol w:w="213"/>
      </w:tblGrid>
      <w:tr>
        <w:trPr/>
        <w:tc>
          <w:tcPr>
            <w:tcW w:w="1716"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08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Years Ended December 31,</w:t>
            </w:r>
          </w:p>
        </w:tc>
      </w:tr>
      <w:tr>
        <w:trPr/>
        <w:tc>
          <w:tcPr>
            <w:tcW w:w="47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8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r>
      <w:tr>
        <w:trPr/>
        <w:tc>
          <w:tcPr>
            <w:tcW w:w="47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benefit plan adjustments:</w:t>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benefit plan actuarial adjustment</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benefit plan prior service adjustment</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deferred profit sharing adjustment</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benefit plan adjustments</w:t>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foreign currency translation adjustment</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144.4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change on available-for-sale securities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change on cash flow hedges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 before tax</w:t>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130.6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(136.6)</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(benefit) for income taxes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143.7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353.9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comprehensive income attributable to noncontrolling interests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Comprehensive income attributable to Brink’s</w:t>
            </w:r>
          </w:p>
        </w:tc>
        <w:tc>
          <w:tcPr>
            <w:tcW w:w="19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338.4</w:t>
            </w:r>
            <w:r>
              <w:rPr>
                <w:color w:val="000000"/>
              </w:rPr>
              <w:t>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14.8 </w:t>
            </w:r>
          </w:p>
        </w:tc>
        <w:tc>
          <w:tcPr>
            <w:tcW w:w="1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132.2 </w:t>
            </w:r>
          </w:p>
        </w:tc>
        <w:tc>
          <w:tcPr>
            <w:tcW w:w="213"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4"/>
        </w:rPr>
      </w:pPr>
      <w:r>
        <w:rPr>
          <w:rFonts w:ascii="Times New Roman;serif" w:hAnsi="Times New Roman;serif"/>
          <w:b w:val="false"/>
          <w:i/>
          <w:color w:val="000000"/>
          <w:sz w:val="14"/>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31445"/>
                <wp:effectExtent l="0" t="0" r="0" b="0"/>
                <wp:wrapNone/>
                <wp:docPr id="66" name="Frame6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THE BRINK’S COMPANY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and subsidiaries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Consolidated Statements of Equity</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Years Ended December 31, 2025, 2024 and 2023 </w:t>
      </w:r>
    </w:p>
    <w:tbl>
      <w:tblPr>
        <w:tblW w:w="10205" w:type="dxa"/>
        <w:jc w:val="left"/>
        <w:tblInd w:w="0" w:type="dxa"/>
        <w:tblLayout w:type="fixed"/>
        <w:tblCellMar>
          <w:top w:w="28" w:type="dxa"/>
          <w:left w:w="28" w:type="dxa"/>
          <w:bottom w:w="28" w:type="dxa"/>
          <w:right w:w="28" w:type="dxa"/>
        </w:tblCellMar>
      </w:tblPr>
      <w:tblGrid>
        <w:gridCol w:w="1197"/>
        <w:gridCol w:w="992"/>
        <w:gridCol w:w="989"/>
        <w:gridCol w:w="233"/>
        <w:gridCol w:w="233"/>
        <w:gridCol w:w="186"/>
        <w:gridCol w:w="196"/>
        <w:gridCol w:w="466"/>
        <w:gridCol w:w="109"/>
        <w:gridCol w:w="661"/>
        <w:gridCol w:w="630"/>
        <w:gridCol w:w="633"/>
        <w:gridCol w:w="308"/>
        <w:gridCol w:w="310"/>
        <w:gridCol w:w="241"/>
        <w:gridCol w:w="308"/>
        <w:gridCol w:w="310"/>
        <w:gridCol w:w="195"/>
        <w:gridCol w:w="390"/>
        <w:gridCol w:w="390"/>
        <w:gridCol w:w="391"/>
        <w:gridCol w:w="308"/>
        <w:gridCol w:w="310"/>
        <w:gridCol w:w="219"/>
      </w:tblGrid>
      <w:tr>
        <w:trPr/>
        <w:tc>
          <w:tcPr>
            <w:tcW w:w="1197"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1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w:t>
              <w:br/>
              <w:t>Stock</w:t>
            </w:r>
          </w:p>
        </w:tc>
        <w:tc>
          <w:tcPr>
            <w:tcW w:w="1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Capital in Excess of Par Value</w:t>
            </w:r>
          </w:p>
        </w:tc>
        <w:tc>
          <w:tcPr>
            <w:tcW w:w="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Retained</w:t>
              <w:br/>
              <w:t>Earnings</w:t>
            </w:r>
          </w:p>
        </w:tc>
        <w:tc>
          <w:tcPr>
            <w:tcW w:w="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AOCI*</w:t>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Noncontrolling</w:t>
              <w:br/>
              <w:t>Interests</w:t>
            </w:r>
          </w:p>
        </w:tc>
        <w:tc>
          <w:tcPr>
            <w:tcW w:w="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31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December 31, 2022</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684.1 </w:t>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(700.5)</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123.1 </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570.2 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8"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924"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3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Shares repurchased</w:t>
            </w:r>
            <w:r>
              <w:rPr>
                <w:rFonts w:ascii="Times New Roman;serif" w:hAnsi="Times New Roman;serif"/>
                <w:b w:val="false"/>
                <w:color w:val="000000"/>
                <w:sz w:val="10"/>
              </w:rPr>
              <w:t>(a)</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(173.3)</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to:</w:t>
            </w:r>
          </w:p>
        </w:tc>
        <w:tc>
          <w:tcPr>
            <w:tcW w:w="6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Brink’s common shareholders ($0.8600 per share)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6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options and awards:</w:t>
            </w:r>
          </w:p>
        </w:tc>
        <w:tc>
          <w:tcPr>
            <w:tcW w:w="6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Compensation expense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8"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924"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3178"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924"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3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share-based benefit transactions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8"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924"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3178"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924"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31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Acquisitions of noncontrolling interests</w:t>
            </w:r>
            <w:r>
              <w:rPr>
                <w:rFonts w:ascii="Times New Roman;serif" w:hAnsi="Times New Roman;serif"/>
                <w:b w:val="false"/>
                <w:color w:val="000000"/>
                <w:sz w:val="10"/>
              </w:rPr>
              <w:t>(b)</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8"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924"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3178"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924"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31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December 31, 2023</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675.9 </w:t>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(656.0)</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122.8 </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520.2 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8"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924"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3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(148.1)</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(148.6)</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8"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924"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31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Shares repurchased</w:t>
            </w:r>
            <w:r>
              <w:rPr>
                <w:rFonts w:ascii="Times New Roman;serif" w:hAnsi="Times New Roman;serif"/>
                <w:b w:val="false"/>
                <w:color w:val="000000"/>
                <w:sz w:val="10"/>
              </w:rPr>
              <w:t>(a)</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(205.2)</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to:</w:t>
            </w:r>
          </w:p>
        </w:tc>
        <w:tc>
          <w:tcPr>
            <w:tcW w:w="6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Brink’s common shareholders ($0.9475 per share)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6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options and awards:</w:t>
            </w:r>
          </w:p>
        </w:tc>
        <w:tc>
          <w:tcPr>
            <w:tcW w:w="6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Compensation expense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8"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924"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3178"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924"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3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share-based benefit transactions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8"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924"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3178"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924"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31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Acquisitions of noncontrolling interests</w:t>
            </w:r>
            <w:r>
              <w:rPr>
                <w:rFonts w:ascii="Times New Roman;serif" w:hAnsi="Times New Roman;serif"/>
                <w:b w:val="false"/>
                <w:color w:val="000000"/>
                <w:sz w:val="10"/>
              </w:rPr>
              <w:t>(b)</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8"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924"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3178"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924"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31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December 31, 2024</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660.7 </w:t>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(804.1)</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127.6 </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312.5 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8"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924"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3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Net income </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138.7 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8"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924"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31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Shares repurchased</w:t>
            </w:r>
            <w:r>
              <w:rPr>
                <w:rFonts w:ascii="Times New Roman;serif" w:hAnsi="Times New Roman;serif"/>
                <w:b w:val="false"/>
                <w:color w:val="000000"/>
                <w:sz w:val="10"/>
              </w:rPr>
              <w:t>(a)</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(210.6)</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to:</w:t>
            </w:r>
          </w:p>
        </w:tc>
        <w:tc>
          <w:tcPr>
            <w:tcW w:w="6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Brink’s common shareholders ($1.0075 per share)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6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options and awards:</w:t>
            </w:r>
          </w:p>
        </w:tc>
        <w:tc>
          <w:tcPr>
            <w:tcW w:w="6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Compensation expense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Consideration from exercise of stock options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8"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924"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3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share-based benefit transactions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8"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924"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3178"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924"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31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Acquisitions of noncontrolling interests</w:t>
            </w:r>
            <w:r>
              <w:rPr>
                <w:rFonts w:ascii="Times New Roman;serif" w:hAnsi="Times New Roman;serif"/>
                <w:b w:val="false"/>
                <w:color w:val="000000"/>
                <w:sz w:val="10"/>
              </w:rPr>
              <w:t>(b)</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8"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924"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3178"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924"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3178"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December 31, 2025</w:t>
            </w:r>
          </w:p>
        </w:tc>
        <w:tc>
          <w:tcPr>
            <w:tcW w:w="46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41.1 </w:t>
            </w:r>
          </w:p>
        </w:tc>
        <w:tc>
          <w:tcPr>
            <w:tcW w:w="18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632.1 </w:t>
            </w:r>
          </w:p>
        </w:tc>
        <w:tc>
          <w:tcPr>
            <w:tcW w:w="63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270.1 </w:t>
            </w:r>
          </w:p>
        </w:tc>
        <w:tc>
          <w:tcPr>
            <w:tcW w:w="2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(665.6)</w:t>
            </w:r>
          </w:p>
        </w:tc>
        <w:tc>
          <w:tcPr>
            <w:tcW w:w="19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129.6 </w:t>
            </w:r>
          </w:p>
        </w:tc>
        <w:tc>
          <w:tcPr>
            <w:tcW w:w="3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407.3 </w:t>
            </w:r>
          </w:p>
        </w:tc>
        <w:tc>
          <w:tcPr>
            <w:tcW w:w="21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4"/>
        </w:rPr>
      </w:pPr>
      <w:r>
        <w:rPr>
          <w:rFonts w:ascii="Times New Roman;serif" w:hAnsi="Times New Roman;serif"/>
          <w:b w:val="false"/>
          <w:color w:val="000000"/>
          <w:sz w:val="14"/>
        </w:rPr>
        <w:t>(a)Amounts do not agree to cash paid to repurchase shares in the consolidated statements of cash flows or Note 18. The difference is due to the timing of the cash settlements for shares repurchased near the end of the year plus the accrual of liabilities to pay excise taxes resulting from share repurchases.</w:t>
      </w:r>
    </w:p>
    <w:p>
      <w:pPr>
        <w:pStyle w:val="TextBody"/>
        <w:bidi w:val="0"/>
        <w:spacing w:lineRule="auto" w:line="288" w:before="0" w:after="0"/>
        <w:ind w:left="0" w:right="0" w:hanging="360"/>
        <w:jc w:val="both"/>
        <w:rPr>
          <w:rFonts w:ascii="Times New Roman;serif" w:hAnsi="Times New Roman;serif"/>
          <w:b w:val="false"/>
          <w:color w:val="000000"/>
          <w:sz w:val="14"/>
        </w:rPr>
      </w:pPr>
      <w:r>
        <w:rPr>
          <w:rFonts w:ascii="Times New Roman;serif" w:hAnsi="Times New Roman;serif"/>
          <w:b w:val="false"/>
          <w:color w:val="000000"/>
          <w:sz w:val="14"/>
        </w:rPr>
        <w:t>(b)These amounts represent the impact of transactions in which we acquired or disposed of noncontrolling ownership interests in certain companies where we had an existing controlling interest prior to and after the related acquisition or disposal transactions.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 Accumulated other comprehensive income (loss)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4"/>
        </w:rPr>
      </w:pPr>
      <w:r>
        <w:rPr>
          <w:rFonts w:ascii="Times New Roman;serif" w:hAnsi="Times New Roman;serif"/>
          <w:b w:val="false"/>
          <w:i/>
          <w:color w:val="000000"/>
          <w:sz w:val="14"/>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THE BRINK’S COMPANY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and subsidiaries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Consolidated Statements of Cash Flows</w:t>
      </w:r>
    </w:p>
    <w:tbl>
      <w:tblPr>
        <w:tblW w:w="8453" w:type="dxa"/>
        <w:jc w:val="left"/>
        <w:tblInd w:w="0" w:type="dxa"/>
        <w:tblLayout w:type="fixed"/>
        <w:tblCellMar>
          <w:top w:w="28" w:type="dxa"/>
          <w:left w:w="28" w:type="dxa"/>
          <w:bottom w:w="28" w:type="dxa"/>
          <w:right w:w="28" w:type="dxa"/>
        </w:tblCellMar>
      </w:tblPr>
      <w:tblGrid>
        <w:gridCol w:w="1868"/>
        <w:gridCol w:w="1643"/>
        <w:gridCol w:w="1649"/>
        <w:gridCol w:w="181"/>
        <w:gridCol w:w="631"/>
        <w:gridCol w:w="109"/>
        <w:gridCol w:w="109"/>
        <w:gridCol w:w="109"/>
        <w:gridCol w:w="109"/>
        <w:gridCol w:w="367"/>
        <w:gridCol w:w="368"/>
        <w:gridCol w:w="136"/>
        <w:gridCol w:w="109"/>
        <w:gridCol w:w="109"/>
        <w:gridCol w:w="109"/>
        <w:gridCol w:w="328"/>
        <w:gridCol w:w="332"/>
        <w:gridCol w:w="187"/>
      </w:tblGrid>
      <w:tr>
        <w:trPr/>
        <w:tc>
          <w:tcPr>
            <w:tcW w:w="1868"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Years Ended December 31,</w:t>
            </w:r>
          </w:p>
        </w:tc>
      </w:tr>
      <w:tr>
        <w:trPr/>
        <w:tc>
          <w:tcPr>
            <w:tcW w:w="5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5"/>
              </w:rPr>
            </w:pPr>
            <w:r>
              <w:rPr>
                <w:rFonts w:ascii="Times New Roman;serif" w:hAnsi="Times New Roman;serif"/>
                <w:b w:val="false"/>
                <w:i/>
                <w:color w:val="000000"/>
                <w:sz w:val="15"/>
              </w:rPr>
              <w:t>(In millions)</w:t>
            </w:r>
          </w:p>
        </w:tc>
        <w:tc>
          <w:tcPr>
            <w:tcW w:w="9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2023</w:t>
            </w:r>
          </w:p>
        </w:tc>
      </w:tr>
      <w:tr>
        <w:trPr/>
        <w:tc>
          <w:tcPr>
            <w:tcW w:w="51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Cash flows from operating activities:</w:t>
            </w:r>
          </w:p>
        </w:tc>
        <w:tc>
          <w:tcPr>
            <w:tcW w:w="9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income</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210.2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174.7 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98.3 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Adjustments to reconcile net income to net cash provided by operating activities:</w:t>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5"/>
              </w:rPr>
            </w:pPr>
            <w:r>
              <w:rPr>
                <w:rFonts w:ascii="Times New Roman;serif" w:hAnsi="Times New Roman;serif"/>
                <w:b w:val="false"/>
                <w:color w:val="000000"/>
                <w:sz w:val="15"/>
              </w:rPr>
              <w:t>(Income) loss from discontinued operations, net of tax</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Depreciation and amortization</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290.8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293.3 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275.8 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Share-based compensation expense</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26.0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36.5 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32.1 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Deferred income taxes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21.3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(18.0)</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(Gain) loss on marketable securities, sale of property and equipment and derivatives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23.3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(15.5)</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Impairment losses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Retirement benefit funding (more) less than expense:</w:t>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Pension</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(6.1)</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(10.2)</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 than pension</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(8.1)</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(5.5)</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Unrealized foreign currency (gains) losses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(41.8)</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79.1 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 operating</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Changes in operating assets and liabilities, net of effects of acquisitions:</w:t>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(Increase) decrease in accounts receivable and income taxes receivable</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69.0 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5"/>
              </w:rPr>
            </w:pPr>
            <w:r>
              <w:rPr>
                <w:rFonts w:ascii="Times New Roman;serif" w:hAnsi="Times New Roman;serif"/>
                <w:b w:val="false"/>
                <w:color w:val="000000"/>
                <w:sz w:val="15"/>
              </w:rPr>
              <w:t>Increase (decrease) in accounts payable, income taxes payable and accrued liabilities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122.4 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(36.3)</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5"/>
              </w:rPr>
            </w:pPr>
            <w:r>
              <w:rPr>
                <w:rFonts w:ascii="Times New Roman;serif" w:hAnsi="Times New Roman;serif"/>
                <w:b w:val="false"/>
                <w:color w:val="000000"/>
                <w:sz w:val="15"/>
              </w:rPr>
              <w:t>Increase (decrease) in restricted cash held for customers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46.1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(42.9)</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59.5 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5"/>
              </w:rPr>
            </w:pPr>
            <w:r>
              <w:rPr>
                <w:rFonts w:ascii="Times New Roman;serif" w:hAnsi="Times New Roman;serif"/>
                <w:b w:val="false"/>
                <w:color w:val="000000"/>
                <w:sz w:val="15"/>
              </w:rPr>
              <w:t>Increase (decrease) in customer obligations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(77.7)</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66.0 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5"/>
              </w:rPr>
            </w:pPr>
            <w:r>
              <w:rPr>
                <w:rFonts w:ascii="Times New Roman;serif" w:hAnsi="Times New Roman;serif"/>
                <w:b w:val="false"/>
                <w:color w:val="000000"/>
                <w:sz w:val="15"/>
              </w:rPr>
              <w:t>(Increase) decrease in prepaid and other current assets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(15.5)</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24.6 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(10.6)</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(18.3)</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cash provided by operating activities</w:t>
            </w:r>
          </w:p>
        </w:tc>
        <w:tc>
          <w:tcPr>
            <w:tcW w:w="8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639.5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426.0 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702.4 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Cash flows from investing activities:</w:t>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Capital expenditures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(203.1)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(222.5)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(202.7)</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Acquisitions, net of cash acquired</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(19.1)</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Dispositions, net of cash disposed</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Marketable securities:</w:t>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Purchases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(123.2)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(71.8)</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(134.7)</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Sales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135.1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57.2 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150.4 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Cash proceeds from sale of property and equipment</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18.5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29.2 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change in loans held for investment</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7.0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(11.1)</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change in economic hedges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(22.1)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(0.3)</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(0.6)</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Discontinued operations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0.9 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cash used in investing activities</w:t>
            </w:r>
          </w:p>
        </w:tc>
        <w:tc>
          <w:tcPr>
            <w:tcW w:w="8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(202.4)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(216.2)</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(179.8)</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Cash flows from financing activities:</w:t>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Borrowings (repayments) of debt:</w:t>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Short-term borrowings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78.1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98.6 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Long-term revolving credit facilities:</w:t>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Borrowings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18,103.2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12,857.3 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9,265.7 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Repayments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(17,886.2)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(12,865.0)</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(9,273.8)</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 long-term debt:</w:t>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Borrowings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43.9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847.4 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Repayments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(164.0)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(527.4)</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(97.1)</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5"/>
              </w:rPr>
            </w:pPr>
            <w:r>
              <w:rPr>
                <w:rFonts w:ascii="Times New Roman;serif" w:hAnsi="Times New Roman;serif"/>
                <w:b w:val="false"/>
                <w:color w:val="000000"/>
                <w:sz w:val="15"/>
              </w:rPr>
              <w:t>Acquisition of noncontrolling interests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(0.2)</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(0.6)</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Cash paid for acquisition related settlements and obligations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(0.8)</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(11.1)</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Debt financing costs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(10.6)</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5160"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5160"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Repurchase shares of Brink's common stock</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(209.4)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(203.6)</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(169.9)</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Dividends to:</w:t>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Shareholders of Brink’s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(42.3)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(41.8)</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(39.6)</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Noncontrolling interests in subsidiaries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(6.1)</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(7.7)</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Proceeds from exercise of stock options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0.6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Tax withholdings associated with share-based compensation</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(21.6)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(18.6)</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(8.0)</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Net cash provided by (used in) financing activities</w:t>
            </w:r>
          </w:p>
        </w:tc>
        <w:tc>
          <w:tcPr>
            <w:tcW w:w="8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5"/>
              </w:rPr>
            </w:pPr>
            <w:r>
              <w:rPr>
                <w:rFonts w:ascii="Times New Roman;serif" w:hAnsi="Times New Roman;serif"/>
                <w:b/>
                <w:color w:val="000000"/>
                <w:sz w:val="15"/>
              </w:rPr>
              <w:t>(114.1)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42.2 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(207.1)</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Effect of exchange rate changes on cash</w:t>
            </w:r>
          </w:p>
        </w:tc>
        <w:tc>
          <w:tcPr>
            <w:tcW w:w="8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103.5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(95.2)</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(42.4)</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Cash, cash equivalents and restricted cash:</w:t>
            </w:r>
          </w:p>
        </w:tc>
        <w:tc>
          <w:tcPr>
            <w:tcW w:w="9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Increase</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426.5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156.8 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273.1 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Balance at beginning of period</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1,840.4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1,683.6 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1,410.5 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Balance at end of period</w:t>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6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2,266.9</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35"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1,840.4 </w:t>
            </w:r>
          </w:p>
        </w:tc>
        <w:tc>
          <w:tcPr>
            <w:tcW w:w="1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1,683.6 </w:t>
            </w:r>
          </w:p>
        </w:tc>
        <w:tc>
          <w:tcPr>
            <w:tcW w:w="18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i/>
          <w:color w:val="000000"/>
          <w:sz w:val="14"/>
        </w:rPr>
      </w:pPr>
      <w:r>
        <w:rPr>
          <w:rFonts w:ascii="Times New Roman;serif" w:hAnsi="Times New Roman;serif"/>
          <w:b w:val="false"/>
          <w:i/>
          <w:color w:val="000000"/>
          <w:sz w:val="14"/>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31445"/>
                <wp:effectExtent l="0" t="0" r="0" b="0"/>
                <wp:wrapNone/>
                <wp:docPr id="67" name="Frame6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THE BRINK’S COMPANY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and subsidiaries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 xml:space="preserve">Note 1 - Summary of Significant Accounting Policies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Basis of Presentation</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Brink’s Company (along with its subsidiaries, “we,” “our,” “Brink’s” or the “Company”), based in Richmond, Virginia, is a leading provider of cash and valuables management, digital retail solutions ("DRS"), and ATM managed services ("AMS") to financial institutions, retailers, government agencies, mints, jewelers and other commercial operations around the world. Brink’s is the oldest and largest secure transportation and cash management services company in the U.S., and a market leader in many other countries.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Consolidation</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consolidated financial statements include our controlled subsidiaries. Control is determined based on ownership rights or, when applicable, based on whether we are considered to be the primary beneficiary of a variable interest entity. See "Venezuela" section below for further information. For controlled subsidiaries that are not wholly-owned, the noncontrolling interests are included in net income and in total equity.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Investments in businesses that we do not control, but for which we have the ability to exercise significant influence over operating and financial policies, are accounted for under the equity method and our proportionate share of income or loss is recorded in other operating income (expense). Investments in businesses for which we do not have the ability to exercise significant influence over operating and financial policies are accounted for at fair value, if readily determinable, with changes in fair value recognized in net income. For equity investments that do not have a readily determinable fair value, we measure these investments at cost minus impairment, if any, plus or minus changes from observable price changes. All intercompany accounts and transactions have been eliminated in consolidation.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Revenue Recognition</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Revenue is recognized when services related to cash and valuables management, DRS, and AMS are performed. We assess our customers' ability to meet contractual terms, including payment terms, before entering into contracts. Taxes collected from customers and remitted to governmental authorities are not included in revenues in the consolidated statements of operations.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Cash and Cash Equivalents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Cash and cash equivalents include cash on hand, demand deposits and investments with original maturities of three months or less. Cash and cash equivalents include amounts held by certain of our secure cash management services operations for customers for which, under local regulations, the title transfers to us for a short period of time. The cash is generally credited to customers’ accounts the following day and we do not consider it as available for general corporate purposes in the management of our liquidity and capital resources. We record a liability for the amounts owed to customers (see Note 12).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Restricted Cash</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Cash that is held for a specific purpose and is not available for immediate or general business use due to external restrictions is classified in our consolidated balance sheets as restricted cash. In Malaysia, we offer ATM replenishment services to certain of our financial institution customers. Providing this service requires our Malaysia subsidiary to take temporary title to the cash received in advance of ATM replenishment. The cash for which we have temporary title is restricted and cannot be used for any other purpose other than to service our customers who participate in this service offering. In France, we offer services to certain of our customers where we manage some or all of their cash supply chains. In connection with this offering, we take temporary title to certain customers' cash, which is included as restricted cash in our financial statements due to customer agreement or regulation. In addition, in accordance with a revolving credit facility, we are required to maintain a restricted cash reserve and, due to this contractual restriction, we have classified these amounts as restricted cash (see Note 19).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Trade Accounts Receivable</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Trade accounts receivable are recorded at the invoiced amount and do not bear interest. We assess the collectability of our receivables on a pool basis, which we aggregate by geographical location. We determine historical loss rates for each pool and these historical loss rates represent the primary assumption used in estimating the allowance for doubtful accounts. We monitor the aging of accounts receivable by country along with any significant economic events to identify any current or expected trends and risks within a pool that could impact the collectability of receivables that were not contemplated or relevant during a previous period. Account balances are charged off against the allowance after all means of collection have been exhausted and the potential for recovery is considered remote.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Right-of-Use Assets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For operating leases, right-of-use assets (and related lease liabilities) are recognized at the lease commencement date based on the present value of the future minimum lease payments over the lease term. See Note 16 for further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Property and Equipment</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Property and equipment are recorded at cost. Depreciation is calculated principally on the straight-line method based on the estimated useful lives of individual assets or classes of assets.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31445"/>
                <wp:effectExtent l="0" t="0" r="0" b="0"/>
                <wp:wrapNone/>
                <wp:docPr id="68" name="Frame6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Leased property and equipment meeting financing lease criteria are capitalized at the lower of the present value of the related lease payments or the fair value of the leased asset at the inception of the lease. Amortization is calculated on the straight-line method based on the lease term. See Note 16 for further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Leasehold improvements are recorded at cost. Amortization is calculated principally on the straight-line method over the lesser of the estimated useful life of the leasehold improvement or the lease term. Renewal periods are included in the lease term when the renewal is determined to be reasonably assured.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Part of the costs related to the development or purchase of internal-use software is capitalized and amortized over the estimated useful life of the software. Costs that are capitalized include external direct costs of materials and services to develop or obtain the software, and internal costs, including compensation and employee benefits for employees directly associated with a software development project.</w:t>
      </w:r>
    </w:p>
    <w:tbl>
      <w:tblPr>
        <w:tblW w:w="4589" w:type="dxa"/>
        <w:jc w:val="left"/>
        <w:tblInd w:w="0" w:type="dxa"/>
        <w:tblLayout w:type="fixed"/>
        <w:tblCellMar>
          <w:top w:w="28" w:type="dxa"/>
          <w:left w:w="28" w:type="dxa"/>
          <w:bottom w:w="28" w:type="dxa"/>
          <w:right w:w="28" w:type="dxa"/>
        </w:tblCellMar>
      </w:tblPr>
      <w:tblGrid>
        <w:gridCol w:w="903"/>
        <w:gridCol w:w="792"/>
        <w:gridCol w:w="795"/>
        <w:gridCol w:w="613"/>
        <w:gridCol w:w="613"/>
        <w:gridCol w:w="873"/>
      </w:tblGrid>
      <w:tr>
        <w:trPr/>
        <w:tc>
          <w:tcPr>
            <w:tcW w:w="903"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Estimated Useful Lives </w:t>
            </w:r>
          </w:p>
        </w:tc>
        <w:tc>
          <w:tcPr>
            <w:tcW w:w="20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Years</w:t>
            </w:r>
          </w:p>
        </w:tc>
      </w:tr>
      <w:tr>
        <w:trPr/>
        <w:tc>
          <w:tcPr>
            <w:tcW w:w="24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Buildings</w:t>
            </w:r>
          </w:p>
        </w:tc>
        <w:tc>
          <w:tcPr>
            <w:tcW w:w="20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18"/>
              </w:rPr>
              <w:t>25</w:t>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Building leasehold improvements</w:t>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Lesser of Lease Term or 10</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Vehicles</w:t>
            </w:r>
          </w:p>
        </w:tc>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3 to 8</w:t>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software</w:t>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5</w:t>
            </w:r>
          </w:p>
        </w:tc>
      </w:tr>
      <w:tr>
        <w:trPr/>
        <w:tc>
          <w:tcPr>
            <w:tcW w:w="249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machinery and equipment</w:t>
            </w:r>
          </w:p>
        </w:tc>
        <w:tc>
          <w:tcPr>
            <w:tcW w:w="209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3 to 10</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Expenditures for routine maintenance and repairs on property and equipment are charged to expense. Major renewals, betterments and modifications are capitalized and depreciated over the lesser of the remaining life of the asset or, if applicable, the lease term.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Goodwill and Other Intangible Assets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Goodwill is recognized for the excess of the purchase price over the fair value of tangible and identifiable intangible net assets of businesses acquired. Intangible assets arising from business acquisitions include customer lists, customer relationships, developed technology, covenants not to compete, trademarks and other identifiable intangibles. At December 31, 2025, finite-lived intangible assets have remaining useful lives ranging from 1 to 11 years and are amortized based on the pattern in which the economic benefits are used or on a straight-line basis.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Impairment of Goodwill and Long-Lived Assets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Goodwill is not amortized but is tested for impairment at least annually, as of October 1, and whenever events or circumstances in interim periods indicate that it is more-likely-than-not that an impairment may have occurred. We perform the test of goodwill impairment at the reporting unit level. Goodwill is assigned to one or more reporting units at the date of acquisition.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When testing goodwill for impairment, we may assess qualitative factors to determine whether reporting unit fair values are greater than their carrying values. Alternatively, when performing a quantitative assessment, we estimate the fair value of each reporting unit using a weighting of two valuation methodologies: the Income Approach and the Public Company Market Multiple Method, with the greatest weight placed on the Income Approach. The resulting reporting unit fair values are compared to each reporting unit's carrying value. We have had no significant impairments of goodwill in the last three years.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Other indefinite-lived intangibles are also tested for impairment at least annually by comparing their carrying values to their estimated fair values. We have had no significant impairments of indefinite-lived intangibles in the last three years.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Long-lived assets other than goodwill and other indefinite-lived intangibles are reviewed for impairment when events or changes in circumstances indicate the carrying value of an asset may not be recoverable. For long-lived assets other than goodwill that are to be held and used in operations, an impairment is indicated when the estimated total undiscounted cash flow associated with the asset or group of assets is less than carrying value. If impairment exists, an adjustment is made to write the asset down to its fair value, and a loss is recorded as the difference between the carrying value and fair value. See Note 7 for further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Retirement Benefit Plans</w:t>
      </w:r>
    </w:p>
    <w:p>
      <w:pPr>
        <w:pStyle w:val="TextBody"/>
        <w:bidi w:val="0"/>
        <w:spacing w:lineRule="auto" w:line="288" w:before="0" w:after="0"/>
        <w:jc w:val="left"/>
        <w:rPr/>
      </w:pPr>
      <w:r>
        <w:rPr>
          <w:rFonts w:ascii="Times New Roman;serif" w:hAnsi="Times New Roman;serif"/>
          <w:b w:val="false"/>
          <w:color w:val="000000"/>
          <w:sz w:val="18"/>
        </w:rPr>
        <w:t xml:space="preserve">We account for retirement benefit obligations under Financial Accounting Standards Board ("FASB") Accounting Standards Codification ("ASC") Topic 715, </w:t>
      </w:r>
      <w:r>
        <w:rPr>
          <w:rFonts w:ascii="Times New Roman;serif" w:hAnsi="Times New Roman;serif"/>
          <w:b w:val="false"/>
          <w:i/>
          <w:color w:val="000000"/>
          <w:sz w:val="18"/>
        </w:rPr>
        <w:t>Compensation – Retirement Benefits</w:t>
      </w:r>
      <w:r>
        <w:rPr>
          <w:rFonts w:ascii="Times New Roman;serif" w:hAnsi="Times New Roman;serif"/>
          <w:b w:val="false"/>
          <w:color w:val="000000"/>
          <w:sz w:val="18"/>
        </w:rPr>
        <w:t>. For U.S. and certain non-U.S. retirement plans, we derive the discount rates used to measure the present value of benefit obligations using the cash flow matching method. Under this method, we compare the plan’s projected payment obligations by year with the corresponding yields on a Mercer yield curve. Each year’s projected cash flows are then discounted back to their present value at the measurement date and an overall discount rate is determined. The overall discount rate is then rounded to the nearest tenth of a percentage point. We used Mercer’s Above-Mean Curve to determine the discount rates for the year-end benefit obligations and retirement cost of our U.S. retirement plans. We use a local or regional version of the Mercer yield curve in the majority of our non-U.S. locations. In non-U.S. locations where the cash flow matching method is not possible, rates of local high-quality long-term government bonds are used to select the discount rate.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select the expected long-term rate of return assumption for our U.S. pension plan and retiree medical plans using advice from our investment advisor. The selected rate considers plan asset allocation targets, expected overall investment manager performance and long-term historical average compounded rates of return.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Benefit plan actuarial gains and losses are recognized in other comprehensive income (loss). Accumulated net benefit plan actuarial gains and losses that exceed 10% of the greater of a plan’s benefit obligation or plan assets at the beginning of the year are amortized into earnings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31445"/>
                <wp:effectExtent l="0" t="0" r="0" b="0"/>
                <wp:wrapNone/>
                <wp:docPr id="69" name="Frame6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on a straight-line basis. The amortization period for pension plans is the average remaining service period of employees expected to receive benefits under the plans. The amortization period for other retirement plans is primarily the average remaining life expectancy of inactive participants.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Income Taxes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Deferred tax assets and liabilities are recorded to recognize the expected future tax benefits or costs of events that have been, or will be, reported in different years for financial statement purposes than tax purposes. Deferred tax assets and liabilities are determined based on the difference between the financial statement and tax bases of assets and liabilities using enacted tax rates in effect for the year in which these items are expected to reverse. We recognize tax benefits related to uncertain tax positions if we believe it is more-likely-than-not the benefit will be realized. We review our deferred tax assets to determine if it is more-likely-than-not that they will be realized. If we determine it is not more-likely-than-not that a deferred tax asset will be realized, we record a valuation allowance to reverse the previously recognized tax benefit. See Note 5 for further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Foreign Currency Translation</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Our consolidated financial statements are reported in U.S. dollars. Our foreign subsidiaries maintain their records primarily in the currency of the country in which they operate. The method of translating local currency financial information into U.S. dollars depends on whether the economy in which our foreign subsidiary operates has been designated as highly inflationary or not. Economies with a three-year cumulative inflation rate of more than 100% are considered highly inflationary.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Assets and liabilities of foreign subsidiaries in non-highly inflationary economies are translated into U.S. dollars using rates of exchange at the balance sheet date. Translation adjustments are recorded in other comprehensive income (loss). Revenues and expenses are translated at rates of exchange in effect during the year. Transaction gains and losses are recorded in net income.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Foreign subsidiaries that operate in highly inflationary countries use the U.S. dollar as their functional currency. Local currency monetary assets and liabilities are remeasured into U.S. dollars using rates of exchange as of each balance sheet date, with remeasurement adjustments and other transaction gains and losses recognized in earnings. Other than nonmonetary equity and available-for-sale debt securities, nonmonetary assets and liabilities do not fluctuate with changes in local currency exchange rates to the dollar. For nonmonetary equity securities traded in highly inflationary economies, the fair market values of the equity securities are remeasured at the current exchange rates to determine gain or loss to be recorded in net income. For nonmonetary available-for-sale debt securities traded in highly inflationary economies, the fair market values of these debt securities are remeasured at the current exchange rates, with changes recorded in the gains (losses) on available-for-sale securities component of accumulated other comprehensive income (loss). We reclassify amounts from accumulated other comprehensive income (loss) into earnings when these debt securities are sold. Revenues and expenses are translated at rates of exchange in effect during the year. See "Venezuela" and "Argentina" sections below for further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Argentina</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operate in Argentina through wholly owned subsidiaries and a smaller controlled subsidiary (together "Brink's Argentina"). Revenues from Brink's Argentina represented approximately 3% of our consolidated revenues for the year ended December 31, 2025, and 4% for the years ended December 31, 2024, and 2023.</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operating environment in Argentina continues to present business challenges, including ongoing devaluation of the Argentine peso and significant inflation. For the year ended December 31, 2023, the Argentine peso declined by approximately 79% (from 178.6 to 833.3 pesos to the U.S. dollar). For the year ended December 31, 2024, the Argentine peso declined by approximately 19% (from 833.3 to 1,031.0 pesos to the U.S. dollar). For the year ended December 31, 2025, the Argentine peso declined approximately 29% (from 1,031.0 to 1,451.6 pesos to the U.S. dollar).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Beginning July 1, 2018, we designated Argentina's economy as highly inflationary for accounting purposes. As a result, we consolidated Brink's Argentina using our accounting policy for subsidiaries operating in highly inflationary economies beginning with the third quarter of 2018. Argentine peso-denominated monetary assets and liabilities are now remeasured at each balance sheet date using the currency exchange rate then in effect, with currency remeasurement gains and losses recognized in earnings. In 2025, we recognized $17.0 million in pretax remeasurement losses. In 2024 and in 2023, we recognized $18.4 million and $79.1 million in pretax remeasurement losses, respectively. Argentine peso-denominated nonmonetary assets and liabilities are recorded at historical cost based on the currency exchange rate at the time the asset or liability was acquired.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At December 31, 2025, Argentina's economy remained highly inflationary for accounting purposes. At December 31, 2025, we had net monetary assets denominated in Argentine pesos of $23.4 million (including cash of $24.9 million). At December 31, 2025, we had net nonmonetary assets of $140.7 million (including $102.5 million of goodwill and $7.7 million in debt securities denominated in Argentine pesos).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At December 31, 2024, we had net monetary assets denominated in Argentine pesos of $115.9 million (including cash of $104.0 million) and net nonmonetary assets of $147.5 million (including $103.1 million of goodwill and $21.2 million in debt securities denominated in Argentine pesos).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31445"/>
                <wp:effectExtent l="0" t="0" r="0" b="0"/>
                <wp:wrapNone/>
                <wp:docPr id="70" name="Frame6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In April 2025, the Argentine government announced economic policy changes, including the removal of certain currency controls. The official exchange rate will be allowed to fluctuate within a moving range.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Venezuela</w:t>
      </w:r>
      <w:r>
        <w:rPr>
          <w:color w:val="000000"/>
        </w:rPr>
        <w:t xml:space="preserve">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Our Venezuelan operations offer transportation and route-based logistics management services for cash and valuables throughout Venezuela. Currency exchange regulations, combined with other government regulations, such as price controls and strict labor laws, significantly limit our ability to make and execute operational decisions at our Venezuelan subsidiaries. As a result of the conditions, we do not meet the accounting criteria for control over our Venezuelan operations and, as a result, we report the results of our investment in our Venezuelan subsidiaries using the cost method of accounting, the basis of which approximates zero. Prior to the imposition of the U.S. government sanctions, we provided immaterial amounts of financial support to our Venezuela operations. We continue to monitor the situation in Venezuela, including changes in the political and regulatory environment, as well as U.S. sanctions impacting the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Depreciation Adjustment</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 accordance with our highly inflationary accounting policy, property, plant and equipment owned by Brink’s Argentina are considered nonmonetary assets. These assets retain a higher historical basis when the currency is devalued and the higher historical basis results in incremental depreciation expense being recognized. In the second quarter of 2025, we identified a prior period overstatement of depreciation related to Brink’s Argentina property, plant and equipment. The accounting error was corrected resulting in a $13.6 million increase to second quarter 2025 net income and no impact to first half 2025 net cash provided by operating activities. We have concluded that the impact of this accounting error was not material to the current year or any prior period financial statements. Consistent with our treatment of the impact of Argentina highly inflationary accounting, this adjustment has been excluded from segment results and is reported as part of Other Items not Allocated to Segments.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Concentration of Credit Risks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routinely assess the financial strength of significant customers and this assessment, combined with the large number and geographic breadth of our customers, limits our concentration of risk with respect to accounts receivable. Financial instruments which potentially subject us to concentrations of credit risks are principally cash and cash equivalents and accounts receivable. Cash and cash equivalents are held by major financial institutions.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Use of Estimates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 accordance with U.S. generally accepted accounting principles (“GAAP”), we have made a number of estimates and assumptions relating to the reporting of assets and liabilities and the disclosure of contingent assets and liabilities to prepare these consolidated financial statements. Actual results could differ materially from those estimates. The most significant estimates are related to goodwill, intangibles and other long-lived assets, pension and other retirement benefit assets and obligations, legal contingencies, allowance for doubtful accounts, deferred tax assets and purchase price allocations.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Our global methodology for estimating the allowance for doubtful accounts involves identifying higher</w:t>
        <w:noBreakHyphen/>
        <w:t>risk customer accounts, evaluating current and expected economic conditions, and estimating allowances for significantly past</w:t>
        <w:noBreakHyphen/>
        <w:t>due receivables to ensure adequate provisioning for at</w:t>
        <w:noBreakHyphen/>
        <w:t>risk balances.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Fair-value estimates. </w:t>
      </w:r>
      <w:r>
        <w:rPr>
          <w:rFonts w:ascii="Times New Roman;serif" w:hAnsi="Times New Roman;serif"/>
          <w:b w:val="false"/>
          <w:color w:val="000000"/>
          <w:sz w:val="18"/>
        </w:rPr>
        <w:t>We have various financial instruments included in our financial statements. Financial instruments are carried in our financial statements at either cost or fair value. We estimate fair value of assets using the following hierarchy using the highest level possible: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Level 1:  Quoted prices for identical assets or liabilities in active markets.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Level 2:  Quoted prices for similar assets or liabilities in active markets, or quoted prices for identical or similar assets or liabilities in markets that are not active, or inputs other than quoted prices that are directly or indirectly observable, or inputs that are derived principally from, or corroborated by, observable market data by correlation or other means.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Level 3:  Unobservable inputs that reflect estimates and assumptions.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New Accounting Standards</w:t>
      </w:r>
    </w:p>
    <w:p>
      <w:pPr>
        <w:pStyle w:val="TextBody"/>
        <w:bidi w:val="0"/>
        <w:spacing w:lineRule="auto" w:line="288" w:before="0" w:after="0"/>
        <w:jc w:val="left"/>
        <w:rPr/>
      </w:pPr>
      <w:r>
        <w:rPr>
          <w:rFonts w:ascii="Times New Roman;serif" w:hAnsi="Times New Roman;serif"/>
          <w:b w:val="false"/>
          <w:color w:val="000000"/>
          <w:sz w:val="18"/>
        </w:rPr>
        <w:t>In December 2023, the FASB issued ASU 2023-09, I</w:t>
      </w:r>
      <w:r>
        <w:rPr>
          <w:rFonts w:ascii="Times New Roman;serif" w:hAnsi="Times New Roman;serif"/>
          <w:b w:val="false"/>
          <w:i/>
          <w:color w:val="000000"/>
          <w:sz w:val="18"/>
        </w:rPr>
        <w:t xml:space="preserve">ncome Taxes (Topic 740): Improvements to Income Tax Disclosures, </w:t>
      </w:r>
      <w:r>
        <w:rPr>
          <w:rFonts w:ascii="Times New Roman;serif" w:hAnsi="Times New Roman;serif"/>
          <w:b w:val="false"/>
          <w:color w:val="000000"/>
          <w:sz w:val="18"/>
        </w:rPr>
        <w:t>which expands annual disclosures in an entity’s income tax rate reconciliation table and requires annual disclosures regarding cash taxes paid both in the U.S. (federal and state) and foreign jurisdictions. The amendments in this ASU are effective for annual periods beginning after December 15, 2024, and we adopted the provisions of ASU 2023-09 for the year ended December 31, 2025 on a prospective basis. Expanded disclosures are reflected in Note 5.</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 xml:space="preserve">In November 2024, the FASB issued ASU 2024-03, </w:t>
      </w:r>
      <w:r>
        <w:rPr>
          <w:rFonts w:ascii="Times New Roman;serif" w:hAnsi="Times New Roman;serif"/>
          <w:b w:val="false"/>
          <w:i/>
          <w:color w:val="000000"/>
          <w:sz w:val="18"/>
        </w:rPr>
        <w:t>Disaggregation of Income Statement Expenses (DISE)</w:t>
      </w:r>
      <w:r>
        <w:rPr>
          <w:rFonts w:ascii="Times New Roman;serif" w:hAnsi="Times New Roman;serif"/>
          <w:b w:val="false"/>
          <w:color w:val="000000"/>
          <w:sz w:val="18"/>
        </w:rPr>
        <w:t>, which requires disclosures about specific types of expenses included in the expense captions presented on the face of the income statement as well as disclosures about selling expenses. This ASU will be effective for annual reporting periods beginning after December 15, 2026, and interim reporting periods beginning after December 15, 2027. We are currently evaluating the impact that the adoption of this standard will have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31445"/>
                <wp:effectExtent l="0" t="0" r="0" b="0"/>
                <wp:wrapNone/>
                <wp:docPr id="71" name="Frame7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2"/>
        </w:rPr>
        <w:t>Note 2 - Revenue from Contracts with Customers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Performance Obligations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We provide various services to meet the needs of our customers and we group these service offerings into two broad categories: (1) cash and valuables management ("CVM"); and (2) digital retail solutions ("DRS") and ATM managed services ("AMS").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Cash and Valuables Management</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CVM services are provided to customers throughout the world. Cash-in-transit services include the secure transportation of cash, securities and other valuables between businesses, financial institutions and central banks. Basic ATM management services include cash replenishment, treasury management and first line maintenance. Our global services business provides secure transport of high-value commodities including diamonds, jewelry, precious metals, securities, banknotes, currency, high-tech devices, electronics and pharmaceuticals. Additional global services include pick-up, packaging, customs clearance, secure vault storage and inventory management. We also offer a variety of cash management services including money processing (e.g., counting, sorting, wrapping, checking condition of bills, etc.), check imaging and other cash management services (e.g., cashier balancing, counterfeit detection, account consolidation and electronic reporting). Our vaulting services combine cash-in-transit services, cash management services, vaulting and electronic reporting technologies to help banks expand into new markets while minimizing investment in vaults and branch facilities. In addition to providing secure storage, we process deposits, provide check imaging and reconciliation services, perform currency inventory management, process ATM replenishment orders and electronically transmit banking transactions. We provide other services to some of our customers, such as guarding, commercial security and payment services.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Digital Retail Solutions and ATM Managed Services</w:t>
      </w:r>
    </w:p>
    <w:p>
      <w:pPr>
        <w:pStyle w:val="TextBody"/>
        <w:bidi w:val="0"/>
        <w:spacing w:lineRule="auto" w:line="288" w:before="0" w:after="0"/>
        <w:jc w:val="left"/>
        <w:rPr/>
      </w:pPr>
      <w:r>
        <w:rPr>
          <w:rFonts w:ascii="Times New Roman;serif" w:hAnsi="Times New Roman;serif"/>
          <w:b w:val="false"/>
          <w:color w:val="000000"/>
          <w:sz w:val="18"/>
        </w:rPr>
        <w:t>DRS and AMS are technology enabled services provided to customers throughout the world. DRS includes services that leverage Brink’s tech-enabled sales and software platforms to simplify cash acceptance, enables merchants to access their cash without visiting a bank and provide customers with enhanced analytics and visibility. DRS includes our patented Brink’s Complete</w:t>
      </w:r>
      <w:r>
        <w:rPr>
          <w:rFonts w:ascii="Times New Roman;serif" w:hAnsi="Times New Roman;serif"/>
          <w:b w:val="false"/>
          <w:color w:val="000000"/>
          <w:sz w:val="12"/>
        </w:rPr>
        <w:t>TM</w:t>
      </w:r>
      <w:r>
        <w:rPr>
          <w:color w:val="000000"/>
        </w:rPr>
        <w:t xml:space="preserve"> </w:t>
      </w:r>
      <w:r>
        <w:rPr>
          <w:rFonts w:ascii="Times New Roman;serif" w:hAnsi="Times New Roman;serif"/>
          <w:b w:val="false"/>
          <w:color w:val="000000"/>
          <w:sz w:val="18"/>
        </w:rPr>
        <w:t xml:space="preserve">and CompuSafe® services. AMS provides comprehensive services beyond basic ATM services including cash forecasting, cash optimization, ATM remote monitoring, service call dispatching, transaction processing, and installation services. These services allow financial institutions, retailers and independent ATM owners to outsource day-to-day operation of ATMs. For certain customers, we take ownership of ATM devices as part of our managed services offering.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For performance obligations related to the services described above, we generally satisfy our obligations as each action to provide the service to the customer occurs. Because the customers simultaneously receive and consume the benefits from our services, these performance obligations are deemed to be satisfied over time. We use an output method, units of service provided, to recognize revenue because that is the best method to represent the transfer of our services to the customer at the agreed upon rate for each action.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Although not as significant as our service offerings, we also sell goods to customers from time to time, such as safe devices. In those transactions, we satisfy our performance obligation at a point in time. We recognize revenue when the goods are delivered to the customer as that is the point in time that best represents when control has transferred to the customer.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Our contracts with customers describe the services we can provide along with the fees for each action to provide the service. We typically send invoices to customers for all of the services we have provided within a monthly period and payments are generally due within 30 to 60 days of the invoice date.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Although our customer contracts specify the fees for each action to provide service, the majority of the services stated in our contracts do not have a defined quantity over the contract term. Accordingly, the transaction price is considered variable as there is an unknown volume of services that will be rendered over the course of the contract. We recognize revenue for these services in the period in which they are provided to the customer based on the contractual rate at which we have the right to invoice the customer for each action.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Some of our contracts with customers contain clauses that define the level of service that the customer will receive. The service level agreements (“SLA”) within those contracts contain specific calculations to determine whether the appropriate level of service has been met within a specific period, which is typically a month. We estimate SLA penalties and recognize the amounts as a reduction to revenue.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Taxes collected from customers and remitted to governmental authorities are not included in revenues in the consolidated statements of operations.</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31445"/>
                <wp:effectExtent l="0" t="0" r="0" b="0"/>
                <wp:wrapNone/>
                <wp:docPr id="72" name="Frame7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Revenue Disaggregated by Reportable Segment and Type of Service</w:t>
      </w:r>
    </w:p>
    <w:tbl>
      <w:tblPr>
        <w:tblW w:w="8366" w:type="dxa"/>
        <w:jc w:val="center"/>
        <w:tblInd w:w="0" w:type="dxa"/>
        <w:tblLayout w:type="fixed"/>
        <w:tblCellMar>
          <w:top w:w="28" w:type="dxa"/>
          <w:left w:w="28" w:type="dxa"/>
          <w:bottom w:w="28" w:type="dxa"/>
          <w:right w:w="28" w:type="dxa"/>
        </w:tblCellMar>
      </w:tblPr>
      <w:tblGrid>
        <w:gridCol w:w="1129"/>
        <w:gridCol w:w="992"/>
        <w:gridCol w:w="998"/>
        <w:gridCol w:w="485"/>
        <w:gridCol w:w="1716"/>
        <w:gridCol w:w="274"/>
        <w:gridCol w:w="109"/>
        <w:gridCol w:w="109"/>
        <w:gridCol w:w="109"/>
        <w:gridCol w:w="404"/>
        <w:gridCol w:w="404"/>
        <w:gridCol w:w="406"/>
        <w:gridCol w:w="109"/>
        <w:gridCol w:w="109"/>
        <w:gridCol w:w="109"/>
        <w:gridCol w:w="345"/>
        <w:gridCol w:w="346"/>
        <w:gridCol w:w="213"/>
      </w:tblGrid>
      <w:tr>
        <w:trPr/>
        <w:tc>
          <w:tcPr>
            <w:tcW w:w="112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 xml:space="preserve">(In millions) </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Cash and Valuables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DRS and 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31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Twelve months ended December 31, 2025</w:t>
            </w:r>
          </w:p>
        </w:tc>
        <w:tc>
          <w:tcPr>
            <w:tcW w:w="24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Reportable Segments:</w:t>
            </w:r>
          </w:p>
        </w:tc>
        <w:tc>
          <w:tcPr>
            <w:tcW w:w="2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North America</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1,208.9 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533.7 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1,742.6 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Latin America</w:t>
            </w:r>
          </w:p>
        </w:tc>
        <w:tc>
          <w:tcPr>
            <w:tcW w:w="2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1,035.1 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254.5 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1,289.6 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2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818.2 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611.3 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1,429.5 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 of World</w:t>
            </w:r>
          </w:p>
        </w:tc>
        <w:tc>
          <w:tcPr>
            <w:tcW w:w="2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736.9 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reportable segments</w:t>
            </w:r>
          </w:p>
        </w:tc>
        <w:tc>
          <w:tcPr>
            <w:tcW w:w="4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3,799.1 </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1,462.1 </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5,261.2 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Twelve months ended December 31, 2024</w:t>
            </w:r>
          </w:p>
        </w:tc>
        <w:tc>
          <w:tcPr>
            <w:tcW w:w="2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Reportable Segments:</w:t>
            </w:r>
          </w:p>
        </w:tc>
        <w:tc>
          <w:tcPr>
            <w:tcW w:w="2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North America</w:t>
            </w:r>
          </w:p>
        </w:tc>
        <w:tc>
          <w:tcPr>
            <w:tcW w:w="4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1,207.0 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442.7 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1,649.7 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Latin America</w:t>
            </w:r>
          </w:p>
        </w:tc>
        <w:tc>
          <w:tcPr>
            <w:tcW w:w="2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1,095.5 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215.5 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1,311.0 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2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803.7 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501.3 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1,305.0 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 of World</w:t>
            </w:r>
          </w:p>
        </w:tc>
        <w:tc>
          <w:tcPr>
            <w:tcW w:w="2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694.2 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reportable segments</w:t>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3,800.4 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1,211.5 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5,011.9 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Twelve months ended December 31, 2023</w:t>
            </w:r>
          </w:p>
        </w:tc>
        <w:tc>
          <w:tcPr>
            <w:tcW w:w="2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Reportable Segments:</w:t>
            </w:r>
          </w:p>
        </w:tc>
        <w:tc>
          <w:tcPr>
            <w:tcW w:w="2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North America</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1,216.8 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384.3 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1,601.1 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Latin America</w:t>
            </w:r>
          </w:p>
        </w:tc>
        <w:tc>
          <w:tcPr>
            <w:tcW w:w="2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1,149.1 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183.2 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1,332.3 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2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800.4 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413.2 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1,213.6 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 of World</w:t>
            </w:r>
          </w:p>
        </w:tc>
        <w:tc>
          <w:tcPr>
            <w:tcW w:w="2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696.4 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727.6 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reportable segments</w:t>
            </w:r>
          </w:p>
        </w:tc>
        <w:tc>
          <w:tcPr>
            <w:tcW w:w="48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3,862.7 </w:t>
            </w:r>
          </w:p>
        </w:tc>
        <w:tc>
          <w:tcPr>
            <w:tcW w:w="27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1,011.9 </w:t>
            </w:r>
          </w:p>
        </w:tc>
        <w:tc>
          <w:tcPr>
            <w:tcW w:w="4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4,874.6 </w:t>
            </w:r>
          </w:p>
        </w:tc>
        <w:tc>
          <w:tcPr>
            <w:tcW w:w="2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Certain of our services involve the leasing of assets, such as safes, to our customers along with the regular servicing of those safe devices. Revenues related to the leasing of these assets are recognized in accordance with applicable lease guidance, but are included in the above table as the amounts are a small percentage of overall revenues.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Contract Balances</w:t>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Contract Assets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Although payment terms and conditions can vary, for the majority of our customer contracts, we invoice for all of the services provided to the customer within a monthly period. For certain customer contracts, the timing of our performance may precede our right to invoice the customer for the total transaction price. For example, Brink's affiliates in certain countries, primarily in Latin America, negotiate annual price adjustments with certain customers and, once the price increases are finalized, the pricing changes are made retroactive to services provided in earlier periods. These retroactive pricing adjustments are estimated and recognized as revenue with a corresponding contract asset in the same period in which the related services are performed. As the estimate of the ultimate transaction price changes, we recognize a cumulative catch-up adjustment for the change in estimate. In our Rest of World segment, certain Brink's affiliates provide services to specific customers and, per contract, a portion of the consideration is retained by the customers until the contract is completed. The retention amounts are reported as contract assets until we have the right to bill the customer for these amounts. Certain Brink's affiliates make upfront consideration payments in order to gain customer contracts. The upfront payment amounts are reported as contract assets and are amortized as a reduction to revenues over the duration of the contracts. Contract assets expected to be billed or amortized within one year ($11.0 million at December 31, 2025) are included in prepaid expenses and other on the consolidated balance sheet. Amounts not expected to be billed and collected within one year ($16.6 million at December 31, 2025) are reported in other noncurrent assets on the consolidated balance sheet.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Contract Liabilities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For other customer contracts, we may obtain the right to payment or receive customer payments prior to performing the related services under the contract. When the right to customer payments or receipt of payments precedes our performance, we recognize a contract liability, which is included in accrued liabilities on the consolidated balance sheet.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31445"/>
                <wp:effectExtent l="0" t="0" r="0" b="0"/>
                <wp:wrapNone/>
                <wp:docPr id="73" name="Frame7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opening and closing balances of receivables, contract assets and contract liabilities related to contracts with customers are as follows:</w:t>
      </w:r>
    </w:p>
    <w:tbl>
      <w:tblPr>
        <w:tblW w:w="6547" w:type="dxa"/>
        <w:jc w:val="center"/>
        <w:tblInd w:w="0" w:type="dxa"/>
        <w:tblLayout w:type="fixed"/>
        <w:tblCellMar>
          <w:top w:w="28" w:type="dxa"/>
          <w:left w:w="28" w:type="dxa"/>
          <w:bottom w:w="28" w:type="dxa"/>
          <w:right w:w="28" w:type="dxa"/>
        </w:tblCellMar>
      </w:tblPr>
      <w:tblGrid>
        <w:gridCol w:w="808"/>
        <w:gridCol w:w="711"/>
        <w:gridCol w:w="715"/>
        <w:gridCol w:w="215"/>
        <w:gridCol w:w="610"/>
        <w:gridCol w:w="121"/>
        <w:gridCol w:w="109"/>
        <w:gridCol w:w="109"/>
        <w:gridCol w:w="109"/>
        <w:gridCol w:w="409"/>
        <w:gridCol w:w="409"/>
        <w:gridCol w:w="411"/>
        <w:gridCol w:w="109"/>
        <w:gridCol w:w="109"/>
        <w:gridCol w:w="109"/>
        <w:gridCol w:w="434"/>
        <w:gridCol w:w="434"/>
        <w:gridCol w:w="616"/>
      </w:tblGrid>
      <w:tr>
        <w:trPr/>
        <w:tc>
          <w:tcPr>
            <w:tcW w:w="808"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 xml:space="preserve">(In millions) </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Contract Liabilities</w:t>
            </w:r>
          </w:p>
        </w:tc>
      </w:tr>
      <w:tr>
        <w:trPr/>
        <w:tc>
          <w:tcPr>
            <w:tcW w:w="22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Opening (January 1, 2025)</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Closing (December 31, 2025)</w:t>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(decrease)</w:t>
            </w:r>
          </w:p>
        </w:tc>
        <w:tc>
          <w:tcPr>
            <w:tcW w:w="21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32.5 </w:t>
            </w:r>
          </w:p>
        </w:tc>
        <w:tc>
          <w:tcPr>
            <w:tcW w:w="1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4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amount of revenue recognized in 2025 that was included in the January 1, 2025 contract liability balance was $14.7 million. This revenue consists of services provided to customers who had prepaid for those services prior to the current year.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Revenue recognized in the twelve months ended December 31, 2025 from performance obligations satisfied in the prior year was not</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significant. This revenue is a result of changes in the transaction price of our contracts with customers.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Contract Costs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Sales commissions directly related to obtaining new contracts with customers are capitalized when incurred and are then amortized to expense ratably over the term of the contracts. At December 31, 2025, the net capitalized costs to obtain contracts was included in other assets on the consolidated balance sheet. The capitalized amounts at December 31, 2025 and December 31, 2024 were $14.3 million and $12.8 million,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Practical Expedients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For the majority of our contracts with customers, we invoice a fixed amount for each unit of service we have provided. These contracts provide us with the right to invoice for an amount or rate that corresponds to the value we have delivered to our customers. The volume of services that will be provided to customers over the term is not known at inception of these contracts. Therefore, while the rate per unit of service is known, the transaction price itself is variable. For this reason, we recognize revenue from these contracts equal to the amount for which we have the contractual right to invoice the customers. Because we are not required to estimate variable consideration related to the transaction price in order to recognize revenue, we are also not required to estimate the variable consideration to provide certain disclosures. As a result, we have elected to use the optional exemption related to the disclosure of transaction prices, amounts allocated to remaining performance obligations and the future periods in which revenue will be recognized, sometimes referred to as backlog.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have also elected to use the practical expedient for financing components related to our contract liabilities. We do not recognize interest expense on contracts for which the period between our receipt of customer payments and our service to the customer is one year or less.</w: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31445"/>
                <wp:effectExtent l="0" t="0" r="0" b="0"/>
                <wp:wrapNone/>
                <wp:docPr id="74" name="Frame7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 xml:space="preserve">Note 3 - Segment Information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We identify our operating segments based on how our</w:t>
      </w:r>
      <w:r>
        <w:rPr>
          <w:color w:val="000000"/>
        </w:rPr>
        <w:t> </w:t>
      </w:r>
      <w:r>
        <w:rPr>
          <w:rFonts w:ascii="Times New Roman;serif" w:hAnsi="Times New Roman;serif"/>
          <w:b w:val="false"/>
          <w:color w:val="000000"/>
          <w:sz w:val="18"/>
        </w:rPr>
        <w:t>chief operating decision maker (“CODM”) allocates resources, assesses performance and makes decisions. Our CODM is our President and Chief Executive Officer. Our CODM evaluates performance and allocates resources to each operating segment based on a profit or loss measure which, at the reportable segment level, excludes the following: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Corporate expenses - include costs to manage the global business and perform activities required by public companies as well as other items that are considered part of the Company's operations and revenue generating activities but are not considered when the CODM evaluates segment results. Examples include corporate staff compensation, corporate headquarters costs, regional management costs, share-based compensation, and currency transaction gains and losses.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Other items not allocated to segments - include income and expenses that are not necessary to operate our business in the ordinary course and are not considered when the CODM evaluates segment results. These include non-recurring as well as certain recurring costs and gains which are not considered to be part of the Company's operations and revenue generating activities. As such, they have not been allocated to segment or Corporate results.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Our CODM uses segment operating profit to evaluate the performance of each of our reportable segments, comparing profitability to expected results as well as to the other segments, ultimately guiding resource allocation decisions including investment, capital allocation and staffing to optimize overall company profitability.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currently serve customers in more than 100 countries, including 51 countries where we operate subsidiaries.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We manage our business in the following four segments: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North America – operations in the U.S. and Canada, including the Brink’s Global Services ("BGS") line of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Latin America – operations in Latin American countries where we have an ownership interest, including the BGS line of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 xml:space="preserve">Europe – predominantly operations in European countries that primarily provide services outside of the BGS line of business, and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8"/>
        </w:rPr>
        <w:t>Rest of World – operations in the Middle East, Africa and Asia. This segment also includes total operations in European countries that primarily provide BGS services and BGS activity in Latin American countries where we do not have an ownership interest.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Operations in certain geographies were moved from the Rest of World segment to the Europe segment, effective December 31, 2025 in order to align with management reporting. We have recast all prior periods presented to provide consistent comparability.</w:t>
      </w:r>
    </w:p>
    <w:p>
      <w:pPr>
        <w:pStyle w:val="TextBody"/>
        <w:bidi w:val="0"/>
        <w:spacing w:before="0" w:after="0"/>
        <w:jc w:val="left"/>
        <w:rPr/>
      </w:pPr>
      <w:r>
        <w:rPr/>
      </w:r>
    </w:p>
    <w:tbl>
      <w:tblPr>
        <w:tblW w:w="9421" w:type="dxa"/>
        <w:jc w:val="left"/>
        <w:tblInd w:w="0" w:type="dxa"/>
        <w:tblLayout w:type="fixed"/>
        <w:tblCellMar>
          <w:top w:w="28" w:type="dxa"/>
          <w:left w:w="28" w:type="dxa"/>
          <w:bottom w:w="28" w:type="dxa"/>
          <w:right w:w="28" w:type="dxa"/>
        </w:tblCellMar>
      </w:tblPr>
      <w:tblGrid>
        <w:gridCol w:w="1057"/>
        <w:gridCol w:w="932"/>
        <w:gridCol w:w="935"/>
        <w:gridCol w:w="230"/>
        <w:gridCol w:w="812"/>
        <w:gridCol w:w="128"/>
        <w:gridCol w:w="109"/>
        <w:gridCol w:w="109"/>
        <w:gridCol w:w="109"/>
        <w:gridCol w:w="369"/>
        <w:gridCol w:w="369"/>
        <w:gridCol w:w="371"/>
        <w:gridCol w:w="109"/>
        <w:gridCol w:w="109"/>
        <w:gridCol w:w="109"/>
        <w:gridCol w:w="345"/>
        <w:gridCol w:w="346"/>
        <w:gridCol w:w="206"/>
        <w:gridCol w:w="109"/>
        <w:gridCol w:w="109"/>
        <w:gridCol w:w="109"/>
        <w:gridCol w:w="369"/>
        <w:gridCol w:w="369"/>
        <w:gridCol w:w="371"/>
        <w:gridCol w:w="109"/>
        <w:gridCol w:w="109"/>
        <w:gridCol w:w="109"/>
        <w:gridCol w:w="345"/>
        <w:gridCol w:w="346"/>
        <w:gridCol w:w="213"/>
      </w:tblGrid>
      <w:tr>
        <w:trPr/>
        <w:tc>
          <w:tcPr>
            <w:tcW w:w="1057"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6497"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Year Ended December 31, 2025</w:t>
            </w:r>
          </w:p>
        </w:tc>
      </w:tr>
      <w:tr>
        <w:trPr/>
        <w:tc>
          <w:tcPr>
            <w:tcW w:w="2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North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Latin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Rest of World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29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1,742.6 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1,289.6 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1,429.5 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799.5 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5,261.2 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w:t>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Cost of revenues:</w:t>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Labor and fringe benefit costs</w:t>
            </w:r>
            <w:r>
              <w:rPr>
                <w:rFonts w:ascii="Times New Roman;serif" w:hAnsi="Times New Roman;serif"/>
                <w:b w:val="false"/>
                <w:color w:val="000000"/>
                <w:sz w:val="12"/>
              </w:rPr>
              <w:t>(a)</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574.3 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619.2 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200.4 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cost of revenues segment items</w:t>
            </w:r>
            <w:r>
              <w:rPr>
                <w:rFonts w:ascii="Times New Roman;serif" w:hAnsi="Times New Roman;serif"/>
                <w:b w:val="false"/>
                <w:color w:val="000000"/>
                <w:sz w:val="12"/>
              </w:rPr>
              <w:t>(b)</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350.9 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474.5 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357.3 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Total cost of revenues</w:t>
            </w:r>
            <w:r>
              <w:rPr>
                <w:rFonts w:ascii="Times New Roman;serif" w:hAnsi="Times New Roman;serif"/>
                <w:b w:val="false"/>
                <w:color w:val="000000"/>
                <w:sz w:val="12"/>
              </w:rPr>
              <w:t>(a)</w:t>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1,274.2 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925.2 </w:t>
            </w:r>
          </w:p>
        </w:tc>
        <w:tc>
          <w:tcPr>
            <w:tcW w:w="3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1,093.7 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557.7 </w:t>
            </w:r>
          </w:p>
        </w:tc>
        <w:tc>
          <w:tcPr>
            <w:tcW w:w="3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Selling, general, and administrative</w:t>
            </w:r>
            <w:r>
              <w:rPr>
                <w:rFonts w:ascii="Times New Roman;serif" w:hAnsi="Times New Roman;serif"/>
                <w:b w:val="false"/>
                <w:color w:val="000000"/>
                <w:sz w:val="12"/>
              </w:rPr>
              <w:t>(a)</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120.5 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158.6 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operating profit</w:t>
            </w:r>
          </w:p>
        </w:tc>
        <w:tc>
          <w:tcPr>
            <w:tcW w:w="23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246.7 </w:t>
            </w:r>
          </w:p>
        </w:tc>
        <w:tc>
          <w:tcPr>
            <w:tcW w:w="1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243.9 </w:t>
            </w:r>
          </w:p>
        </w:tc>
        <w:tc>
          <w:tcPr>
            <w:tcW w:w="3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177.2 </w:t>
            </w:r>
          </w:p>
        </w:tc>
        <w:tc>
          <w:tcPr>
            <w:tcW w:w="2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178.2 </w:t>
            </w:r>
          </w:p>
        </w:tc>
        <w:tc>
          <w:tcPr>
            <w:tcW w:w="3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846.0 </w:t>
            </w:r>
          </w:p>
        </w:tc>
        <w:tc>
          <w:tcPr>
            <w:tcW w:w="2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31445"/>
                <wp:effectExtent l="0" t="0" r="0" b="0"/>
                <wp:wrapNone/>
                <wp:docPr id="75" name="Frame7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9421" w:type="dxa"/>
        <w:jc w:val="left"/>
        <w:tblInd w:w="0" w:type="dxa"/>
        <w:tblLayout w:type="fixed"/>
        <w:tblCellMar>
          <w:top w:w="28" w:type="dxa"/>
          <w:left w:w="28" w:type="dxa"/>
          <w:bottom w:w="28" w:type="dxa"/>
          <w:right w:w="28" w:type="dxa"/>
        </w:tblCellMar>
      </w:tblPr>
      <w:tblGrid>
        <w:gridCol w:w="1057"/>
        <w:gridCol w:w="932"/>
        <w:gridCol w:w="935"/>
        <w:gridCol w:w="230"/>
        <w:gridCol w:w="812"/>
        <w:gridCol w:w="128"/>
        <w:gridCol w:w="109"/>
        <w:gridCol w:w="109"/>
        <w:gridCol w:w="109"/>
        <w:gridCol w:w="369"/>
        <w:gridCol w:w="369"/>
        <w:gridCol w:w="371"/>
        <w:gridCol w:w="109"/>
        <w:gridCol w:w="109"/>
        <w:gridCol w:w="109"/>
        <w:gridCol w:w="345"/>
        <w:gridCol w:w="346"/>
        <w:gridCol w:w="206"/>
        <w:gridCol w:w="109"/>
        <w:gridCol w:w="109"/>
        <w:gridCol w:w="109"/>
        <w:gridCol w:w="369"/>
        <w:gridCol w:w="369"/>
        <w:gridCol w:w="371"/>
        <w:gridCol w:w="109"/>
        <w:gridCol w:w="109"/>
        <w:gridCol w:w="109"/>
        <w:gridCol w:w="345"/>
        <w:gridCol w:w="346"/>
        <w:gridCol w:w="213"/>
      </w:tblGrid>
      <w:tr>
        <w:trPr/>
        <w:tc>
          <w:tcPr>
            <w:tcW w:w="1057"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7"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Year Ended December 31, 2024</w:t>
            </w:r>
          </w:p>
        </w:tc>
      </w:tr>
      <w:tr>
        <w:trPr/>
        <w:tc>
          <w:tcPr>
            <w:tcW w:w="2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North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Latin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Rest of World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29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1,649.7 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1,311.0 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1,305.0 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746.2 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5,011.9 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w:t>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Cost of revenues:</w:t>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Labor and fringe benefit costs</w:t>
            </w:r>
            <w:r>
              <w:rPr>
                <w:rFonts w:ascii="Times New Roman;serif" w:hAnsi="Times New Roman;serif"/>
                <w:b w:val="false"/>
                <w:color w:val="000000"/>
                <w:sz w:val="12"/>
              </w:rPr>
              <w:t>(a)</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572.1 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202.5 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cost of revenues segment items</w:t>
            </w:r>
            <w:r>
              <w:rPr>
                <w:rFonts w:ascii="Times New Roman;serif" w:hAnsi="Times New Roman;serif"/>
                <w:b w:val="false"/>
                <w:color w:val="000000"/>
                <w:sz w:val="12"/>
              </w:rPr>
              <w:t>(b)</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349.3 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425.9 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329.7 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Total cost of revenues</w:t>
            </w:r>
            <w:r>
              <w:rPr>
                <w:rFonts w:ascii="Times New Roman;serif" w:hAnsi="Times New Roman;serif"/>
                <w:b w:val="false"/>
                <w:color w:val="000000"/>
                <w:sz w:val="12"/>
              </w:rPr>
              <w:t>(a)</w:t>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1,232.2 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921.4 </w:t>
            </w:r>
          </w:p>
        </w:tc>
        <w:tc>
          <w:tcPr>
            <w:tcW w:w="3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1,004.4 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532.2 </w:t>
            </w:r>
          </w:p>
        </w:tc>
        <w:tc>
          <w:tcPr>
            <w:tcW w:w="3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Selling, general, and administrative</w:t>
            </w:r>
            <w:r>
              <w:rPr>
                <w:rFonts w:ascii="Times New Roman;serif" w:hAnsi="Times New Roman;serif"/>
                <w:b w:val="false"/>
                <w:color w:val="000000"/>
                <w:sz w:val="12"/>
              </w:rPr>
              <w:t>(a)</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117.3 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operating profit</w:t>
            </w:r>
          </w:p>
        </w:tc>
        <w:tc>
          <w:tcPr>
            <w:tcW w:w="23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194.0 </w:t>
            </w:r>
          </w:p>
        </w:tc>
        <w:tc>
          <w:tcPr>
            <w:tcW w:w="1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272.3 </w:t>
            </w:r>
          </w:p>
        </w:tc>
        <w:tc>
          <w:tcPr>
            <w:tcW w:w="3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151.1 </w:t>
            </w:r>
          </w:p>
        </w:tc>
        <w:tc>
          <w:tcPr>
            <w:tcW w:w="2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155.4 </w:t>
            </w:r>
          </w:p>
        </w:tc>
        <w:tc>
          <w:tcPr>
            <w:tcW w:w="3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772.8 </w:t>
            </w:r>
          </w:p>
        </w:tc>
        <w:tc>
          <w:tcPr>
            <w:tcW w:w="2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421" w:type="dxa"/>
        <w:jc w:val="left"/>
        <w:tblInd w:w="0" w:type="dxa"/>
        <w:tblLayout w:type="fixed"/>
        <w:tblCellMar>
          <w:top w:w="28" w:type="dxa"/>
          <w:left w:w="28" w:type="dxa"/>
          <w:bottom w:w="28" w:type="dxa"/>
          <w:right w:w="28" w:type="dxa"/>
        </w:tblCellMar>
      </w:tblPr>
      <w:tblGrid>
        <w:gridCol w:w="1057"/>
        <w:gridCol w:w="932"/>
        <w:gridCol w:w="935"/>
        <w:gridCol w:w="230"/>
        <w:gridCol w:w="812"/>
        <w:gridCol w:w="128"/>
        <w:gridCol w:w="109"/>
        <w:gridCol w:w="109"/>
        <w:gridCol w:w="109"/>
        <w:gridCol w:w="369"/>
        <w:gridCol w:w="369"/>
        <w:gridCol w:w="371"/>
        <w:gridCol w:w="109"/>
        <w:gridCol w:w="109"/>
        <w:gridCol w:w="109"/>
        <w:gridCol w:w="345"/>
        <w:gridCol w:w="346"/>
        <w:gridCol w:w="206"/>
        <w:gridCol w:w="109"/>
        <w:gridCol w:w="109"/>
        <w:gridCol w:w="109"/>
        <w:gridCol w:w="369"/>
        <w:gridCol w:w="369"/>
        <w:gridCol w:w="371"/>
        <w:gridCol w:w="109"/>
        <w:gridCol w:w="109"/>
        <w:gridCol w:w="109"/>
        <w:gridCol w:w="345"/>
        <w:gridCol w:w="346"/>
        <w:gridCol w:w="213"/>
      </w:tblGrid>
      <w:tr>
        <w:trPr/>
        <w:tc>
          <w:tcPr>
            <w:tcW w:w="1057"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7"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Year Ended December 31, 2023</w:t>
            </w:r>
          </w:p>
        </w:tc>
      </w:tr>
      <w:tr>
        <w:trPr/>
        <w:tc>
          <w:tcPr>
            <w:tcW w:w="2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North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Latin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Rest of World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29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1,601.1 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1,332.3 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1,213.6 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727.6 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4,874.6 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w:t>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Cost of revenues:</w:t>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Labor and fringe benefit costs</w:t>
            </w:r>
            <w:r>
              <w:rPr>
                <w:rFonts w:ascii="Times New Roman;serif" w:hAnsi="Times New Roman;serif"/>
                <w:b w:val="false"/>
                <w:color w:val="000000"/>
                <w:sz w:val="12"/>
              </w:rPr>
              <w:t>(a)</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574.6 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546.7 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203.1 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cost of revenues segment items</w:t>
            </w:r>
            <w:r>
              <w:rPr>
                <w:rFonts w:ascii="Times New Roman;serif" w:hAnsi="Times New Roman;serif"/>
                <w:b w:val="false"/>
                <w:color w:val="000000"/>
                <w:sz w:val="12"/>
              </w:rPr>
              <w:t>(b)</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354.1 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405.9 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321.7 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Total cost of revenues</w:t>
            </w:r>
            <w:r>
              <w:rPr>
                <w:rFonts w:ascii="Times New Roman;serif" w:hAnsi="Times New Roman;serif"/>
                <w:b w:val="false"/>
                <w:color w:val="000000"/>
                <w:sz w:val="12"/>
              </w:rPr>
              <w:t>(a)</w:t>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1,216.6 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928.7 </w:t>
            </w:r>
          </w:p>
        </w:tc>
        <w:tc>
          <w:tcPr>
            <w:tcW w:w="3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952.6 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524.8 </w:t>
            </w:r>
          </w:p>
        </w:tc>
        <w:tc>
          <w:tcPr>
            <w:tcW w:w="3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Selling, general, and administrative</w:t>
            </w:r>
            <w:r>
              <w:rPr>
                <w:rFonts w:ascii="Times New Roman;serif" w:hAnsi="Times New Roman;serif"/>
                <w:b w:val="false"/>
                <w:color w:val="000000"/>
                <w:sz w:val="12"/>
              </w:rPr>
              <w:t>(a)</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123.3 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operating profit</w:t>
            </w:r>
          </w:p>
        </w:tc>
        <w:tc>
          <w:tcPr>
            <w:tcW w:w="23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185.2 </w:t>
            </w:r>
          </w:p>
        </w:tc>
        <w:tc>
          <w:tcPr>
            <w:tcW w:w="1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280.3 </w:t>
            </w:r>
          </w:p>
        </w:tc>
        <w:tc>
          <w:tcPr>
            <w:tcW w:w="3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137.0 </w:t>
            </w:r>
          </w:p>
        </w:tc>
        <w:tc>
          <w:tcPr>
            <w:tcW w:w="2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152.1 </w:t>
            </w:r>
          </w:p>
        </w:tc>
        <w:tc>
          <w:tcPr>
            <w:tcW w:w="3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754.6 </w:t>
            </w:r>
          </w:p>
        </w:tc>
        <w:tc>
          <w:tcPr>
            <w:tcW w:w="2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(a)The significant expense categories and amounts align with the segment-level information that is regularly provided to the CODM. Selling, general and administrative expenses include insignificant amounts reported within other operating income (expense) in the consolidated statements of operations.</w:t>
      </w:r>
    </w:p>
    <w:p>
      <w:pPr>
        <w:pStyle w:val="TextBody"/>
        <w:bidi w:val="0"/>
        <w:spacing w:lineRule="auto" w:line="288" w:before="0" w:after="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(b)Other cost of revenues segment items for each reportable segment include primarily vehicle expenses, freight, equipment costs, building expense, and office and administrative expenses.</w:t>
      </w:r>
    </w:p>
    <w:p>
      <w:pPr>
        <w:pStyle w:val="TextBody"/>
        <w:bidi w:val="0"/>
        <w:spacing w:before="0" w:after="0"/>
        <w:jc w:val="left"/>
        <w:rPr/>
      </w:pPr>
      <w:r>
        <w:rPr/>
      </w:r>
    </w:p>
    <w:tbl>
      <w:tblPr>
        <w:tblW w:w="6636" w:type="dxa"/>
        <w:jc w:val="left"/>
        <w:tblInd w:w="0" w:type="dxa"/>
        <w:tblLayout w:type="fixed"/>
        <w:tblCellMar>
          <w:top w:w="28" w:type="dxa"/>
          <w:left w:w="28" w:type="dxa"/>
          <w:bottom w:w="28" w:type="dxa"/>
          <w:right w:w="28" w:type="dxa"/>
        </w:tblCellMar>
      </w:tblPr>
      <w:tblGrid>
        <w:gridCol w:w="1140"/>
        <w:gridCol w:w="1003"/>
        <w:gridCol w:w="1007"/>
        <w:gridCol w:w="109"/>
        <w:gridCol w:w="109"/>
        <w:gridCol w:w="109"/>
        <w:gridCol w:w="196"/>
        <w:gridCol w:w="571"/>
        <w:gridCol w:w="109"/>
        <w:gridCol w:w="109"/>
        <w:gridCol w:w="109"/>
        <w:gridCol w:w="109"/>
        <w:gridCol w:w="314"/>
        <w:gridCol w:w="316"/>
        <w:gridCol w:w="156"/>
        <w:gridCol w:w="109"/>
        <w:gridCol w:w="109"/>
        <w:gridCol w:w="109"/>
        <w:gridCol w:w="314"/>
        <w:gridCol w:w="316"/>
        <w:gridCol w:w="213"/>
      </w:tblGrid>
      <w:tr>
        <w:trPr/>
        <w:tc>
          <w:tcPr>
            <w:tcW w:w="1140"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Years Ended December 31,</w:t>
            </w:r>
          </w:p>
        </w:tc>
      </w:tr>
      <w:tr>
        <w:trPr/>
        <w:tc>
          <w:tcPr>
            <w:tcW w:w="31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2023</w:t>
            </w:r>
          </w:p>
        </w:tc>
      </w:tr>
      <w:tr>
        <w:trPr/>
        <w:tc>
          <w:tcPr>
            <w:tcW w:w="31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bookmarkStart w:id="14" w:name="i041982f90b97405bb3124a27aa237ef5_3-0-1-"/>
            <w:bookmarkEnd w:id="14"/>
            <w:r>
              <w:rPr>
                <w:rFonts w:ascii="Times New Roman;serif" w:hAnsi="Times New Roman;serif"/>
                <w:b w:val="false"/>
                <w:color w:val="000000"/>
                <w:sz w:val="18"/>
              </w:rPr>
              <w:t>Segment operating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846.0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754.6 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Reconciling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administrative and 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(154.9)</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Foreign currency transaction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items not allocated to segments</w:t>
            </w:r>
            <w:r>
              <w:rPr>
                <w:rFonts w:ascii="Times New Roman;serif" w:hAnsi="Times New Roman;serif"/>
                <w:b w:val="false"/>
                <w:color w:val="000000"/>
                <w:sz w:val="12"/>
              </w:rPr>
              <w:t>(a)</w:t>
            </w: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Reorganization and restructuring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Acquisitions and dispositions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Argentina highly inflationary impact</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Transformation initiatives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DOJ/FinCEN investigations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Chile antitrust matter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Non-routine auto loss matter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Reporting compliance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Operating profit</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585.5</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453.0 </w:t>
            </w:r>
          </w:p>
        </w:tc>
        <w:tc>
          <w:tcPr>
            <w:tcW w:w="1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425.2 </w:t>
            </w:r>
          </w:p>
        </w:tc>
        <w:tc>
          <w:tcPr>
            <w:tcW w:w="2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4"/>
        </w:rPr>
      </w:pPr>
      <w:r>
        <w:rPr>
          <w:rFonts w:ascii="Times New Roman;serif" w:hAnsi="Times New Roman;serif"/>
          <w:b w:val="false"/>
          <w:color w:val="000000"/>
          <w:sz w:val="14"/>
        </w:rPr>
        <w:t>(a)See "Other Items not Allocated to Segments" for a description of these items.</w:t>
      </w:r>
    </w:p>
    <w:p>
      <w:pPr>
        <w:pStyle w:val="TextBody"/>
        <w:bidi w:val="0"/>
        <w:spacing w:lineRule="auto" w:line="288" w:before="0" w:after="0"/>
        <w:ind w:left="0" w:right="0" w:hanging="360"/>
        <w:jc w:val="both"/>
        <w:rPr>
          <w:rFonts w:ascii="Times New Roman;serif" w:hAnsi="Times New Roman;serif"/>
          <w:b w:val="false"/>
          <w:color w:val="000000"/>
          <w:sz w:val="14"/>
        </w:rPr>
      </w:pPr>
      <w:r>
        <w:rPr>
          <w:rFonts w:ascii="Times New Roman;serif" w:hAnsi="Times New Roman;serif"/>
          <w:b w:val="false"/>
          <w:color w:val="000000"/>
          <w:sz w:val="14"/>
        </w:rPr>
        <w:t>(b)See "Depreciation Adjustment" in Note 1 for more details.</w:t>
      </w:r>
    </w:p>
    <w:p>
      <w:pPr>
        <w:pStyle w:val="TextBody"/>
        <w:bidi w:val="0"/>
        <w:spacing w:before="0" w:after="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31445"/>
                <wp:effectExtent l="0" t="0" r="0" b="0"/>
                <wp:wrapNone/>
                <wp:docPr id="76" name="Frame7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Other Items not Allocated to Segments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18"/>
        </w:rPr>
        <w:t xml:space="preserve">Reorganization and restructuring  </w:t>
      </w:r>
      <w:r>
        <w:rPr>
          <w:rFonts w:ascii="Times New Roman;serif" w:hAnsi="Times New Roman;serif"/>
          <w:b w:val="false"/>
          <w:color w:val="000000"/>
          <w:sz w:val="18"/>
        </w:rPr>
        <w:t xml:space="preserve">Net charges incurred in relation to certain restructuring actions include primarily severance charges and asset impairment losses. The 2022 Global Restructuring Plan was designed to, among other things, enable growth, reduce costs and related infrastructure, and to mitigate the potential impact of external economic conditions in light of the COVID-19 pandemic. Other restructuring actions were primarily in response to the COVID-19 pandemic and a decision to exit a line of business in our Canada operating unit. </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i/>
          <w:color w:val="000000"/>
          <w:sz w:val="18"/>
        </w:rPr>
        <w:t xml:space="preserve">Acquisitions and dispositions </w:t>
      </w:r>
      <w:r>
        <w:rPr>
          <w:rFonts w:ascii="Times New Roman;serif" w:hAnsi="Times New Roman;serif"/>
          <w:b w:val="false"/>
          <w:color w:val="000000"/>
          <w:sz w:val="18"/>
        </w:rPr>
        <w:t xml:space="preserve">These items include non-cash amortization expense for acquisition-related intangible assets, as well as integration, transaction, restructuring and certain compensation costs.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18"/>
        </w:rPr>
        <w:t xml:space="preserve">Argentina highly inflationary impact </w:t>
      </w:r>
      <w:r>
        <w:rPr>
          <w:rFonts w:ascii="Times New Roman;serif" w:hAnsi="Times New Roman;serif"/>
          <w:b w:val="false"/>
          <w:color w:val="000000"/>
          <w:sz w:val="18"/>
        </w:rPr>
        <w:t>Beginning in the third quarter of 2018, we designated Argentina's economy as highly inflationary for accounting purposes. As a result, Argentine peso-denominated monetary assets and liabilities are now remeasured at each balance sheet date to the currency exchange rate then in effect, with currency remeasurement gains and losses recognized in earnings. In addition, nonmonetary assets retain a higher historical basis when the currency is devalued. The higher historical basis results in incremental expense being recognized when the nonmonetary assets are consumed.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18"/>
        </w:rPr>
        <w:t xml:space="preserve">Transformation initiatives </w:t>
      </w:r>
      <w:r>
        <w:rPr>
          <w:rFonts w:ascii="Times New Roman;serif" w:hAnsi="Times New Roman;serif"/>
          <w:b w:val="false"/>
          <w:color w:val="000000"/>
          <w:sz w:val="18"/>
        </w:rPr>
        <w:t xml:space="preserve">During 2023, we initiated a multi-year program intended to accelerate growth and drive margin expansion through transformation of our business model. The program is designed to help us standardize our commercial and operational systems and processes, drive continuous improvement and achieve operational excellence. The transformation costs primarily include third-party professional services, project management charges and severance. These costs relate to a discrete program.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18"/>
        </w:rPr>
        <w:t xml:space="preserve">DOJ/FinCEN investigations </w:t>
      </w:r>
      <w:r>
        <w:rPr>
          <w:rFonts w:ascii="Times New Roman;serif" w:hAnsi="Times New Roman;serif"/>
          <w:b w:val="false"/>
          <w:color w:val="000000"/>
          <w:sz w:val="18"/>
        </w:rPr>
        <w:t xml:space="preserve">In 2024, we recorded a charge for a probable loss in connection with U.S. Department of Justice ("DOJ") and U.S. Department of the Treasury’s (the "U.S. Treasury") Financial Crimes Enforcement Network ("FinCEN") investigations. Additionally, we have incurred third-party costs, primarily legal costs, associated with these matters, including upfront expenses that are directly attributable to establishing compliance programs. In the first quarter of 2025, we reached resolutions with both the DOJ and FinCEN.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18"/>
        </w:rPr>
        <w:t xml:space="preserve">Chile antitrust matter </w:t>
      </w:r>
      <w:r>
        <w:rPr>
          <w:rFonts w:ascii="Times New Roman;serif" w:hAnsi="Times New Roman;serif"/>
          <w:b w:val="false"/>
          <w:color w:val="000000"/>
          <w:sz w:val="18"/>
        </w:rPr>
        <w:t>We have recorded charges for a contingent loss associated with an investigation initiated by the Chilean Fiscalía Nacional Económica or "FNE" (the Chilean antitrust agency). The investigation is related to potential anti-competitive practices among competitors in the cash logistics industry in Chile. Additionally, we have incurred third-party costs, primarily legal costs, associated with this matter. See Note 22 for details.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18"/>
        </w:rPr>
        <w:t>Non-routine auto loss matter</w:t>
      </w:r>
      <w:r>
        <w:rPr>
          <w:color w:val="000000"/>
        </w:rPr>
        <w:t xml:space="preserve"> </w:t>
      </w:r>
      <w:r>
        <w:rPr>
          <w:rFonts w:ascii="Times New Roman;serif" w:hAnsi="Times New Roman;serif"/>
          <w:b w:val="false"/>
          <w:color w:val="000000"/>
          <w:sz w:val="18"/>
        </w:rPr>
        <w:t xml:space="preserve">In 2023, a Brink’s employee was involved in a motor vehicle accident with unique circumstances that resulted in the death of a third party. In connection with the ensuing litigation, Brink’s recognized a charge. Additionally, we have incurred third-party costs, primarily legal costs, associated with this matter.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18"/>
        </w:rPr>
        <w:t>Reporting compliance</w:t>
      </w:r>
      <w:r>
        <w:rPr>
          <w:color w:val="000000"/>
        </w:rPr>
        <w:t xml:space="preserve"> </w:t>
      </w:r>
      <w:r>
        <w:rPr>
          <w:rFonts w:ascii="Times New Roman;serif" w:hAnsi="Times New Roman;serif"/>
          <w:b w:val="false"/>
          <w:color w:val="000000"/>
          <w:sz w:val="18"/>
        </w:rPr>
        <w:t xml:space="preserve">We incurred certain third-party compliance costs in 2023 to remediate a material weakness in internal controls over financial reporting.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31445"/>
                <wp:effectExtent l="0" t="0" r="0" b="0"/>
                <wp:wrapNone/>
                <wp:docPr id="77" name="Frame7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74</w:t>
                      </w:r>
                    </w:p>
                  </w:txbxContent>
                </v:textbox>
                <w10:wrap type="none"/>
              </v:rect>
            </w:pict>
          </mc:Fallback>
        </mc:AlternateContent>
      </w:r>
    </w:p>
    <w:p>
      <w:pPr>
        <w:pStyle w:val="TextBody"/>
        <w:bidi w:val="0"/>
        <w:spacing w:before="0" w:after="0"/>
        <w:jc w:val="left"/>
        <w:rPr/>
      </w:pPr>
      <w:r>
        <w:rPr/>
      </w:r>
    </w:p>
    <w:tbl>
      <w:tblPr>
        <w:tblW w:w="7361" w:type="dxa"/>
        <w:jc w:val="left"/>
        <w:tblInd w:w="0" w:type="dxa"/>
        <w:tblLayout w:type="fixed"/>
        <w:tblCellMar>
          <w:top w:w="28" w:type="dxa"/>
          <w:left w:w="28" w:type="dxa"/>
          <w:bottom w:w="28" w:type="dxa"/>
          <w:right w:w="28" w:type="dxa"/>
        </w:tblCellMar>
      </w:tblPr>
      <w:tblGrid>
        <w:gridCol w:w="1573"/>
        <w:gridCol w:w="1385"/>
        <w:gridCol w:w="1392"/>
        <w:gridCol w:w="196"/>
        <w:gridCol w:w="571"/>
        <w:gridCol w:w="109"/>
        <w:gridCol w:w="109"/>
        <w:gridCol w:w="109"/>
        <w:gridCol w:w="109"/>
        <w:gridCol w:w="278"/>
        <w:gridCol w:w="278"/>
        <w:gridCol w:w="156"/>
        <w:gridCol w:w="109"/>
        <w:gridCol w:w="109"/>
        <w:gridCol w:w="109"/>
        <w:gridCol w:w="278"/>
        <w:gridCol w:w="278"/>
        <w:gridCol w:w="213"/>
      </w:tblGrid>
      <w:tr>
        <w:trPr/>
        <w:tc>
          <w:tcPr>
            <w:tcW w:w="1573"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01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Years Ended December 31,</w:t>
            </w:r>
          </w:p>
        </w:tc>
      </w:tr>
      <w:tr>
        <w:trPr/>
        <w:tc>
          <w:tcPr>
            <w:tcW w:w="43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8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2023</w:t>
            </w:r>
          </w:p>
        </w:tc>
      </w:tr>
      <w:tr>
        <w:trPr/>
        <w:tc>
          <w:tcPr>
            <w:tcW w:w="43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Capital Expenditures by Reportable Segment</w:t>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North America</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59.7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Latin America</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 of World</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43.4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reportable segments</w:t>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200.6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195.3 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items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203.1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202.7 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Depreciation and Amortization by Reportable Segment</w:t>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of property and equipment:</w:t>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North America</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Latin America</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56.2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 of World</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reportable segments</w:t>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237.1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206.1 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items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Argentina highly inflationary impact</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Reorganization and restructuring</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of property and equipment</w:t>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231.9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218.0 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Amortization of intangible assets</w:t>
            </w:r>
            <w:r>
              <w:rPr>
                <w:rFonts w:ascii="Times New Roman;serif" w:hAnsi="Times New Roman;serif"/>
                <w:b w:val="false"/>
                <w:color w:val="000000"/>
                <w:sz w:val="12"/>
              </w:rPr>
              <w:t>(a)</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58.9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290.8</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293.3 </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275.8 </w:t>
            </w:r>
          </w:p>
        </w:tc>
        <w:tc>
          <w:tcPr>
            <w:tcW w:w="2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(a)Amortization of acquisition-related intangible assets has been excluded from reportable segment amounts.</w:t>
      </w:r>
    </w:p>
    <w:p>
      <w:pPr>
        <w:pStyle w:val="TextBody"/>
        <w:bidi w:val="0"/>
        <w:spacing w:before="0" w:after="0"/>
        <w:jc w:val="left"/>
        <w:rPr/>
      </w:pPr>
      <w:r>
        <w:rPr/>
      </w:r>
    </w:p>
    <w:p>
      <w:pPr>
        <w:pStyle w:val="TextBody"/>
        <w:bidi w:val="0"/>
        <w:spacing w:before="0" w:after="0"/>
        <w:jc w:val="left"/>
        <w:rPr/>
      </w:pPr>
      <w:r>
        <w:rPr/>
      </w:r>
    </w:p>
    <w:tbl>
      <w:tblPr>
        <w:tblW w:w="5076" w:type="dxa"/>
        <w:jc w:val="left"/>
        <w:tblInd w:w="0" w:type="dxa"/>
        <w:tblLayout w:type="fixed"/>
        <w:tblCellMar>
          <w:top w:w="28" w:type="dxa"/>
          <w:left w:w="28" w:type="dxa"/>
          <w:bottom w:w="28" w:type="dxa"/>
          <w:right w:w="28" w:type="dxa"/>
        </w:tblCellMar>
      </w:tblPr>
      <w:tblGrid>
        <w:gridCol w:w="1025"/>
        <w:gridCol w:w="903"/>
        <w:gridCol w:w="906"/>
        <w:gridCol w:w="196"/>
        <w:gridCol w:w="706"/>
        <w:gridCol w:w="109"/>
        <w:gridCol w:w="109"/>
        <w:gridCol w:w="109"/>
        <w:gridCol w:w="109"/>
        <w:gridCol w:w="345"/>
        <w:gridCol w:w="346"/>
        <w:gridCol w:w="213"/>
      </w:tblGrid>
      <w:tr>
        <w:trPr/>
        <w:tc>
          <w:tcPr>
            <w:tcW w:w="1025"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w:t>
            </w:r>
          </w:p>
        </w:tc>
      </w:tr>
      <w:tr>
        <w:trPr/>
        <w:tc>
          <w:tcPr>
            <w:tcW w:w="28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0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r>
      <w:tr>
        <w:trPr/>
        <w:tc>
          <w:tcPr>
            <w:tcW w:w="28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 held by Reportable Segment</w:t>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North America</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2,166.7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2,089.8 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Latin America</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1,211.6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1,171.7 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2,458.9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1,988.3 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 of World</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1,070.9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reportable segments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6,908.1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6,241.3 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items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431.1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7,339.2</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6,623.1 </w:t>
            </w:r>
          </w:p>
        </w:tc>
        <w:tc>
          <w:tcPr>
            <w:tcW w:w="2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5632" w:type="dxa"/>
        <w:jc w:val="left"/>
        <w:tblInd w:w="0" w:type="dxa"/>
        <w:tblLayout w:type="fixed"/>
        <w:tblCellMar>
          <w:top w:w="28" w:type="dxa"/>
          <w:left w:w="28" w:type="dxa"/>
          <w:bottom w:w="28" w:type="dxa"/>
          <w:right w:w="28" w:type="dxa"/>
        </w:tblCellMar>
      </w:tblPr>
      <w:tblGrid>
        <w:gridCol w:w="1274"/>
        <w:gridCol w:w="1122"/>
        <w:gridCol w:w="1129"/>
        <w:gridCol w:w="196"/>
        <w:gridCol w:w="706"/>
        <w:gridCol w:w="109"/>
        <w:gridCol w:w="109"/>
        <w:gridCol w:w="109"/>
        <w:gridCol w:w="109"/>
        <w:gridCol w:w="278"/>
        <w:gridCol w:w="278"/>
        <w:gridCol w:w="213"/>
      </w:tblGrid>
      <w:tr>
        <w:trPr/>
        <w:tc>
          <w:tcPr>
            <w:tcW w:w="1274"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1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w:t>
            </w:r>
          </w:p>
        </w:tc>
      </w:tr>
      <w:tr>
        <w:trPr/>
        <w:tc>
          <w:tcPr>
            <w:tcW w:w="35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0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r>
      <w:tr>
        <w:trPr/>
        <w:tc>
          <w:tcPr>
            <w:tcW w:w="35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Long-Lived Assets by Significant Country</w:t>
            </w:r>
            <w:r>
              <w:rPr>
                <w:rFonts w:ascii="Times New Roman;serif" w:hAnsi="Times New Roman;serif"/>
                <w:b/>
                <w:color w:val="000000"/>
                <w:sz w:val="12"/>
              </w:rPr>
              <w:t>(a)</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Non-U.S.:</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France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Mexico</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544.7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Subtotal</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812.8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651.7 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317.7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1,130.5</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982.7 </w:t>
            </w:r>
          </w:p>
        </w:tc>
        <w:tc>
          <w:tcPr>
            <w:tcW w:w="2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(a)Long-lived assets include only property and equipment, net.</w:t>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31445"/>
                <wp:effectExtent l="0" t="0" r="0" b="0"/>
                <wp:wrapNone/>
                <wp:docPr id="78" name="Frame7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75</w:t>
                      </w:r>
                    </w:p>
                  </w:txbxContent>
                </v:textbox>
                <w10:wrap type="none"/>
              </v:rect>
            </w:pict>
          </mc:Fallback>
        </mc:AlternateContent>
      </w:r>
    </w:p>
    <w:p>
      <w:pPr>
        <w:pStyle w:val="TextBody"/>
        <w:bidi w:val="0"/>
        <w:spacing w:before="0" w:after="0"/>
        <w:jc w:val="left"/>
        <w:rPr/>
      </w:pPr>
      <w:r>
        <w:rPr/>
      </w:r>
    </w:p>
    <w:tbl>
      <w:tblPr>
        <w:tblW w:w="6235" w:type="dxa"/>
        <w:jc w:val="center"/>
        <w:tblInd w:w="0" w:type="dxa"/>
        <w:tblLayout w:type="fixed"/>
        <w:tblCellMar>
          <w:top w:w="28" w:type="dxa"/>
          <w:left w:w="28" w:type="dxa"/>
          <w:bottom w:w="28" w:type="dxa"/>
          <w:right w:w="28" w:type="dxa"/>
        </w:tblCellMar>
      </w:tblPr>
      <w:tblGrid>
        <w:gridCol w:w="1019"/>
        <w:gridCol w:w="899"/>
        <w:gridCol w:w="901"/>
        <w:gridCol w:w="196"/>
        <w:gridCol w:w="706"/>
        <w:gridCol w:w="109"/>
        <w:gridCol w:w="109"/>
        <w:gridCol w:w="109"/>
        <w:gridCol w:w="109"/>
        <w:gridCol w:w="345"/>
        <w:gridCol w:w="346"/>
        <w:gridCol w:w="156"/>
        <w:gridCol w:w="109"/>
        <w:gridCol w:w="109"/>
        <w:gridCol w:w="109"/>
        <w:gridCol w:w="345"/>
        <w:gridCol w:w="346"/>
        <w:gridCol w:w="213"/>
      </w:tblGrid>
      <w:tr>
        <w:trPr/>
        <w:tc>
          <w:tcPr>
            <w:tcW w:w="101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1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Years Ended December 31,</w:t>
            </w:r>
          </w:p>
        </w:tc>
      </w:tr>
      <w:tr>
        <w:trPr/>
        <w:tc>
          <w:tcPr>
            <w:tcW w:w="28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0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2023</w:t>
            </w:r>
          </w:p>
        </w:tc>
      </w:tr>
      <w:tr>
        <w:trPr/>
        <w:tc>
          <w:tcPr>
            <w:tcW w:w="28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Revenues by Significant Country</w:t>
            </w:r>
            <w:r>
              <w:rPr>
                <w:rFonts w:ascii="Times New Roman;serif" w:hAnsi="Times New Roman;serif"/>
                <w:b/>
                <w:color w:val="000000"/>
                <w:sz w:val="12"/>
              </w:rPr>
              <w:t>(a)</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Outside the U.S.:</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Mexico</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576.4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France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470.8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Brazil</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285.2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United Kingdom</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236.1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Netherlands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183.6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Argentina</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Canada</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129.7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1,598.3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1,441.2 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Subtotal</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3,648.3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3,485.3 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3,391.5 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1,612.9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1,483.1 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5,261.2</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5,011.9 </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4,874.6 </w:t>
            </w:r>
          </w:p>
        </w:tc>
        <w:tc>
          <w:tcPr>
            <w:tcW w:w="2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(a)Revenues are recorded in the country where service is initiated or performed. No single customer represents more than 10% of total revenue.  </w:t>
      </w:r>
    </w:p>
    <w:p>
      <w:pPr>
        <w:pStyle w:val="TextBody"/>
        <w:bidi w:val="0"/>
        <w:spacing w:before="0" w:after="0"/>
        <w:jc w:val="center"/>
        <w:rPr/>
      </w:pPr>
      <w:r>
        <w:rPr/>
      </w:r>
    </w:p>
    <w:tbl>
      <w:tblPr>
        <w:tblW w:w="5977" w:type="dxa"/>
        <w:jc w:val="left"/>
        <w:tblInd w:w="0" w:type="dxa"/>
        <w:tblLayout w:type="fixed"/>
        <w:tblCellMar>
          <w:top w:w="28" w:type="dxa"/>
          <w:left w:w="28" w:type="dxa"/>
          <w:bottom w:w="28" w:type="dxa"/>
          <w:right w:w="28" w:type="dxa"/>
        </w:tblCellMar>
      </w:tblPr>
      <w:tblGrid>
        <w:gridCol w:w="1348"/>
        <w:gridCol w:w="1188"/>
        <w:gridCol w:w="1199"/>
        <w:gridCol w:w="196"/>
        <w:gridCol w:w="706"/>
        <w:gridCol w:w="109"/>
        <w:gridCol w:w="109"/>
        <w:gridCol w:w="109"/>
        <w:gridCol w:w="109"/>
        <w:gridCol w:w="345"/>
        <w:gridCol w:w="346"/>
        <w:gridCol w:w="213"/>
      </w:tblGrid>
      <w:tr>
        <w:trPr/>
        <w:tc>
          <w:tcPr>
            <w:tcW w:w="1348"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2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w:t>
            </w:r>
          </w:p>
        </w:tc>
      </w:tr>
      <w:tr>
        <w:trPr/>
        <w:tc>
          <w:tcPr>
            <w:tcW w:w="37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0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r>
      <w:tr>
        <w:trPr/>
        <w:tc>
          <w:tcPr>
            <w:tcW w:w="37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Net assets outside the U.S. by Geographic Area</w:t>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Canada</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Latin America</w:t>
            </w:r>
            <w:r>
              <w:rPr>
                <w:rFonts w:ascii="Times New Roman;serif" w:hAnsi="Times New Roman;serif"/>
                <w:b w:val="false"/>
                <w:color w:val="000000"/>
                <w:sz w:val="12"/>
              </w:rPr>
              <w:t>(a)</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676.8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Europe</w:t>
            </w:r>
            <w:r>
              <w:rPr>
                <w:rFonts w:ascii="Times New Roman;serif" w:hAnsi="Times New Roman;serif"/>
                <w:b w:val="false"/>
                <w:color w:val="000000"/>
                <w:sz w:val="12"/>
              </w:rPr>
              <w:t>(a)(b)</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1,354.9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1,061.7 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Middle East, Africa and Asia ("MEAA") </w:t>
            </w:r>
            <w:r>
              <w:rPr>
                <w:rFonts w:ascii="Times New Roman;serif" w:hAnsi="Times New Roman;serif"/>
                <w:b w:val="false"/>
                <w:color w:val="000000"/>
                <w:sz w:val="12"/>
              </w:rPr>
              <w:t>(a)(b)</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556.7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2,635.0</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2,465.5 </w:t>
            </w:r>
          </w:p>
        </w:tc>
        <w:tc>
          <w:tcPr>
            <w:tcW w:w="2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(a)Amounts include net assets of Corporate entities domiciled outside the U.S.</w:t>
      </w:r>
    </w:p>
    <w:p>
      <w:pPr>
        <w:pStyle w:val="TextBody"/>
        <w:bidi w:val="0"/>
        <w:spacing w:lineRule="auto" w:line="288" w:before="0" w:after="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 xml:space="preserve">(b)European countries that primarily provide BGS services from our Rest of World segment are included in the Europe geographic area. The remainder of our Rest of World segment primarily represents operations in the MEAA geographic area.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31445"/>
                <wp:effectExtent l="0" t="0" r="0" b="0"/>
                <wp:wrapNone/>
                <wp:docPr id="79" name="Frame7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 xml:space="preserve">Note 4 - Retirement Benefits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Defined-benefit Pension Plans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Summary</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have various defined-benefit pension plans covering eligible current and former employees. Benefits under most plans are based on salary and years of service. There are limits to the amount of benefits which can be paid to participants from a U.S. qualified pension plan. We maintain a nonqualified U.S. plan to pay benefits for those eligible current and former employees in the U.S. whose benefits exceed the regulatory limits. Pension benefits provided to eligible U.S. employees were frozen on December 31, 2005.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Components of Net Periodic Pension Cost (Credit)</w:t>
      </w:r>
    </w:p>
    <w:tbl>
      <w:tblPr>
        <w:tblW w:w="10205" w:type="dxa"/>
        <w:jc w:val="left"/>
        <w:tblInd w:w="0" w:type="dxa"/>
        <w:tblLayout w:type="fixed"/>
        <w:tblCellMar>
          <w:top w:w="28" w:type="dxa"/>
          <w:left w:w="28" w:type="dxa"/>
          <w:bottom w:w="28" w:type="dxa"/>
          <w:right w:w="28" w:type="dxa"/>
        </w:tblCellMar>
      </w:tblPr>
      <w:tblGrid>
        <w:gridCol w:w="658"/>
        <w:gridCol w:w="369"/>
        <w:gridCol w:w="339"/>
        <w:gridCol w:w="196"/>
        <w:gridCol w:w="412"/>
        <w:gridCol w:w="109"/>
        <w:gridCol w:w="109"/>
        <w:gridCol w:w="109"/>
        <w:gridCol w:w="109"/>
        <w:gridCol w:w="244"/>
        <w:gridCol w:w="245"/>
        <w:gridCol w:w="156"/>
        <w:gridCol w:w="109"/>
        <w:gridCol w:w="109"/>
        <w:gridCol w:w="109"/>
        <w:gridCol w:w="244"/>
        <w:gridCol w:w="245"/>
        <w:gridCol w:w="156"/>
        <w:gridCol w:w="109"/>
        <w:gridCol w:w="109"/>
        <w:gridCol w:w="109"/>
        <w:gridCol w:w="196"/>
        <w:gridCol w:w="481"/>
        <w:gridCol w:w="109"/>
        <w:gridCol w:w="109"/>
        <w:gridCol w:w="109"/>
        <w:gridCol w:w="109"/>
        <w:gridCol w:w="244"/>
        <w:gridCol w:w="245"/>
        <w:gridCol w:w="156"/>
        <w:gridCol w:w="109"/>
        <w:gridCol w:w="109"/>
        <w:gridCol w:w="109"/>
        <w:gridCol w:w="244"/>
        <w:gridCol w:w="245"/>
        <w:gridCol w:w="156"/>
        <w:gridCol w:w="109"/>
        <w:gridCol w:w="109"/>
        <w:gridCol w:w="109"/>
        <w:gridCol w:w="196"/>
        <w:gridCol w:w="481"/>
        <w:gridCol w:w="109"/>
        <w:gridCol w:w="109"/>
        <w:gridCol w:w="109"/>
        <w:gridCol w:w="109"/>
        <w:gridCol w:w="244"/>
        <w:gridCol w:w="245"/>
        <w:gridCol w:w="156"/>
        <w:gridCol w:w="109"/>
        <w:gridCol w:w="109"/>
        <w:gridCol w:w="109"/>
        <w:gridCol w:w="244"/>
        <w:gridCol w:w="245"/>
        <w:gridCol w:w="220"/>
      </w:tblGrid>
      <w:tr>
        <w:trPr/>
        <w:tc>
          <w:tcPr>
            <w:tcW w:w="65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266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U.S.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Non-U.S.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13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Years Ended December 31,</w:t>
            </w:r>
          </w:p>
        </w:tc>
        <w:tc>
          <w:tcPr>
            <w:tcW w:w="7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2023</w:t>
            </w:r>
          </w:p>
        </w:tc>
      </w:tr>
      <w:tr>
        <w:trPr/>
        <w:tc>
          <w:tcPr>
            <w:tcW w:w="13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cost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cost on projected benefit obligation</w:t>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49.3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Return on assets – expected</w:t>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losses</w:t>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prior service cost</w:t>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Settlement loss</w:t>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periodic pension cost (credit)</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(8.0)</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18.9</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10.9</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2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7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components of net periodic pension cost and net periodic post-retirement cost other than the service cost component are included in interest and other nonoperating income (expense) in the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31445"/>
                <wp:effectExtent l="0" t="0" r="0" b="0"/>
                <wp:wrapNone/>
                <wp:docPr id="80" name="Frame7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Obligations and Funded Status</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Changes in the projected benefit obligation (“PBO”) and plan assets for our pension plans are as follows:</w:t>
      </w:r>
    </w:p>
    <w:tbl>
      <w:tblPr>
        <w:tblW w:w="9932" w:type="dxa"/>
        <w:jc w:val="left"/>
        <w:tblInd w:w="0" w:type="dxa"/>
        <w:tblLayout w:type="fixed"/>
        <w:tblCellMar>
          <w:top w:w="28" w:type="dxa"/>
          <w:left w:w="28" w:type="dxa"/>
          <w:bottom w:w="28" w:type="dxa"/>
          <w:right w:w="28" w:type="dxa"/>
        </w:tblCellMar>
      </w:tblPr>
      <w:tblGrid>
        <w:gridCol w:w="1214"/>
        <w:gridCol w:w="1072"/>
        <w:gridCol w:w="1074"/>
        <w:gridCol w:w="196"/>
        <w:gridCol w:w="571"/>
        <w:gridCol w:w="109"/>
        <w:gridCol w:w="109"/>
        <w:gridCol w:w="109"/>
        <w:gridCol w:w="109"/>
        <w:gridCol w:w="278"/>
        <w:gridCol w:w="278"/>
        <w:gridCol w:w="156"/>
        <w:gridCol w:w="109"/>
        <w:gridCol w:w="109"/>
        <w:gridCol w:w="109"/>
        <w:gridCol w:w="314"/>
        <w:gridCol w:w="316"/>
        <w:gridCol w:w="156"/>
        <w:gridCol w:w="138"/>
        <w:gridCol w:w="138"/>
        <w:gridCol w:w="138"/>
        <w:gridCol w:w="314"/>
        <w:gridCol w:w="316"/>
        <w:gridCol w:w="156"/>
        <w:gridCol w:w="109"/>
        <w:gridCol w:w="109"/>
        <w:gridCol w:w="109"/>
        <w:gridCol w:w="314"/>
        <w:gridCol w:w="316"/>
        <w:gridCol w:w="156"/>
        <w:gridCol w:w="109"/>
        <w:gridCol w:w="109"/>
        <w:gridCol w:w="109"/>
        <w:gridCol w:w="345"/>
        <w:gridCol w:w="346"/>
        <w:gridCol w:w="213"/>
      </w:tblGrid>
      <w:tr>
        <w:trPr/>
        <w:tc>
          <w:tcPr>
            <w:tcW w:w="1214"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9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U.S.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Non-U.S.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33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Years Ended December 31,</w:t>
            </w:r>
          </w:p>
        </w:tc>
        <w:tc>
          <w:tcPr>
            <w:tcW w:w="8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r>
      <w:tr>
        <w:trPr/>
        <w:tc>
          <w:tcPr>
            <w:tcW w:w="33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obligation at beginning of year</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585.7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347.8</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933.5</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1,012.3 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cost</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8.3</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8.3</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cost</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18.0</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49.3</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Participant contributions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0.6</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0.6</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Plan amendments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Plan combinations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Curtailments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Settlements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Benefits paid</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(66.2)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Actuarial (gains) losses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exchange effects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35.2</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35.2</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obligation at end of year</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574.2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383.1</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957.3</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933.5 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of plan assets at beginning of year</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587.7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238.5</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826.2</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870.9 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Return on assets – actual</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54.4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49.4</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Participant contributions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0.6</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0.6</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Plan combinations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Employer contributions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12.3</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13.0</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Settlements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Benefits paid</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(66.2)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exchange effects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19.8</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19.8</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of plan assets at end of year</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597.4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243.7</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841.1</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826.2 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Funded status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(139.4)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(116.2)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Included in:</w:t>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asset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13.2</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42.4</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liability, included in accrued liabilities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10.2</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10.8</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liability</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142.4</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147.8</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pension (asset) liability</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(23.2)</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139.4</w:t>
            </w:r>
            <w:r>
              <w:rPr>
                <w:color w:val="000000"/>
              </w:rPr>
              <w:t> </w:t>
            </w:r>
          </w:p>
        </w:tc>
        <w:tc>
          <w:tcPr>
            <w:tcW w:w="1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109.3 </w:t>
            </w:r>
          </w:p>
        </w:tc>
        <w:tc>
          <w:tcPr>
            <w:tcW w:w="1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116.2</w:t>
            </w:r>
            <w:r>
              <w:rPr>
                <w:color w:val="000000"/>
              </w:rPr>
              <w:t> </w:t>
            </w:r>
          </w:p>
        </w:tc>
        <w:tc>
          <w:tcPr>
            <w:tcW w:w="1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107.3 </w:t>
            </w:r>
          </w:p>
        </w:tc>
        <w:tc>
          <w:tcPr>
            <w:tcW w:w="2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31445"/>
                <wp:effectExtent l="0" t="0" r="0" b="0"/>
                <wp:wrapNone/>
                <wp:docPr id="81" name="Frame8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Other Changes in Plan Assets and Benefit Recognized in Other Comprehensive Income (Loss)</w:t>
      </w:r>
    </w:p>
    <w:tbl>
      <w:tblPr>
        <w:tblW w:w="10205" w:type="dxa"/>
        <w:jc w:val="left"/>
        <w:tblInd w:w="0" w:type="dxa"/>
        <w:tblLayout w:type="fixed"/>
        <w:tblCellMar>
          <w:top w:w="28" w:type="dxa"/>
          <w:left w:w="28" w:type="dxa"/>
          <w:bottom w:w="28" w:type="dxa"/>
          <w:right w:w="28" w:type="dxa"/>
        </w:tblCellMar>
      </w:tblPr>
      <w:tblGrid>
        <w:gridCol w:w="1596"/>
        <w:gridCol w:w="1195"/>
        <w:gridCol w:w="1179"/>
        <w:gridCol w:w="196"/>
        <w:gridCol w:w="599"/>
        <w:gridCol w:w="109"/>
        <w:gridCol w:w="109"/>
        <w:gridCol w:w="109"/>
        <w:gridCol w:w="109"/>
        <w:gridCol w:w="298"/>
        <w:gridCol w:w="300"/>
        <w:gridCol w:w="156"/>
        <w:gridCol w:w="109"/>
        <w:gridCol w:w="109"/>
        <w:gridCol w:w="109"/>
        <w:gridCol w:w="253"/>
        <w:gridCol w:w="255"/>
        <w:gridCol w:w="156"/>
        <w:gridCol w:w="122"/>
        <w:gridCol w:w="122"/>
        <w:gridCol w:w="122"/>
        <w:gridCol w:w="253"/>
        <w:gridCol w:w="255"/>
        <w:gridCol w:w="156"/>
        <w:gridCol w:w="109"/>
        <w:gridCol w:w="109"/>
        <w:gridCol w:w="109"/>
        <w:gridCol w:w="298"/>
        <w:gridCol w:w="300"/>
        <w:gridCol w:w="156"/>
        <w:gridCol w:w="109"/>
        <w:gridCol w:w="109"/>
        <w:gridCol w:w="109"/>
        <w:gridCol w:w="298"/>
        <w:gridCol w:w="300"/>
        <w:gridCol w:w="223"/>
      </w:tblGrid>
      <w:tr>
        <w:trPr/>
        <w:tc>
          <w:tcPr>
            <w:tcW w:w="1596"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39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9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U.S.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Non-U.S.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39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Years Ended December 31,</w:t>
            </w:r>
          </w:p>
        </w:tc>
        <w:tc>
          <w:tcPr>
            <w:tcW w:w="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r>
      <w:tr>
        <w:trPr/>
        <w:tc>
          <w:tcPr>
            <w:tcW w:w="39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plan net actuarial losses recognized in accumulated other comprehensive income (loss):</w:t>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of year</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(178.8)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(33.4)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(212.2)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(230.3)</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actuarial gains (losses) arising during the year</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adjustment for amortization of prior actuarial losses included in net income (loss)</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4.0</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9.2</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exchange effects</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 of year</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(166.3)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(178.8)</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(44.5)</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(210.8)</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(212.2)</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plan prior service cost recognized in accumulated other comprehensive income (loss):</w:t>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of year</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Prior service credit (cost) from plan amendments during the year</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0.3</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0.3</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adjustment for amortization of prior service cost included in net income (loss)</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0.1</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0.1</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exchange effects</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0.1</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0.1</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 of year</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9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2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U.S. Plans</w:t>
      </w:r>
      <w:r>
        <w:rPr>
          <w:color w:val="000000"/>
        </w:rPr>
        <w:t xml:space="preserve">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net actuarial gains of $7.3 million in 2025 and gains of $3.2 million in 2024 were mainly driven by changes in the primary U.S. pension plan. The 2025 net actuarial gains arose primarily from higher actual return on assets than expected ($10 million), partially offset by a net actuarial obligation loss ($3 million). The net actuarial obligation loss was driven by a lower discount rate at the end of the year ($10 million), partially offset by gains from updated retirement assumptions and census data ($8 million). The 2024 net gains arose primarily from a higher discount rate at the end of the year ($27 million) and census data updates ($2 million), which were largely offset by lower actual return on assets than expected ($26 million).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 xml:space="preserve">Non-U.S. </w:t>
      </w:r>
      <w:r>
        <w:rPr>
          <w:rFonts w:ascii="Times New Roman;serif" w:hAnsi="Times New Roman;serif"/>
          <w:b w:val="false"/>
          <w:color w:val="000000"/>
          <w:sz w:val="18"/>
        </w:rPr>
        <w:t>Plans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net actuarial losses of $12.6 million in 2025 were primarily due to actual return on assets being lower than expected ($17 million), partially offset by a net actuarial obligation gain ($4 million). The net actuarial obligation gain was driven by higher discount rates at the end of the year ($19 million), partially offset by losses from updated assumptions ($15 million). The net actuarial gains of $2.0 million in 2024 were primarily due to a better obligation experience ($11 million) driven by higher discount rates at the end of the year, which was mostly offset by actual return on assets being lower than expected ($9 million).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Information Comparing Plan Assets to Plan Obligations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Information comparing plan assets to plan obligations as of December 31, 2025 and 2024 are aggregated below. The accumulated benefit obligation (“ABO”) differs from the PBO in that the ABO is based on the benefit earned through the date noted. The PBO includes assumptions about future compensation levels for plans that have not been frozen. The total ABO for our U.S. pension plans was $574.2 million in 2025 and $585.7 million in 2024. The total ABO for our Non-U.S. pension plans was $343.5 million in 2025 and $317.6 million in 2024.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Information for Pension Plans with an ABO in Excess of Plan Assets</w:t>
      </w:r>
    </w:p>
    <w:tbl>
      <w:tblPr>
        <w:tblW w:w="8254" w:type="dxa"/>
        <w:jc w:val="left"/>
        <w:tblInd w:w="0" w:type="dxa"/>
        <w:tblLayout w:type="fixed"/>
        <w:tblCellMar>
          <w:top w:w="28" w:type="dxa"/>
          <w:left w:w="28" w:type="dxa"/>
          <w:bottom w:w="28" w:type="dxa"/>
          <w:right w:w="28" w:type="dxa"/>
        </w:tblCellMar>
      </w:tblPr>
      <w:tblGrid>
        <w:gridCol w:w="842"/>
        <w:gridCol w:w="739"/>
        <w:gridCol w:w="743"/>
        <w:gridCol w:w="196"/>
        <w:gridCol w:w="406"/>
        <w:gridCol w:w="109"/>
        <w:gridCol w:w="109"/>
        <w:gridCol w:w="109"/>
        <w:gridCol w:w="109"/>
        <w:gridCol w:w="203"/>
        <w:gridCol w:w="203"/>
        <w:gridCol w:w="156"/>
        <w:gridCol w:w="109"/>
        <w:gridCol w:w="109"/>
        <w:gridCol w:w="109"/>
        <w:gridCol w:w="284"/>
        <w:gridCol w:w="287"/>
        <w:gridCol w:w="156"/>
        <w:gridCol w:w="138"/>
        <w:gridCol w:w="138"/>
        <w:gridCol w:w="138"/>
        <w:gridCol w:w="278"/>
        <w:gridCol w:w="278"/>
        <w:gridCol w:w="156"/>
        <w:gridCol w:w="109"/>
        <w:gridCol w:w="109"/>
        <w:gridCol w:w="109"/>
        <w:gridCol w:w="284"/>
        <w:gridCol w:w="287"/>
        <w:gridCol w:w="156"/>
        <w:gridCol w:w="109"/>
        <w:gridCol w:w="109"/>
        <w:gridCol w:w="109"/>
        <w:gridCol w:w="278"/>
        <w:gridCol w:w="278"/>
        <w:gridCol w:w="213"/>
      </w:tblGrid>
      <w:tr>
        <w:trPr/>
        <w:tc>
          <w:tcPr>
            <w:tcW w:w="842"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 xml:space="preserve">(In millions) </w:t>
            </w:r>
          </w:p>
        </w:tc>
        <w:tc>
          <w:tcPr>
            <w:tcW w:w="16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U.S.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Non-U.S.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23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December 31,</w:t>
            </w:r>
          </w:p>
        </w:tc>
        <w:tc>
          <w:tcPr>
            <w:tcW w:w="7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r>
      <w:tr>
        <w:trPr/>
        <w:tc>
          <w:tcPr>
            <w:tcW w:w="23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of plan assets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96.1</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96.1</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benefit obligation</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216.6</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222.6</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Projected benefit obligation</w:t>
            </w:r>
          </w:p>
        </w:tc>
        <w:tc>
          <w:tcPr>
            <w:tcW w:w="60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6.0</w:t>
            </w: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248.7</w:t>
            </w:r>
            <w:r>
              <w:rPr>
                <w:color w:val="000000"/>
              </w:rPr>
              <w:t> </w:t>
            </w:r>
          </w:p>
        </w:tc>
        <w:tc>
          <w:tcPr>
            <w:tcW w:w="1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214.0 </w:t>
            </w:r>
          </w:p>
        </w:tc>
        <w:tc>
          <w:tcPr>
            <w:tcW w:w="1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254.7</w:t>
            </w:r>
            <w:r>
              <w:rPr>
                <w:color w:val="000000"/>
              </w:rPr>
              <w:t> </w:t>
            </w:r>
          </w:p>
        </w:tc>
        <w:tc>
          <w:tcPr>
            <w:tcW w:w="1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220.2 </w:t>
            </w:r>
          </w:p>
        </w:tc>
        <w:tc>
          <w:tcPr>
            <w:tcW w:w="213"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31445"/>
                <wp:effectExtent l="0" t="0" r="0" b="0"/>
                <wp:wrapNone/>
                <wp:docPr id="82" name="Frame8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Assumptions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weighted-average assumptions used to determine the net pension cost and benefit obligations for our pension plans were as follows:</w:t>
      </w:r>
    </w:p>
    <w:tbl>
      <w:tblPr>
        <w:tblW w:w="9086" w:type="dxa"/>
        <w:jc w:val="left"/>
        <w:tblInd w:w="0" w:type="dxa"/>
        <w:tblLayout w:type="fixed"/>
        <w:tblCellMar>
          <w:top w:w="28" w:type="dxa"/>
          <w:left w:w="28" w:type="dxa"/>
          <w:bottom w:w="28" w:type="dxa"/>
          <w:right w:w="28" w:type="dxa"/>
        </w:tblCellMar>
      </w:tblPr>
      <w:tblGrid>
        <w:gridCol w:w="1079"/>
        <w:gridCol w:w="950"/>
        <w:gridCol w:w="955"/>
        <w:gridCol w:w="239"/>
        <w:gridCol w:w="242"/>
        <w:gridCol w:w="286"/>
        <w:gridCol w:w="109"/>
        <w:gridCol w:w="109"/>
        <w:gridCol w:w="109"/>
        <w:gridCol w:w="233"/>
        <w:gridCol w:w="233"/>
        <w:gridCol w:w="256"/>
        <w:gridCol w:w="109"/>
        <w:gridCol w:w="109"/>
        <w:gridCol w:w="109"/>
        <w:gridCol w:w="233"/>
        <w:gridCol w:w="233"/>
        <w:gridCol w:w="256"/>
        <w:gridCol w:w="109"/>
        <w:gridCol w:w="109"/>
        <w:gridCol w:w="109"/>
        <w:gridCol w:w="239"/>
        <w:gridCol w:w="242"/>
        <w:gridCol w:w="286"/>
        <w:gridCol w:w="109"/>
        <w:gridCol w:w="109"/>
        <w:gridCol w:w="109"/>
        <w:gridCol w:w="233"/>
        <w:gridCol w:w="233"/>
        <w:gridCol w:w="256"/>
        <w:gridCol w:w="109"/>
        <w:gridCol w:w="109"/>
        <w:gridCol w:w="109"/>
        <w:gridCol w:w="233"/>
        <w:gridCol w:w="233"/>
        <w:gridCol w:w="301"/>
      </w:tblGrid>
      <w:tr>
        <w:trPr/>
        <w:tc>
          <w:tcPr>
            <w:tcW w:w="1079"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U.S.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Non-U.S. Plans</w:t>
            </w:r>
          </w:p>
        </w:tc>
      </w:tr>
      <w:tr>
        <w:trPr/>
        <w:tc>
          <w:tcPr>
            <w:tcW w:w="29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2023</w:t>
            </w:r>
          </w:p>
        </w:tc>
      </w:tr>
      <w:tr>
        <w:trPr/>
        <w:tc>
          <w:tcPr>
            <w:tcW w:w="29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Discount rate:</w:t>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Pension cost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5.6</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5.0</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obligation at year end</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5.4</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5.5</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return on assets – pension cost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7.00</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4.65</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Average rate of increase in salaries</w:t>
            </w:r>
            <w:r>
              <w:rPr>
                <w:rFonts w:ascii="Times New Roman;serif" w:hAnsi="Times New Roman;serif"/>
                <w:b w:val="false"/>
                <w:color w:val="000000"/>
                <w:sz w:val="12"/>
              </w:rPr>
              <w:t>(a):</w:t>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Pension cost</w:t>
            </w:r>
          </w:p>
        </w:tc>
        <w:tc>
          <w:tcPr>
            <w:tcW w:w="7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8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obligation at year end</w:t>
            </w:r>
          </w:p>
        </w:tc>
        <w:tc>
          <w:tcPr>
            <w:tcW w:w="767"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N/A</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w:t>
            </w:r>
            <w:r>
              <w:rPr>
                <w:color w:val="000000"/>
              </w:rPr>
              <w:t> </w:t>
            </w:r>
          </w:p>
        </w:tc>
        <w:tc>
          <w:tcPr>
            <w:tcW w:w="28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2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30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14"/>
        </w:rPr>
      </w:pPr>
      <w:r>
        <w:rPr>
          <w:rFonts w:ascii="Times New Roman;serif" w:hAnsi="Times New Roman;serif"/>
          <w:b w:val="false"/>
          <w:color w:val="000000"/>
          <w:sz w:val="14"/>
        </w:rPr>
        <w:t>(a)Salary scale assumptions are determined through historical experience and vary by age and industry. The U.S. plan benefits are frozen and will not increase due to future salary increases.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18"/>
        </w:rPr>
      </w:pPr>
      <w:bookmarkStart w:id="15" w:name="i95163b8a55304f74bc317b7caa40d76d_21317"/>
      <w:bookmarkEnd w:id="15"/>
      <w:r>
        <w:rPr>
          <w:rFonts w:ascii="Times New Roman;serif" w:hAnsi="Times New Roman;serif"/>
          <w:b w:val="false"/>
          <w:i/>
          <w:color w:val="000000"/>
          <w:sz w:val="18"/>
        </w:rPr>
        <w:t>Mortality Tables for our U.S. Retirement Benefits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use the Society of Actuaries base mortality tables for private sector plans, Pri-2012, and the Mercer modified MP-2021 projection scale, with a Blue Collar adjustment factor for the majority of our U.S. retirement plans and a White Collar adjustment factor for our nonqualified U.S. pension plan.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Estimated Future Cash Flows</w:t>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Estimated Future Contributions from the Company into Plan Assets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Our policy is to fund at least the minimum actuarially determined amounts required by applicable regulations. We do not expect to make contributions to our primary U.S. pension plan in 2026. We expect to contribute $12.1 million to our non-U.S. pension plans and $0.6 million to our nonqualified U.S. pension plan in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Estimated Future Benefit Payments from Plan Assets to Beneficiaries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Projected benefit payments of the plans in the next 10 years using assumptions in effect at December 31, 2025, are as follows:</w:t>
      </w:r>
    </w:p>
    <w:tbl>
      <w:tblPr>
        <w:tblW w:w="5022" w:type="dxa"/>
        <w:jc w:val="left"/>
        <w:tblInd w:w="0" w:type="dxa"/>
        <w:tblLayout w:type="fixed"/>
        <w:tblCellMar>
          <w:top w:w="28" w:type="dxa"/>
          <w:left w:w="28" w:type="dxa"/>
          <w:bottom w:w="28" w:type="dxa"/>
          <w:right w:w="28" w:type="dxa"/>
        </w:tblCellMar>
      </w:tblPr>
      <w:tblGrid>
        <w:gridCol w:w="537"/>
        <w:gridCol w:w="473"/>
        <w:gridCol w:w="475"/>
        <w:gridCol w:w="221"/>
        <w:gridCol w:w="526"/>
        <w:gridCol w:w="123"/>
        <w:gridCol w:w="109"/>
        <w:gridCol w:w="109"/>
        <w:gridCol w:w="109"/>
        <w:gridCol w:w="414"/>
        <w:gridCol w:w="414"/>
        <w:gridCol w:w="416"/>
        <w:gridCol w:w="109"/>
        <w:gridCol w:w="109"/>
        <w:gridCol w:w="109"/>
        <w:gridCol w:w="278"/>
        <w:gridCol w:w="278"/>
        <w:gridCol w:w="213"/>
      </w:tblGrid>
      <w:tr>
        <w:trPr/>
        <w:tc>
          <w:tcPr>
            <w:tcW w:w="53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U.S.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Non-U.S.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14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2031 through 2035</w:t>
            </w:r>
          </w:p>
        </w:tc>
        <w:tc>
          <w:tcPr>
            <w:tcW w:w="74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216.5 </w:t>
            </w:r>
          </w:p>
        </w:tc>
        <w:tc>
          <w:tcPr>
            <w:tcW w:w="123"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160.5 </w:t>
            </w:r>
          </w:p>
        </w:tc>
        <w:tc>
          <w:tcPr>
            <w:tcW w:w="41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377.0 </w:t>
            </w:r>
          </w:p>
        </w:tc>
        <w:tc>
          <w:tcPr>
            <w:tcW w:w="213"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31445"/>
                <wp:effectExtent l="0" t="0" r="0" b="0"/>
                <wp:wrapNone/>
                <wp:docPr id="83" name="Frame8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Retirement Benefits Other than Pensions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Summary</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provide retirement healthcare benefits for eligible current and former U.S., Canadian, and Brazilian employees. Retirement benefits related to our former U.S. coal operation include medical benefits provided by the Pittston Coal Group Companies Employee Benefit Plan for United Mine Workers of America Represented Employees (the “UMWA plans”) as well as obligations for paying lifetime black lung benefits to miners and their dependents for claims under the Federal Black Lung Benefits Act of 1972.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Components of Net Periodic Postretirement Cost</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components of net periodic postretirement cost related to retirement benefits other than pensions were as follows:</w:t>
      </w:r>
    </w:p>
    <w:tbl>
      <w:tblPr>
        <w:tblW w:w="10205" w:type="dxa"/>
        <w:jc w:val="left"/>
        <w:tblInd w:w="0" w:type="dxa"/>
        <w:tblLayout w:type="fixed"/>
        <w:tblCellMar>
          <w:top w:w="28" w:type="dxa"/>
          <w:left w:w="28" w:type="dxa"/>
          <w:bottom w:w="28" w:type="dxa"/>
          <w:right w:w="28" w:type="dxa"/>
        </w:tblCellMar>
      </w:tblPr>
      <w:tblGrid>
        <w:gridCol w:w="753"/>
        <w:gridCol w:w="431"/>
        <w:gridCol w:w="405"/>
        <w:gridCol w:w="196"/>
        <w:gridCol w:w="417"/>
        <w:gridCol w:w="109"/>
        <w:gridCol w:w="109"/>
        <w:gridCol w:w="109"/>
        <w:gridCol w:w="109"/>
        <w:gridCol w:w="247"/>
        <w:gridCol w:w="248"/>
        <w:gridCol w:w="156"/>
        <w:gridCol w:w="109"/>
        <w:gridCol w:w="109"/>
        <w:gridCol w:w="109"/>
        <w:gridCol w:w="247"/>
        <w:gridCol w:w="248"/>
        <w:gridCol w:w="156"/>
        <w:gridCol w:w="109"/>
        <w:gridCol w:w="109"/>
        <w:gridCol w:w="109"/>
        <w:gridCol w:w="198"/>
        <w:gridCol w:w="396"/>
        <w:gridCol w:w="110"/>
        <w:gridCol w:w="110"/>
        <w:gridCol w:w="110"/>
        <w:gridCol w:w="110"/>
        <w:gridCol w:w="203"/>
        <w:gridCol w:w="203"/>
        <w:gridCol w:w="156"/>
        <w:gridCol w:w="110"/>
        <w:gridCol w:w="110"/>
        <w:gridCol w:w="110"/>
        <w:gridCol w:w="233"/>
        <w:gridCol w:w="233"/>
        <w:gridCol w:w="156"/>
        <w:gridCol w:w="109"/>
        <w:gridCol w:w="109"/>
        <w:gridCol w:w="109"/>
        <w:gridCol w:w="196"/>
        <w:gridCol w:w="406"/>
        <w:gridCol w:w="109"/>
        <w:gridCol w:w="109"/>
        <w:gridCol w:w="109"/>
        <w:gridCol w:w="109"/>
        <w:gridCol w:w="247"/>
        <w:gridCol w:w="248"/>
        <w:gridCol w:w="156"/>
        <w:gridCol w:w="109"/>
        <w:gridCol w:w="109"/>
        <w:gridCol w:w="109"/>
        <w:gridCol w:w="247"/>
        <w:gridCol w:w="248"/>
        <w:gridCol w:w="225"/>
      </w:tblGrid>
      <w:tr>
        <w:trPr/>
        <w:tc>
          <w:tcPr>
            <w:tcW w:w="753"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26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UMWA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Black Lung and Other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15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Years Ended December 31,</w:t>
            </w:r>
          </w:p>
        </w:tc>
        <w:tc>
          <w:tcPr>
            <w:tcW w:w="7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2023</w:t>
            </w:r>
          </w:p>
        </w:tc>
      </w:tr>
      <w:tr>
        <w:trPr/>
        <w:tc>
          <w:tcPr>
            <w:tcW w:w="15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cost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0.2</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cost on APBO</w:t>
            </w:r>
          </w:p>
        </w:tc>
        <w:tc>
          <w:tcPr>
            <w:tcW w:w="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4.4</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Return on assets – expected</w:t>
            </w:r>
          </w:p>
        </w:tc>
        <w:tc>
          <w:tcPr>
            <w:tcW w:w="6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losses</w:t>
            </w:r>
          </w:p>
        </w:tc>
        <w:tc>
          <w:tcPr>
            <w:tcW w:w="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prior service credit</w:t>
            </w:r>
          </w:p>
        </w:tc>
        <w:tc>
          <w:tcPr>
            <w:tcW w:w="6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periodic postretirement cost (credit)</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(8.1)</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1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1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7.7</w:t>
            </w:r>
            <w:r>
              <w:rPr>
                <w:color w:val="000000"/>
              </w:rPr>
              <w:t> </w:t>
            </w:r>
          </w:p>
        </w:tc>
        <w:tc>
          <w:tcPr>
            <w:tcW w:w="1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1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1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(0.4)</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22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components of net periodic pension cost and net periodic postretirement cost other than the service cost component are included in interest and other nonoperating income (expense) in the consolidated statements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Obligations and Funded Status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Changes in the accumulated postretirement benefit obligation (“APBO’) and plan assets related to retirement healthcare benefits are as follows:</w:t>
      </w:r>
    </w:p>
    <w:tbl>
      <w:tblPr>
        <w:tblW w:w="10196" w:type="dxa"/>
        <w:jc w:val="left"/>
        <w:tblInd w:w="0" w:type="dxa"/>
        <w:tblLayout w:type="fixed"/>
        <w:tblCellMar>
          <w:top w:w="28" w:type="dxa"/>
          <w:left w:w="28" w:type="dxa"/>
          <w:bottom w:w="28" w:type="dxa"/>
          <w:right w:w="28" w:type="dxa"/>
        </w:tblCellMar>
      </w:tblPr>
      <w:tblGrid>
        <w:gridCol w:w="1230"/>
        <w:gridCol w:w="1085"/>
        <w:gridCol w:w="1090"/>
        <w:gridCol w:w="196"/>
        <w:gridCol w:w="571"/>
        <w:gridCol w:w="109"/>
        <w:gridCol w:w="109"/>
        <w:gridCol w:w="109"/>
        <w:gridCol w:w="109"/>
        <w:gridCol w:w="278"/>
        <w:gridCol w:w="278"/>
        <w:gridCol w:w="156"/>
        <w:gridCol w:w="109"/>
        <w:gridCol w:w="109"/>
        <w:gridCol w:w="109"/>
        <w:gridCol w:w="316"/>
        <w:gridCol w:w="235"/>
        <w:gridCol w:w="235"/>
        <w:gridCol w:w="235"/>
        <w:gridCol w:w="235"/>
        <w:gridCol w:w="235"/>
        <w:gridCol w:w="272"/>
        <w:gridCol w:w="268"/>
        <w:gridCol w:w="235"/>
        <w:gridCol w:w="109"/>
        <w:gridCol w:w="109"/>
        <w:gridCol w:w="109"/>
        <w:gridCol w:w="314"/>
        <w:gridCol w:w="316"/>
        <w:gridCol w:w="156"/>
        <w:gridCol w:w="109"/>
        <w:gridCol w:w="109"/>
        <w:gridCol w:w="109"/>
        <w:gridCol w:w="314"/>
        <w:gridCol w:w="316"/>
        <w:gridCol w:w="213"/>
      </w:tblGrid>
      <w:tr>
        <w:trPr/>
        <w:tc>
          <w:tcPr>
            <w:tcW w:w="123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9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UMWA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Black Lung and Other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34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Years Ended December 31,</w:t>
            </w:r>
          </w:p>
        </w:tc>
        <w:tc>
          <w:tcPr>
            <w:tcW w:w="8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7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r>
      <w:tr>
        <w:trPr/>
        <w:tc>
          <w:tcPr>
            <w:tcW w:w="34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APBO at beginning of year</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77.8</w:t>
            </w: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91.3 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250.0</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cost</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0.2</w:t>
            </w: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0.2</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cost</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4.4</w:t>
            </w: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14.2</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Plan amendments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Benefits paid</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(7.5)</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(25.3)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Actuarial (gains) losses, net</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(3.7)</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17.3</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exchange effects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0.9</w:t>
            </w: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0.9</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APBO at end of year</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185.2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72.1</w:t>
            </w:r>
            <w:r>
              <w:rPr>
                <w:color w:val="000000"/>
              </w:rPr>
              <w:t>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257.3</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of plan assets at beginning of year</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129.5</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Return on assets – actual</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19.2</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Employer contributions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7.5</w:t>
            </w: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7.5</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transfers to (from) plan assets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Benefits paid</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(7.5)</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(25.3)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of plan assets at end of year</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129.6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129.6</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129.5 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Funded status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(72.1)</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(127.7)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(120.5)</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Included in:</w:t>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included in accrued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7.3</w:t>
            </w: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7.3</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64.8</w:t>
            </w: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120.4</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Retirement benefits other than pension liability</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55.6</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42.7 </w:t>
            </w:r>
          </w:p>
        </w:tc>
        <w:tc>
          <w:tcPr>
            <w:tcW w:w="1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72.1</w:t>
            </w:r>
            <w:r>
              <w:rPr>
                <w:color w:val="000000"/>
              </w:rPr>
              <w:t> </w:t>
            </w:r>
          </w:p>
        </w:tc>
        <w:tc>
          <w:tcPr>
            <w:tcW w:w="23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77.8 </w:t>
            </w:r>
          </w:p>
        </w:tc>
        <w:tc>
          <w:tcPr>
            <w:tcW w:w="23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127.7</w:t>
            </w:r>
            <w:r>
              <w:rPr>
                <w:color w:val="000000"/>
              </w:rPr>
              <w:t> </w:t>
            </w:r>
          </w:p>
        </w:tc>
        <w:tc>
          <w:tcPr>
            <w:tcW w:w="1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120.5 </w:t>
            </w:r>
          </w:p>
        </w:tc>
        <w:tc>
          <w:tcPr>
            <w:tcW w:w="2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31445"/>
                <wp:effectExtent l="0" t="0" r="0" b="0"/>
                <wp:wrapNone/>
                <wp:docPr id="84" name="Frame8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Other Changes in Plan Assets and Benefit Recognized in Other Comprehensive Income (Loss)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Changes in accumulated other comprehensive income (loss) of our retirement benefit plans other than pensions are as follows:</w:t>
      </w:r>
    </w:p>
    <w:tbl>
      <w:tblPr>
        <w:tblW w:w="10205" w:type="dxa"/>
        <w:jc w:val="left"/>
        <w:tblInd w:w="0" w:type="dxa"/>
        <w:tblLayout w:type="fixed"/>
        <w:tblCellMar>
          <w:top w:w="28" w:type="dxa"/>
          <w:left w:w="28" w:type="dxa"/>
          <w:bottom w:w="28" w:type="dxa"/>
          <w:right w:w="28" w:type="dxa"/>
        </w:tblCellMar>
      </w:tblPr>
      <w:tblGrid>
        <w:gridCol w:w="1655"/>
        <w:gridCol w:w="1232"/>
        <w:gridCol w:w="1215"/>
        <w:gridCol w:w="196"/>
        <w:gridCol w:w="507"/>
        <w:gridCol w:w="109"/>
        <w:gridCol w:w="109"/>
        <w:gridCol w:w="109"/>
        <w:gridCol w:w="109"/>
        <w:gridCol w:w="252"/>
        <w:gridCol w:w="254"/>
        <w:gridCol w:w="156"/>
        <w:gridCol w:w="109"/>
        <w:gridCol w:w="109"/>
        <w:gridCol w:w="109"/>
        <w:gridCol w:w="316"/>
        <w:gridCol w:w="195"/>
        <w:gridCol w:w="164"/>
        <w:gridCol w:w="164"/>
        <w:gridCol w:w="164"/>
        <w:gridCol w:w="164"/>
        <w:gridCol w:w="316"/>
        <w:gridCol w:w="195"/>
        <w:gridCol w:w="164"/>
        <w:gridCol w:w="109"/>
        <w:gridCol w:w="109"/>
        <w:gridCol w:w="109"/>
        <w:gridCol w:w="252"/>
        <w:gridCol w:w="254"/>
        <w:gridCol w:w="156"/>
        <w:gridCol w:w="109"/>
        <w:gridCol w:w="109"/>
        <w:gridCol w:w="109"/>
        <w:gridCol w:w="297"/>
        <w:gridCol w:w="299"/>
        <w:gridCol w:w="221"/>
      </w:tblGrid>
      <w:tr>
        <w:trPr/>
        <w:tc>
          <w:tcPr>
            <w:tcW w:w="1655"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41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80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UMWA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Black Lung and Other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41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Years Ended December 31,</w:t>
            </w:r>
          </w:p>
        </w:tc>
        <w:tc>
          <w:tcPr>
            <w:tcW w:w="8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r>
      <w:tr>
        <w:trPr/>
        <w:tc>
          <w:tcPr>
            <w:tcW w:w="41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plan net actuarial gain (loss) recognized in accumulated other comprehensive income (loss):</w:t>
            </w:r>
          </w:p>
        </w:tc>
        <w:tc>
          <w:tcPr>
            <w:tcW w:w="8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of year</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(32.6)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(61.7)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(118.1)</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actuarial gains (losses) arising during the year</w:t>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w:t>
            </w: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adjustment for amortization of prior actuarial losses included in net income (loss)</w:t>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w:t>
            </w: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5.2</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exchange effects</w:t>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0.1</w:t>
            </w: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0.1</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 of year</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(25.6)</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(64.2)</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plan prior service (cost) credit recognized in accumulated other comprehensive income (loss):</w:t>
            </w:r>
          </w:p>
        </w:tc>
        <w:tc>
          <w:tcPr>
            <w:tcW w:w="8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of year</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0.2</w:t>
            </w: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51.7</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Prior service credit from plan amendments during the year</w:t>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adjustment for amortization or curtailment of prior service cost included in net income (loss)</w:t>
            </w:r>
          </w:p>
        </w:tc>
        <w:tc>
          <w:tcPr>
            <w:tcW w:w="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(0.1)</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exchange effects</w:t>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2"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 of year</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0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41.3</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51.5 </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0.1</w:t>
            </w:r>
            <w:r>
              <w:rPr>
                <w:color w:val="000000"/>
              </w:rPr>
              <w:t> </w:t>
            </w:r>
          </w:p>
        </w:tc>
        <w:tc>
          <w:tcPr>
            <w:tcW w:w="1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41.4</w:t>
            </w:r>
            <w:r>
              <w:rPr>
                <w:color w:val="000000"/>
              </w:rPr>
              <w:t> </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51.7 </w:t>
            </w:r>
          </w:p>
        </w:tc>
        <w:tc>
          <w:tcPr>
            <w:tcW w:w="2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UMWA Plans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net actuarial losses of $11.5 million in 2025 arose primarily due to claims assumptions updates ($17 million), and lower discount rate at the end of the year ($4 million), partially offset by higher actual return on assets than expected ($10 million). The net actuarial gains of $42.9 million in 2024 arose primarily due to claim assumptions updates ($35 million), higher actual return on assets than expected ($3 million), and higher discount rate at the end of the year ($7 million), partially offset by payments higher than expected ($4 million).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Black Lung and Other Plans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recognized net actuarial gains of $3.7 million in 2025. This was primarily due to census data updates ($4 million). We recognized net actuarial gains of $7.3 million in 2024. This was primarily due to a higher discount rate compared to the prior period ($4 million) and claims assumptions updates ($7 million), partially offset by census data updates ($4 million).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Assumptions</w:t>
      </w:r>
    </w:p>
    <w:p>
      <w:pPr>
        <w:pStyle w:val="TextBody"/>
        <w:bidi w:val="0"/>
        <w:spacing w:lineRule="auto" w:line="288" w:before="0" w:after="0"/>
        <w:jc w:val="left"/>
        <w:rPr/>
      </w:pPr>
      <w:r>
        <w:rPr>
          <w:rFonts w:ascii="Times New Roman;serif" w:hAnsi="Times New Roman;serif"/>
          <w:b w:val="false"/>
          <w:color w:val="000000"/>
          <w:sz w:val="18"/>
        </w:rPr>
        <w:t xml:space="preserve">See </w:t>
      </w:r>
      <w:r>
        <w:rPr>
          <w:rFonts w:ascii="Times New Roman;serif" w:hAnsi="Times New Roman;serif"/>
          <w:b w:val="false"/>
          <w:i/>
          <w:color w:val="000000"/>
          <w:sz w:val="18"/>
        </w:rPr>
        <w:t>Mortality Tables for our U.S. Retirement Benefits</w:t>
      </w:r>
      <w:r>
        <w:rPr>
          <w:color w:val="000000"/>
        </w:rPr>
        <w:t xml:space="preserve"> </w:t>
      </w:r>
      <w:r>
        <w:rPr>
          <w:rFonts w:ascii="Times New Roman;serif" w:hAnsi="Times New Roman;serif"/>
          <w:b w:val="false"/>
          <w:color w:val="000000"/>
          <w:sz w:val="18"/>
        </w:rPr>
        <w:t xml:space="preserve">on page </w:t>
      </w:r>
      <w:hyperlink w:anchor="i95163b8a55304f74bc317b7caa40d76d_21317">
        <w:r>
          <w:rPr>
            <w:rStyle w:val="InternetLink"/>
            <w:rFonts w:ascii="Times New Roman;serif" w:hAnsi="Times New Roman;serif"/>
            <w:b w:val="false"/>
            <w:strike w:val="false"/>
            <w:dstrike w:val="false"/>
            <w:color w:val="000000"/>
            <w:sz w:val="18"/>
            <w:u w:val="none"/>
            <w:effect w:val="none"/>
          </w:rPr>
          <w:t>81</w:t>
        </w:r>
      </w:hyperlink>
      <w:r>
        <w:rPr>
          <w:rFonts w:ascii="Times New Roman;serif" w:hAnsi="Times New Roman;serif"/>
          <w:b w:val="false"/>
          <w:color w:val="000000"/>
          <w:sz w:val="18"/>
        </w:rPr>
        <w:t xml:space="preserve"> for a description of the mortality assumptions.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APBO for each of the plans was determined using the unit credit method and assumed rates as follows:</w:t>
      </w:r>
    </w:p>
    <w:tbl>
      <w:tblPr>
        <w:tblW w:w="5294" w:type="dxa"/>
        <w:jc w:val="left"/>
        <w:tblInd w:w="0" w:type="dxa"/>
        <w:tblLayout w:type="fixed"/>
        <w:tblCellMar>
          <w:top w:w="28" w:type="dxa"/>
          <w:left w:w="28" w:type="dxa"/>
          <w:bottom w:w="28" w:type="dxa"/>
          <w:right w:w="28" w:type="dxa"/>
        </w:tblCellMar>
      </w:tblPr>
      <w:tblGrid>
        <w:gridCol w:w="864"/>
        <w:gridCol w:w="758"/>
        <w:gridCol w:w="762"/>
        <w:gridCol w:w="239"/>
        <w:gridCol w:w="242"/>
        <w:gridCol w:w="286"/>
        <w:gridCol w:w="109"/>
        <w:gridCol w:w="109"/>
        <w:gridCol w:w="109"/>
        <w:gridCol w:w="233"/>
        <w:gridCol w:w="233"/>
        <w:gridCol w:w="256"/>
        <w:gridCol w:w="109"/>
        <w:gridCol w:w="109"/>
        <w:gridCol w:w="109"/>
        <w:gridCol w:w="233"/>
        <w:gridCol w:w="233"/>
        <w:gridCol w:w="301"/>
      </w:tblGrid>
      <w:tr>
        <w:trPr/>
        <w:tc>
          <w:tcPr>
            <w:tcW w:w="864"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2023</w:t>
            </w:r>
          </w:p>
        </w:tc>
      </w:tr>
      <w:tr>
        <w:trPr/>
        <w:tc>
          <w:tcPr>
            <w:tcW w:w="23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discount rate:</w:t>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Postretirement cost:</w:t>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UMWA plans</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5.6</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Black lung</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5.5</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5.7</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obligation at year end:</w:t>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UMWA plans</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5.3</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Black lung</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5.2</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5.5</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8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return on assets</w:t>
            </w:r>
          </w:p>
        </w:tc>
        <w:tc>
          <w:tcPr>
            <w:tcW w:w="48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8.00</w:t>
            </w:r>
            <w:r>
              <w:rPr>
                <w:color w:val="000000"/>
              </w:rPr>
              <w:t> </w:t>
            </w:r>
          </w:p>
        </w:tc>
        <w:tc>
          <w:tcPr>
            <w:tcW w:w="28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8.00 </w:t>
            </w:r>
          </w:p>
        </w:tc>
        <w:tc>
          <w:tcPr>
            <w:tcW w:w="2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8.00 </w:t>
            </w:r>
          </w:p>
        </w:tc>
        <w:tc>
          <w:tcPr>
            <w:tcW w:w="30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31445"/>
                <wp:effectExtent l="0" t="0" r="0" b="0"/>
                <wp:wrapNone/>
                <wp:docPr id="85" name="Frame8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Healthcare Cost Trend Rates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For UMWA plans, the assumed healthcare cost trend rate used to compute the 2025 APBO is 7.0% for 2026, declining to 5.0% in 2034 and thereafter (in 2024: 6.5% for 2025 declining to 5.0% in 2031 and thereafter). For the black lung obligation, the assumed healthcare cost trend rate used to compute the 2025 APBO was 5.0% (in 2024: 5.0%). Other plans in the U.S. provide for fixed-dollar value coverage for eligible participants and, accordingly, are not adjusted for inflation.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For the Canadian plan, the assumed healthcare cost trend rate used to compute the 2025 APBO is 7.0% for 2026, declining to 5.0% in 2034 (in 2024: 6.5% for 2025, declining to 5.0% in 2031). For the Brazilian plan, the assumed healthcare cost trend rate used to compute the 2025 APBO is 4.8% (in 2024: 4.8%).</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 xml:space="preserve">We provide healthcare benefits to our UMWA retirees who are eligible for the </w:t>
      </w:r>
      <w:r>
        <w:rPr>
          <w:rFonts w:ascii="Times New Roman;serif" w:hAnsi="Times New Roman;serif"/>
          <w:b w:val="false"/>
          <w:i/>
          <w:color w:val="000000"/>
          <w:sz w:val="18"/>
        </w:rPr>
        <w:t>Medicare Prescription Drug, Improvement and Modernization Act of 2003</w:t>
      </w:r>
      <w:r>
        <w:rPr>
          <w:color w:val="000000"/>
        </w:rPr>
        <w:t xml:space="preserve"> </w:t>
      </w:r>
      <w:r>
        <w:rPr>
          <w:rFonts w:ascii="Times New Roman;serif" w:hAnsi="Times New Roman;serif"/>
          <w:b w:val="false"/>
          <w:color w:val="000000"/>
          <w:sz w:val="18"/>
        </w:rPr>
        <w:t>(the “Medicare Act”) subsidy reimbursement under an employer group waiver plan (“EGWP”). Under this arrangement, a government approved health insurance provider receives the Medicare Act subsidy reimbursement on our behalf and passes these savings to us. Additionally, by providing healthcare benefits under an EGWP, we are able to benefit from the mandatory 50% discount that pharmaceutical companies must provide for Medicare Act-eligible prescription drugs.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Cash Flows</w:t>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Estimated Contributions from the Company to Plan Assets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Based on the funded status and assumptions at December 31, 2025, we expect the Company to contribute $7.3 million in cash to the plans to pay 2026 beneficiary payments for black lung and other plans. We do not expect to contribute cash to our UMWA plans in 2026 since we believe these plans have sufficient amounts held in trust to pay for beneficiary payments until 2039 based on actuarial assumptions. Our UMWA plans are not covered by ERISA or other funding laws or regulations that require these plans to meet funding ratios.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Estimated Future Benefit Payments from Plan Assets to Beneficiaries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Projected benefit payments of the plans in the next 10 years using assumptions in effect at December 31, 2025, are as follows:</w:t>
      </w:r>
    </w:p>
    <w:tbl>
      <w:tblPr>
        <w:tblW w:w="6162" w:type="dxa"/>
        <w:jc w:val="left"/>
        <w:tblInd w:w="0" w:type="dxa"/>
        <w:tblLayout w:type="fixed"/>
        <w:tblCellMar>
          <w:top w:w="28" w:type="dxa"/>
          <w:left w:w="28" w:type="dxa"/>
          <w:bottom w:w="28" w:type="dxa"/>
          <w:right w:w="28" w:type="dxa"/>
        </w:tblCellMar>
      </w:tblPr>
      <w:tblGrid>
        <w:gridCol w:w="537"/>
        <w:gridCol w:w="473"/>
        <w:gridCol w:w="475"/>
        <w:gridCol w:w="290"/>
        <w:gridCol w:w="689"/>
        <w:gridCol w:w="161"/>
        <w:gridCol w:w="109"/>
        <w:gridCol w:w="109"/>
        <w:gridCol w:w="109"/>
        <w:gridCol w:w="703"/>
        <w:gridCol w:w="703"/>
        <w:gridCol w:w="708"/>
        <w:gridCol w:w="109"/>
        <w:gridCol w:w="109"/>
        <w:gridCol w:w="109"/>
        <w:gridCol w:w="278"/>
        <w:gridCol w:w="278"/>
        <w:gridCol w:w="213"/>
      </w:tblGrid>
      <w:tr>
        <w:trPr/>
        <w:tc>
          <w:tcPr>
            <w:tcW w:w="53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UMWA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Black Lung and Other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14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7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7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2031 through 2035</w:t>
            </w:r>
          </w:p>
        </w:tc>
        <w:tc>
          <w:tcPr>
            <w:tcW w:w="979"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75.3 </w:t>
            </w:r>
          </w:p>
        </w:tc>
        <w:tc>
          <w:tcPr>
            <w:tcW w:w="16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25.5 </w:t>
            </w:r>
          </w:p>
        </w:tc>
        <w:tc>
          <w:tcPr>
            <w:tcW w:w="708"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100.8 </w:t>
            </w:r>
          </w:p>
        </w:tc>
        <w:tc>
          <w:tcPr>
            <w:tcW w:w="213"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31445"/>
                <wp:effectExtent l="0" t="0" r="0" b="0"/>
                <wp:wrapNone/>
                <wp:docPr id="86" name="Frame8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Retirement Plan Assets</w:t>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U.S. Plans</w:t>
      </w:r>
    </w:p>
    <w:tbl>
      <w:tblPr>
        <w:tblW w:w="10205" w:type="dxa"/>
        <w:jc w:val="left"/>
        <w:tblInd w:w="0" w:type="dxa"/>
        <w:tblLayout w:type="fixed"/>
        <w:tblCellMar>
          <w:top w:w="28" w:type="dxa"/>
          <w:left w:w="28" w:type="dxa"/>
          <w:bottom w:w="28" w:type="dxa"/>
          <w:right w:w="28" w:type="dxa"/>
        </w:tblCellMar>
      </w:tblPr>
      <w:tblGrid>
        <w:gridCol w:w="603"/>
        <w:gridCol w:w="450"/>
        <w:gridCol w:w="451"/>
        <w:gridCol w:w="234"/>
        <w:gridCol w:w="234"/>
        <w:gridCol w:w="235"/>
        <w:gridCol w:w="109"/>
        <w:gridCol w:w="109"/>
        <w:gridCol w:w="109"/>
        <w:gridCol w:w="221"/>
        <w:gridCol w:w="645"/>
        <w:gridCol w:w="123"/>
        <w:gridCol w:w="109"/>
        <w:gridCol w:w="109"/>
        <w:gridCol w:w="109"/>
        <w:gridCol w:w="355"/>
        <w:gridCol w:w="355"/>
        <w:gridCol w:w="356"/>
        <w:gridCol w:w="109"/>
        <w:gridCol w:w="109"/>
        <w:gridCol w:w="109"/>
        <w:gridCol w:w="355"/>
        <w:gridCol w:w="355"/>
        <w:gridCol w:w="356"/>
        <w:gridCol w:w="109"/>
        <w:gridCol w:w="109"/>
        <w:gridCol w:w="109"/>
        <w:gridCol w:w="389"/>
        <w:gridCol w:w="232"/>
        <w:gridCol w:w="233"/>
        <w:gridCol w:w="109"/>
        <w:gridCol w:w="109"/>
        <w:gridCol w:w="109"/>
        <w:gridCol w:w="334"/>
        <w:gridCol w:w="334"/>
        <w:gridCol w:w="335"/>
        <w:gridCol w:w="109"/>
        <w:gridCol w:w="109"/>
        <w:gridCol w:w="109"/>
        <w:gridCol w:w="305"/>
        <w:gridCol w:w="305"/>
        <w:gridCol w:w="448"/>
      </w:tblGrid>
      <w:tr>
        <w:trPr/>
        <w:tc>
          <w:tcPr>
            <w:tcW w:w="603"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r>
      <w:tr>
        <w:trPr/>
        <w:tc>
          <w:tcPr>
            <w:tcW w:w="150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0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2024</w:t>
            </w:r>
          </w:p>
        </w:tc>
      </w:tr>
      <w:tr>
        <w:trPr/>
        <w:tc>
          <w:tcPr>
            <w:tcW w:w="1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 except for percentages)</w:t>
            </w:r>
          </w:p>
        </w:tc>
        <w:tc>
          <w:tcPr>
            <w:tcW w:w="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Fair Value Level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Fair Value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Actual Allocation</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Target Allocation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 Fair Value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Actual Allocation</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Target Allocation</w:t>
            </w:r>
          </w:p>
        </w:tc>
      </w:tr>
      <w:tr>
        <w:trPr/>
        <w:tc>
          <w:tcPr>
            <w:tcW w:w="15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U.S. Pension Plans</w:t>
            </w:r>
          </w:p>
        </w:tc>
        <w:tc>
          <w:tcPr>
            <w:tcW w:w="7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receivables</w:t>
            </w:r>
          </w:p>
        </w:tc>
        <w:tc>
          <w:tcPr>
            <w:tcW w:w="7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5.8</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securities:</w:t>
            </w:r>
          </w:p>
        </w:tc>
        <w:tc>
          <w:tcPr>
            <w:tcW w:w="7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Global managed volatility equities</w:t>
            </w:r>
            <w:r>
              <w:rPr>
                <w:rFonts w:ascii="Times New Roman;serif" w:hAnsi="Times New Roman;serif"/>
                <w:b w:val="false"/>
                <w:color w:val="000000"/>
                <w:sz w:val="12"/>
              </w:rPr>
              <w:t>(a)</w:t>
            </w:r>
          </w:p>
        </w:tc>
        <w:tc>
          <w:tcPr>
            <w:tcW w:w="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55.8</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w:t>
            </w:r>
            <w:r>
              <w:rPr>
                <w:color w:val="000000"/>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w:t>
            </w:r>
            <w:r>
              <w:rPr>
                <w:color w:val="000000"/>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U.S. large-cap</w:t>
            </w:r>
            <w:r>
              <w:rPr>
                <w:rFonts w:ascii="Times New Roman;serif" w:hAnsi="Times New Roman;serif"/>
                <w:b w:val="false"/>
                <w:color w:val="000000"/>
                <w:sz w:val="12"/>
              </w:rPr>
              <w:t>(a)</w:t>
            </w:r>
          </w:p>
        </w:tc>
        <w:tc>
          <w:tcPr>
            <w:tcW w:w="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U.S. small/mid-cap</w:t>
            </w:r>
            <w:r>
              <w:rPr>
                <w:rFonts w:ascii="Times New Roman;serif" w:hAnsi="Times New Roman;serif"/>
                <w:b w:val="false"/>
                <w:color w:val="000000"/>
                <w:sz w:val="12"/>
              </w:rPr>
              <w:t>(a)</w:t>
            </w:r>
          </w:p>
        </w:tc>
        <w:tc>
          <w:tcPr>
            <w:tcW w:w="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International</w:t>
            </w:r>
            <w:r>
              <w:rPr>
                <w:rFonts w:ascii="Times New Roman;serif" w:hAnsi="Times New Roman;serif"/>
                <w:b w:val="false"/>
                <w:color w:val="000000"/>
                <w:sz w:val="12"/>
              </w:rPr>
              <w:t>(a)</w:t>
            </w:r>
          </w:p>
        </w:tc>
        <w:tc>
          <w:tcPr>
            <w:tcW w:w="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vAlign w:val="center"/>
          </w:tcPr>
          <w:p>
            <w:pPr>
              <w:pStyle w:val="TableContents"/>
              <w:bidi w:val="0"/>
              <w:spacing w:before="0" w:after="283"/>
              <w:jc w:val="left"/>
              <w:rPr>
                <w:sz w:val="4"/>
                <w:szCs w:val="4"/>
              </w:rPr>
            </w:pPr>
            <w:r>
              <w:rPr>
                <w:sz w:val="4"/>
                <w:szCs w:val="4"/>
              </w:rPr>
            </w:r>
          </w:p>
        </w:tc>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1504" w:type="dxa"/>
            <w:gridSpan w:val="3"/>
            <w:tcBorders/>
            <w:vAlign w:val="center"/>
          </w:tcPr>
          <w:p>
            <w:pPr>
              <w:pStyle w:val="TableContents"/>
              <w:bidi w:val="0"/>
              <w:spacing w:before="0" w:after="283"/>
              <w:jc w:val="left"/>
              <w:rPr>
                <w:sz w:val="4"/>
                <w:szCs w:val="4"/>
              </w:rPr>
            </w:pPr>
            <w:r>
              <w:rPr>
                <w:sz w:val="4"/>
                <w:szCs w:val="4"/>
              </w:rPr>
            </w:r>
          </w:p>
        </w:tc>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1504" w:type="dxa"/>
            <w:gridSpan w:val="3"/>
            <w:tcBorders/>
            <w:vAlign w:val="center"/>
          </w:tcPr>
          <w:p>
            <w:pPr>
              <w:pStyle w:val="TableContents"/>
              <w:bidi w:val="0"/>
              <w:spacing w:before="0" w:after="283"/>
              <w:jc w:val="left"/>
              <w:rPr>
                <w:sz w:val="4"/>
                <w:szCs w:val="4"/>
              </w:rPr>
            </w:pPr>
            <w:r>
              <w:rPr>
                <w:sz w:val="4"/>
                <w:szCs w:val="4"/>
              </w:rPr>
            </w:r>
          </w:p>
        </w:tc>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Fixed-income securities:</w:t>
            </w:r>
          </w:p>
        </w:tc>
        <w:tc>
          <w:tcPr>
            <w:tcW w:w="7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Long duration - mutual fund</w:t>
            </w:r>
            <w:r>
              <w:rPr>
                <w:rFonts w:ascii="Times New Roman;serif" w:hAnsi="Times New Roman;serif"/>
                <w:b w:val="false"/>
                <w:color w:val="000000"/>
                <w:sz w:val="12"/>
              </w:rPr>
              <w:t>(d)</w:t>
            </w:r>
          </w:p>
        </w:tc>
        <w:tc>
          <w:tcPr>
            <w:tcW w:w="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454.1</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90</w:t>
            </w:r>
            <w:r>
              <w:rPr>
                <w:color w:val="000000"/>
              </w:rPr>
              <w:t> </w:t>
            </w:r>
          </w:p>
        </w:tc>
        <w:tc>
          <w:tcPr>
            <w:tcW w:w="356"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90</w:t>
            </w:r>
            <w:r>
              <w:rPr>
                <w:color w:val="000000"/>
              </w:rPr>
              <w:t> </w:t>
            </w:r>
          </w:p>
        </w:tc>
        <w:tc>
          <w:tcPr>
            <w:tcW w:w="356"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343.8 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335"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448"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Long duration - Treasury strips</w:t>
            </w:r>
            <w:r>
              <w:rPr>
                <w:rFonts w:ascii="Times New Roman;serif" w:hAnsi="Times New Roman;serif"/>
                <w:b w:val="false"/>
                <w:color w:val="000000"/>
                <w:sz w:val="12"/>
              </w:rPr>
              <w:t>(d)</w:t>
            </w:r>
          </w:p>
        </w:tc>
        <w:tc>
          <w:tcPr>
            <w:tcW w:w="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81.7</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vMerge w:val="continue"/>
            <w:tcBorders/>
            <w:shd w:fill="CCEEFF" w:val="clear"/>
            <w:tcMar>
              <w:top w:w="0" w:type="dxa"/>
              <w:left w:w="0" w:type="dxa"/>
              <w:bottom w:w="0" w:type="dxa"/>
              <w:right w:w="0" w:type="dxa"/>
            </w:tcMar>
            <w:vAlign w:val="center"/>
          </w:tcPr>
          <w:p>
            <w:pPr>
              <w:pStyle w:val="Normal"/>
              <w:bidi w:val="0"/>
              <w:jc w:val="left"/>
              <w:rPr/>
            </w:pPr>
            <w:r>
              <w:rPr/>
            </w:r>
          </w:p>
        </w:tc>
        <w:tc>
          <w:tcPr>
            <w:tcW w:w="356" w:type="dxa"/>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vMerge w:val="continue"/>
            <w:tcBorders/>
            <w:shd w:fill="CCEEFF" w:val="clear"/>
            <w:tcMar>
              <w:top w:w="0" w:type="dxa"/>
              <w:left w:w="0" w:type="dxa"/>
              <w:bottom w:w="0" w:type="dxa"/>
              <w:right w:w="0" w:type="dxa"/>
            </w:tcMar>
            <w:vAlign w:val="center"/>
          </w:tcPr>
          <w:p>
            <w:pPr>
              <w:pStyle w:val="Normal"/>
              <w:bidi w:val="0"/>
              <w:jc w:val="left"/>
              <w:rPr/>
            </w:pPr>
            <w:r>
              <w:rPr/>
            </w:r>
          </w:p>
        </w:tc>
        <w:tc>
          <w:tcPr>
            <w:tcW w:w="356" w:type="dxa"/>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vMerge w:val="continue"/>
            <w:tcBorders/>
            <w:shd w:fill="CCEEFF" w:val="clear"/>
            <w:tcMar>
              <w:top w:w="0" w:type="dxa"/>
              <w:left w:w="0" w:type="dxa"/>
              <w:bottom w:w="0" w:type="dxa"/>
              <w:right w:w="0" w:type="dxa"/>
            </w:tcMar>
            <w:vAlign w:val="center"/>
          </w:tcPr>
          <w:p>
            <w:pPr>
              <w:pStyle w:val="Normal"/>
              <w:bidi w:val="0"/>
              <w:jc w:val="left"/>
              <w:rPr/>
            </w:pPr>
            <w:r>
              <w:rPr/>
            </w:r>
          </w:p>
        </w:tc>
        <w:tc>
          <w:tcPr>
            <w:tcW w:w="335" w:type="dxa"/>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vMerge w:val="continue"/>
            <w:tcBorders/>
            <w:shd w:fill="CCEEFF" w:val="clear"/>
            <w:tcMar>
              <w:top w:w="0" w:type="dxa"/>
              <w:left w:w="0" w:type="dxa"/>
              <w:bottom w:w="0" w:type="dxa"/>
              <w:right w:w="0" w:type="dxa"/>
            </w:tcMar>
            <w:vAlign w:val="center"/>
          </w:tcPr>
          <w:p>
            <w:pPr>
              <w:pStyle w:val="Normal"/>
              <w:bidi w:val="0"/>
              <w:jc w:val="left"/>
              <w:rPr/>
            </w:pPr>
            <w:r>
              <w:rPr/>
            </w:r>
          </w:p>
        </w:tc>
        <w:tc>
          <w:tcPr>
            <w:tcW w:w="448" w:type="dxa"/>
            <w:vMerge w:val="continue"/>
            <w:tcBorders/>
            <w:shd w:fill="CCEEFF" w:val="clear"/>
            <w:tcMar>
              <w:top w:w="0" w:type="dxa"/>
              <w:left w:w="0" w:type="dxa"/>
              <w:bottom w:w="0" w:type="dxa"/>
              <w:right w:w="0" w:type="dxa"/>
            </w:tcMar>
            <w:vAlign w:val="center"/>
          </w:tcPr>
          <w:p>
            <w:pPr>
              <w:pStyle w:val="Normal"/>
              <w:bidi w:val="0"/>
              <w:jc w:val="left"/>
              <w:rPr/>
            </w:pPr>
            <w:r>
              <w:rPr/>
            </w:r>
          </w:p>
        </w:tc>
      </w:tr>
      <w:tr>
        <w:trPr/>
        <w:tc>
          <w:tcPr>
            <w:tcW w:w="1504" w:type="dxa"/>
            <w:gridSpan w:val="3"/>
            <w:tcBorders/>
            <w:vAlign w:val="center"/>
          </w:tcPr>
          <w:p>
            <w:pPr>
              <w:pStyle w:val="TableContents"/>
              <w:bidi w:val="0"/>
              <w:spacing w:before="0" w:after="283"/>
              <w:jc w:val="left"/>
              <w:rPr>
                <w:sz w:val="4"/>
                <w:szCs w:val="4"/>
              </w:rPr>
            </w:pPr>
            <w:r>
              <w:rPr>
                <w:sz w:val="4"/>
                <w:szCs w:val="4"/>
              </w:rPr>
            </w:r>
          </w:p>
        </w:tc>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1504" w:type="dxa"/>
            <w:gridSpan w:val="3"/>
            <w:tcBorders/>
            <w:vAlign w:val="center"/>
          </w:tcPr>
          <w:p>
            <w:pPr>
              <w:pStyle w:val="TableContents"/>
              <w:bidi w:val="0"/>
              <w:spacing w:before="0" w:after="283"/>
              <w:jc w:val="left"/>
              <w:rPr>
                <w:sz w:val="4"/>
                <w:szCs w:val="4"/>
              </w:rPr>
            </w:pPr>
            <w:r>
              <w:rPr>
                <w:sz w:val="4"/>
                <w:szCs w:val="4"/>
              </w:rPr>
            </w:r>
          </w:p>
        </w:tc>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1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types of investments:</w:t>
            </w:r>
          </w:p>
        </w:tc>
        <w:tc>
          <w:tcPr>
            <w:tcW w:w="7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vAlign w:val="center"/>
          </w:tcPr>
          <w:p>
            <w:pPr>
              <w:pStyle w:val="TableContents"/>
              <w:bidi w:val="0"/>
              <w:spacing w:before="0" w:after="283"/>
              <w:jc w:val="left"/>
              <w:rPr>
                <w:sz w:val="4"/>
                <w:szCs w:val="4"/>
              </w:rPr>
            </w:pPr>
            <w:r>
              <w:rPr>
                <w:sz w:val="4"/>
                <w:szCs w:val="4"/>
              </w:rPr>
            </w:r>
          </w:p>
        </w:tc>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Core property</w:t>
            </w:r>
            <w:r>
              <w:rPr>
                <w:rFonts w:ascii="Times New Roman;serif" w:hAnsi="Times New Roman;serif"/>
                <w:b w:val="false"/>
                <w:color w:val="000000"/>
                <w:sz w:val="12"/>
              </w:rPr>
              <w:t>(g) (l)</w:t>
            </w:r>
          </w:p>
        </w:tc>
        <w:tc>
          <w:tcPr>
            <w:tcW w:w="7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Structured credit</w:t>
            </w:r>
            <w:r>
              <w:rPr>
                <w:rFonts w:ascii="Times New Roman;serif" w:hAnsi="Times New Roman;serif"/>
                <w:b w:val="false"/>
                <w:color w:val="000000"/>
                <w:sz w:val="12"/>
              </w:rPr>
              <w:t>(h) (l)</w:t>
            </w:r>
          </w:p>
        </w:tc>
        <w:tc>
          <w:tcPr>
            <w:tcW w:w="7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7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597.4</w:t>
            </w: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100</w:t>
            </w:r>
            <w:r>
              <w:rPr>
                <w:color w:val="000000"/>
              </w:rPr>
              <w:t> </w:t>
            </w:r>
          </w:p>
        </w:tc>
        <w:tc>
          <w:tcPr>
            <w:tcW w:w="3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100</w:t>
            </w:r>
            <w:r>
              <w:rPr>
                <w:color w:val="000000"/>
              </w:rPr>
              <w:t> </w:t>
            </w:r>
          </w:p>
        </w:tc>
        <w:tc>
          <w:tcPr>
            <w:tcW w:w="3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587.7 </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4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UMWA Plans</w:t>
            </w:r>
          </w:p>
        </w:tc>
        <w:tc>
          <w:tcPr>
            <w:tcW w:w="7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receivables</w:t>
            </w:r>
          </w:p>
        </w:tc>
        <w:tc>
          <w:tcPr>
            <w:tcW w:w="7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0.3</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securities:</w:t>
            </w:r>
          </w:p>
        </w:tc>
        <w:tc>
          <w:tcPr>
            <w:tcW w:w="7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U.S. large-cap</w:t>
            </w:r>
            <w:r>
              <w:rPr>
                <w:rFonts w:ascii="Times New Roman;serif" w:hAnsi="Times New Roman;serif"/>
                <w:b w:val="false"/>
                <w:color w:val="000000"/>
                <w:sz w:val="12"/>
              </w:rPr>
              <w:t>(a)</w:t>
            </w:r>
          </w:p>
        </w:tc>
        <w:tc>
          <w:tcPr>
            <w:tcW w:w="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30.5</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w:t>
            </w:r>
            <w:r>
              <w:rPr>
                <w:color w:val="000000"/>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w:t>
            </w:r>
            <w:r>
              <w:rPr>
                <w:color w:val="000000"/>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U.S. small/mid-cap</w:t>
            </w:r>
            <w:r>
              <w:rPr>
                <w:rFonts w:ascii="Times New Roman;serif" w:hAnsi="Times New Roman;serif"/>
                <w:b w:val="false"/>
                <w:color w:val="000000"/>
                <w:sz w:val="12"/>
              </w:rPr>
              <w:t>(a)</w:t>
            </w:r>
          </w:p>
        </w:tc>
        <w:tc>
          <w:tcPr>
            <w:tcW w:w="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13.4</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w:t>
            </w:r>
            <w:r>
              <w:rPr>
                <w:color w:val="000000"/>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w:t>
            </w:r>
            <w:r>
              <w:rPr>
                <w:color w:val="000000"/>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International</w:t>
            </w:r>
            <w:r>
              <w:rPr>
                <w:rFonts w:ascii="Times New Roman;serif" w:hAnsi="Times New Roman;serif"/>
                <w:b w:val="false"/>
                <w:color w:val="000000"/>
                <w:sz w:val="12"/>
              </w:rPr>
              <w:t>(a)</w:t>
            </w:r>
          </w:p>
        </w:tc>
        <w:tc>
          <w:tcPr>
            <w:tcW w:w="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32.9</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w:t>
            </w:r>
            <w:r>
              <w:rPr>
                <w:color w:val="000000"/>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w:t>
            </w:r>
            <w:r>
              <w:rPr>
                <w:color w:val="000000"/>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Emerging markets</w:t>
            </w:r>
            <w:r>
              <w:rPr>
                <w:rFonts w:ascii="Times New Roman;serif" w:hAnsi="Times New Roman;serif"/>
                <w:b w:val="false"/>
                <w:color w:val="000000"/>
                <w:sz w:val="12"/>
              </w:rPr>
              <w:t>(b)</w:t>
            </w:r>
          </w:p>
        </w:tc>
        <w:tc>
          <w:tcPr>
            <w:tcW w:w="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5.0</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w:t>
            </w:r>
            <w:r>
              <w:rPr>
                <w:color w:val="000000"/>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w:t>
            </w:r>
            <w:r>
              <w:rPr>
                <w:color w:val="000000"/>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Dynamic asset allocation</w:t>
            </w:r>
            <w:r>
              <w:rPr>
                <w:rFonts w:ascii="Times New Roman;serif" w:hAnsi="Times New Roman;serif"/>
                <w:b w:val="false"/>
                <w:color w:val="000000"/>
                <w:sz w:val="12"/>
              </w:rPr>
              <w:t>(c)</w:t>
            </w:r>
          </w:p>
        </w:tc>
        <w:tc>
          <w:tcPr>
            <w:tcW w:w="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8.9</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w:t>
            </w:r>
            <w:r>
              <w:rPr>
                <w:color w:val="000000"/>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w:t>
            </w:r>
            <w:r>
              <w:rPr>
                <w:color w:val="000000"/>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Fixed-income securities:</w:t>
            </w:r>
          </w:p>
        </w:tc>
        <w:tc>
          <w:tcPr>
            <w:tcW w:w="7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High yield</w:t>
            </w:r>
            <w:r>
              <w:rPr>
                <w:rFonts w:ascii="Times New Roman;serif" w:hAnsi="Times New Roman;serif"/>
                <w:b w:val="false"/>
                <w:color w:val="000000"/>
                <w:sz w:val="12"/>
              </w:rPr>
              <w:t>(e)</w:t>
            </w:r>
          </w:p>
        </w:tc>
        <w:tc>
          <w:tcPr>
            <w:tcW w:w="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w:t>
            </w:r>
            <w:r>
              <w:rPr>
                <w:color w:val="000000"/>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w:t>
            </w:r>
            <w:r>
              <w:rPr>
                <w:color w:val="000000"/>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Emerging markets</w:t>
            </w:r>
            <w:r>
              <w:rPr>
                <w:rFonts w:ascii="Times New Roman;serif" w:hAnsi="Times New Roman;serif"/>
                <w:b w:val="false"/>
                <w:color w:val="000000"/>
                <w:sz w:val="12"/>
              </w:rPr>
              <w:t>(f)</w:t>
            </w:r>
          </w:p>
        </w:tc>
        <w:tc>
          <w:tcPr>
            <w:tcW w:w="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4.8</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w:t>
            </w:r>
            <w:r>
              <w:rPr>
                <w:color w:val="000000"/>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w:t>
            </w:r>
            <w:r>
              <w:rPr>
                <w:color w:val="000000"/>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Multi asset real return</w:t>
            </w:r>
            <w:r>
              <w:rPr>
                <w:rFonts w:ascii="Times New Roman;serif" w:hAnsi="Times New Roman;serif"/>
                <w:b w:val="false"/>
                <w:color w:val="000000"/>
                <w:sz w:val="12"/>
              </w:rPr>
              <w:t>(i)</w:t>
            </w:r>
          </w:p>
        </w:tc>
        <w:tc>
          <w:tcPr>
            <w:tcW w:w="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5.9</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w:t>
            </w:r>
            <w:r>
              <w:rPr>
                <w:color w:val="000000"/>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w:t>
            </w:r>
            <w:r>
              <w:rPr>
                <w:color w:val="000000"/>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types of investments:</w:t>
            </w:r>
          </w:p>
        </w:tc>
        <w:tc>
          <w:tcPr>
            <w:tcW w:w="7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vAlign w:val="center"/>
          </w:tcPr>
          <w:p>
            <w:pPr>
              <w:pStyle w:val="TableContents"/>
              <w:bidi w:val="0"/>
              <w:spacing w:before="0" w:after="283"/>
              <w:jc w:val="left"/>
              <w:rPr>
                <w:sz w:val="4"/>
                <w:szCs w:val="4"/>
              </w:rPr>
            </w:pPr>
            <w:r>
              <w:rPr>
                <w:sz w:val="4"/>
                <w:szCs w:val="4"/>
              </w:rPr>
            </w:r>
          </w:p>
        </w:tc>
        <w:tc>
          <w:tcPr>
            <w:tcW w:w="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1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Core property</w:t>
            </w:r>
            <w:r>
              <w:rPr>
                <w:rFonts w:ascii="Times New Roman;serif" w:hAnsi="Times New Roman;serif"/>
                <w:b w:val="false"/>
                <w:color w:val="000000"/>
                <w:sz w:val="12"/>
              </w:rPr>
              <w:t>(g) (l)</w:t>
            </w:r>
          </w:p>
        </w:tc>
        <w:tc>
          <w:tcPr>
            <w:tcW w:w="7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6.8</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w:t>
            </w:r>
            <w:r>
              <w:rPr>
                <w:color w:val="000000"/>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w:t>
            </w:r>
            <w:r>
              <w:rPr>
                <w:color w:val="000000"/>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Structured credit</w:t>
            </w:r>
            <w:r>
              <w:rPr>
                <w:rFonts w:ascii="Times New Roman;serif" w:hAnsi="Times New Roman;serif"/>
                <w:b w:val="false"/>
                <w:color w:val="000000"/>
                <w:sz w:val="12"/>
              </w:rPr>
              <w:t>(h) (l)</w:t>
            </w:r>
          </w:p>
        </w:tc>
        <w:tc>
          <w:tcPr>
            <w:tcW w:w="7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10.9</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w:t>
            </w:r>
            <w:r>
              <w:rPr>
                <w:color w:val="000000"/>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w:t>
            </w:r>
            <w:r>
              <w:rPr>
                <w:color w:val="000000"/>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Global private equity</w:t>
            </w:r>
            <w:r>
              <w:rPr>
                <w:rFonts w:ascii="Times New Roman;serif" w:hAnsi="Times New Roman;serif"/>
                <w:b w:val="false"/>
                <w:color w:val="000000"/>
                <w:sz w:val="12"/>
              </w:rPr>
              <w:t>(j) (l)</w:t>
            </w:r>
          </w:p>
        </w:tc>
        <w:tc>
          <w:tcPr>
            <w:tcW w:w="7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7.1</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w:t>
            </w:r>
            <w:r>
              <w:rPr>
                <w:color w:val="000000"/>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w:t>
            </w:r>
            <w:r>
              <w:rPr>
                <w:color w:val="000000"/>
              </w:rPr>
              <w:t>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Energy debt</w:t>
            </w:r>
            <w:r>
              <w:rPr>
                <w:rFonts w:ascii="Times New Roman;serif" w:hAnsi="Times New Roman;serif"/>
                <w:b w:val="false"/>
                <w:color w:val="000000"/>
                <w:sz w:val="12"/>
              </w:rPr>
              <w:t>(k) (l)</w:t>
            </w:r>
          </w:p>
        </w:tc>
        <w:tc>
          <w:tcPr>
            <w:tcW w:w="7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0.7</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w:t>
            </w:r>
            <w:r>
              <w:rPr>
                <w:color w:val="000000"/>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703"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4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129.6</w:t>
            </w:r>
            <w:r>
              <w:rPr>
                <w:color w:val="000000"/>
              </w:rPr>
              <w:t> </w:t>
            </w:r>
          </w:p>
        </w:tc>
        <w:tc>
          <w:tcPr>
            <w:tcW w:w="1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100</w:t>
            </w:r>
            <w:r>
              <w:rPr>
                <w:color w:val="000000"/>
              </w:rPr>
              <w:t> </w:t>
            </w:r>
          </w:p>
        </w:tc>
        <w:tc>
          <w:tcPr>
            <w:tcW w:w="3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100</w:t>
            </w:r>
            <w:r>
              <w:rPr>
                <w:color w:val="000000"/>
              </w:rPr>
              <w:t> </w:t>
            </w:r>
          </w:p>
        </w:tc>
        <w:tc>
          <w:tcPr>
            <w:tcW w:w="3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129.5 </w:t>
            </w:r>
          </w:p>
        </w:tc>
        <w:tc>
          <w:tcPr>
            <w:tcW w:w="23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33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44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3"/>
        </w:rPr>
      </w:pPr>
      <w:r>
        <w:rPr>
          <w:rFonts w:ascii="Times New Roman;serif" w:hAnsi="Times New Roman;serif"/>
          <w:b w:val="false"/>
          <w:color w:val="000000"/>
          <w:sz w:val="13"/>
        </w:rPr>
        <w:t>(a)These categories include a passively managed U.S. large-cap equity mutual fund, an actively managed U.S. small/mid-cap equity and a Non-U.S. equity mutual fund that track various indices such as the S&amp;P 500 Index, the Russell 2500 Index and the MSCI All Country World Ex-U.S. Index.</w:t>
      </w:r>
    </w:p>
    <w:p>
      <w:pPr>
        <w:pStyle w:val="TextBody"/>
        <w:bidi w:val="0"/>
        <w:spacing w:lineRule="auto" w:line="288" w:before="0" w:after="0"/>
        <w:ind w:left="0" w:right="0" w:hanging="360"/>
        <w:jc w:val="left"/>
        <w:rPr>
          <w:rFonts w:ascii="Times New Roman;serif" w:hAnsi="Times New Roman;serif"/>
          <w:b w:val="false"/>
          <w:color w:val="000000"/>
          <w:sz w:val="13"/>
        </w:rPr>
      </w:pPr>
      <w:r>
        <w:rPr>
          <w:rFonts w:ascii="Times New Roman;serif" w:hAnsi="Times New Roman;serif"/>
          <w:b w:val="false"/>
          <w:color w:val="000000"/>
          <w:sz w:val="13"/>
        </w:rPr>
        <w:t>(b)This category represents an actively managed mutual fund that invests primarily in equity securities of emerging market issuers. Emerging market countries are those countries that are characterized as developing or emerging by any of the World Bank, the United Nations, the International Finance Corporation, or the European Bank for Reconstruction and Development or included in an emerging markets index by a recognized index provider.</w:t>
      </w:r>
    </w:p>
    <w:p>
      <w:pPr>
        <w:pStyle w:val="TextBody"/>
        <w:bidi w:val="0"/>
        <w:spacing w:lineRule="auto" w:line="288" w:before="0" w:after="0"/>
        <w:ind w:left="0" w:right="0" w:hanging="360"/>
        <w:jc w:val="both"/>
        <w:rPr>
          <w:rFonts w:ascii="Times New Roman;serif" w:hAnsi="Times New Roman;serif"/>
          <w:b w:val="false"/>
          <w:color w:val="000000"/>
          <w:sz w:val="13"/>
        </w:rPr>
      </w:pPr>
      <w:r>
        <w:rPr>
          <w:rFonts w:ascii="Times New Roman;serif" w:hAnsi="Times New Roman;serif"/>
          <w:b w:val="false"/>
          <w:color w:val="000000"/>
          <w:sz w:val="13"/>
        </w:rPr>
        <w:t>(c)This category represents an actively managed mutual fund that seeks to generate, over time, a total return in excess of the broad U.S. equity market by selecting investments from among a broad range of asset classes based upon the manager's expectations of risk and return. The fund’s allocations among asset classes may be adjusted over short periods and can vary from multiple to a single asset class.</w:t>
      </w:r>
    </w:p>
    <w:p>
      <w:pPr>
        <w:pStyle w:val="TextBody"/>
        <w:bidi w:val="0"/>
        <w:spacing w:lineRule="auto" w:line="288" w:before="0" w:after="0"/>
        <w:ind w:left="0" w:right="0" w:hanging="360"/>
        <w:jc w:val="both"/>
        <w:rPr>
          <w:rFonts w:ascii="Times New Roman;serif" w:hAnsi="Times New Roman;serif"/>
          <w:b w:val="false"/>
          <w:color w:val="000000"/>
          <w:sz w:val="13"/>
        </w:rPr>
      </w:pPr>
      <w:r>
        <w:rPr>
          <w:rFonts w:ascii="Times New Roman;serif" w:hAnsi="Times New Roman;serif"/>
          <w:b w:val="false"/>
          <w:color w:val="000000"/>
          <w:sz w:val="13"/>
        </w:rPr>
        <w:t>(d)This category represents actively managed mutual funds that seek to duplicate the risk and return characteristics of an intermediate to a long-term fixed-income security portfolio with an approximate duration of 10 to 15 years and longer. This is achieved by using an intermediate duration credit bond fund and a long duration credit bond mutual fund. This category also includes Treasury future contracts and zero-coupon securities created by the U.S. Treasury.</w:t>
      </w:r>
    </w:p>
    <w:p>
      <w:pPr>
        <w:pStyle w:val="TextBody"/>
        <w:bidi w:val="0"/>
        <w:spacing w:lineRule="auto" w:line="288" w:before="0" w:after="0"/>
        <w:ind w:left="0" w:right="0" w:hanging="360"/>
        <w:jc w:val="both"/>
        <w:rPr>
          <w:rFonts w:ascii="Times New Roman;serif" w:hAnsi="Times New Roman;serif"/>
          <w:b w:val="false"/>
          <w:color w:val="000000"/>
          <w:sz w:val="13"/>
        </w:rPr>
      </w:pPr>
      <w:r>
        <w:rPr>
          <w:rFonts w:ascii="Times New Roman;serif" w:hAnsi="Times New Roman;serif"/>
          <w:b w:val="false"/>
          <w:color w:val="000000"/>
          <w:sz w:val="13"/>
        </w:rPr>
        <w:t>(e)This category represents an actively managed mutual fund that invests primarily in fixed-income securities rated below investment grade, including corporate bonds and debentures, convertible and preferred securities and zero-coupon obligations. The fund’s average weighted maturity may vary and will generally not exceed ten years.</w:t>
      </w:r>
    </w:p>
    <w:p>
      <w:pPr>
        <w:pStyle w:val="TextBody"/>
        <w:bidi w:val="0"/>
        <w:spacing w:lineRule="auto" w:line="288" w:before="0" w:after="0"/>
        <w:ind w:left="0" w:right="0" w:hanging="360"/>
        <w:jc w:val="both"/>
        <w:rPr>
          <w:rFonts w:ascii="Times New Roman;serif" w:hAnsi="Times New Roman;serif"/>
          <w:b w:val="false"/>
          <w:color w:val="000000"/>
          <w:sz w:val="13"/>
        </w:rPr>
      </w:pPr>
      <w:r>
        <w:rPr>
          <w:rFonts w:ascii="Times New Roman;serif" w:hAnsi="Times New Roman;serif"/>
          <w:b w:val="false"/>
          <w:color w:val="000000"/>
          <w:sz w:val="13"/>
        </w:rPr>
        <w:t>(f)This category represents an actively managed mutual fund that invests primarily in U.S. dollar-denominated debt securities of government, government-related and corporate issuers in emerging market countries, as well as entities organized to restructure the outstanding debt of such issuers.</w:t>
      </w:r>
    </w:p>
    <w:p>
      <w:pPr>
        <w:pStyle w:val="TextBody"/>
        <w:bidi w:val="0"/>
        <w:spacing w:lineRule="auto" w:line="288" w:before="0" w:after="0"/>
        <w:ind w:left="0" w:right="0" w:hanging="360"/>
        <w:jc w:val="both"/>
        <w:rPr>
          <w:rFonts w:ascii="Times New Roman;serif" w:hAnsi="Times New Roman;serif"/>
          <w:b w:val="false"/>
          <w:color w:val="000000"/>
          <w:sz w:val="13"/>
        </w:rPr>
      </w:pPr>
      <w:r>
        <w:rPr>
          <w:rFonts w:ascii="Times New Roman;serif" w:hAnsi="Times New Roman;serif"/>
          <w:b w:val="false"/>
          <w:color w:val="000000"/>
          <w:sz w:val="13"/>
        </w:rPr>
        <w:t>(g)This category represents an actively managed real estate fund of funds that seeks both current income and long-term capital appreciation through investing in underlying funds that acquire, manage, and dispose of commercial real estate properties. These properties are high-quality, low-leveraged, income-generating office, industrial, retail, and multi-family properties, generally fully-leased to creditworthy companies and governmental entities.</w:t>
      </w:r>
    </w:p>
    <w:p>
      <w:pPr>
        <w:pStyle w:val="TextBody"/>
        <w:bidi w:val="0"/>
        <w:spacing w:lineRule="auto" w:line="288" w:before="0" w:after="0"/>
        <w:ind w:left="0" w:right="0" w:hanging="360"/>
        <w:jc w:val="both"/>
        <w:rPr>
          <w:rFonts w:ascii="Times New Roman;serif" w:hAnsi="Times New Roman;serif"/>
          <w:b w:val="false"/>
          <w:color w:val="000000"/>
          <w:sz w:val="13"/>
        </w:rPr>
      </w:pPr>
      <w:r>
        <w:rPr>
          <w:rFonts w:ascii="Times New Roman;serif" w:hAnsi="Times New Roman;serif"/>
          <w:b w:val="false"/>
          <w:color w:val="000000"/>
          <w:sz w:val="13"/>
        </w:rPr>
        <w:t>(h)This category invests primarily in a diversified portfolio comprised primarily of collateralized loan obligations and other structured credit investments backed primarily by bank loans.</w:t>
      </w:r>
    </w:p>
    <w:p>
      <w:pPr>
        <w:pStyle w:val="TextBody"/>
        <w:bidi w:val="0"/>
        <w:spacing w:lineRule="auto" w:line="288" w:before="0" w:after="0"/>
        <w:ind w:left="0" w:right="0" w:hanging="360"/>
        <w:jc w:val="both"/>
        <w:rPr>
          <w:rFonts w:ascii="Times New Roman;serif" w:hAnsi="Times New Roman;serif"/>
          <w:b w:val="false"/>
          <w:color w:val="000000"/>
          <w:sz w:val="13"/>
        </w:rPr>
      </w:pPr>
      <w:r>
        <w:rPr>
          <w:rFonts w:ascii="Times New Roman;serif" w:hAnsi="Times New Roman;serif"/>
          <w:b w:val="false"/>
          <w:color w:val="000000"/>
          <w:sz w:val="13"/>
        </w:rPr>
        <w:t>(i)This category represents an actively managed mutual fund that invests primarily in fixed income and equity securities and commodity linked instruments. The category seeks total returns that exceed the rate of inflation over a full market cycle regardless of market conditions.</w:t>
      </w:r>
    </w:p>
    <w:p>
      <w:pPr>
        <w:pStyle w:val="TextBody"/>
        <w:bidi w:val="0"/>
        <w:spacing w:lineRule="auto" w:line="288" w:before="0" w:after="0"/>
        <w:ind w:left="0" w:right="0" w:hanging="360"/>
        <w:jc w:val="both"/>
        <w:rPr>
          <w:rFonts w:ascii="Times New Roman;serif" w:hAnsi="Times New Roman;serif"/>
          <w:b w:val="false"/>
          <w:color w:val="000000"/>
          <w:sz w:val="13"/>
        </w:rPr>
      </w:pPr>
      <w:r>
        <w:rPr>
          <w:rFonts w:ascii="Times New Roman;serif" w:hAnsi="Times New Roman;serif"/>
          <w:b w:val="false"/>
          <w:color w:val="000000"/>
          <w:sz w:val="13"/>
        </w:rPr>
        <w:t>(j)This category will offer exposure to a diversified pool of global private assets fund investments. Further, the category will seek to shorten the duration of the typical private assets fund of funds through a dedicated focus on secondary strategies (i.e. funds whose investment strategy is to purchase interests in other private market investments/funds as a way to provide the original investors liquidity prior to the end of those investments’/funds’ contracted end date), income-producing investment strategies (e.g. debt, real estate, and to a lesser extent, real assets), and underlying funds whose stated life is five to seven years, as opposed to the more typical 10-year life of private assets funds.</w:t>
      </w:r>
    </w:p>
    <w:p>
      <w:pPr>
        <w:pStyle w:val="TextBody"/>
        <w:bidi w:val="0"/>
        <w:spacing w:lineRule="auto" w:line="288" w:before="0" w:after="0"/>
        <w:ind w:left="0" w:right="0" w:hanging="360"/>
        <w:jc w:val="both"/>
        <w:rPr>
          <w:rFonts w:ascii="Times New Roman;serif" w:hAnsi="Times New Roman;serif"/>
          <w:b w:val="false"/>
          <w:color w:val="000000"/>
          <w:sz w:val="13"/>
        </w:rPr>
      </w:pPr>
      <w:r>
        <w:rPr>
          <w:rFonts w:ascii="Times New Roman;serif" w:hAnsi="Times New Roman;serif"/>
          <w:b w:val="false"/>
          <w:color w:val="000000"/>
          <w:sz w:val="13"/>
        </w:rPr>
        <w:t>(k)This category invests in credit securities of commodity oriented companies affected by the dislocation in the commodity markets with the investment objective of producing an equity like return with less downside risk than equity or commodity investments. </w:t>
      </w:r>
    </w:p>
    <w:p>
      <w:pPr>
        <w:pStyle w:val="TextBody"/>
        <w:bidi w:val="0"/>
        <w:spacing w:lineRule="auto" w:line="288" w:before="0" w:after="0"/>
        <w:ind w:left="0" w:right="0" w:hanging="360"/>
        <w:jc w:val="both"/>
        <w:rPr>
          <w:rFonts w:ascii="Times New Roman;serif" w:hAnsi="Times New Roman;serif"/>
          <w:b w:val="false"/>
          <w:color w:val="000000"/>
          <w:sz w:val="13"/>
        </w:rPr>
      </w:pPr>
      <w:r>
        <w:rPr>
          <w:rFonts w:ascii="Times New Roman;serif" w:hAnsi="Times New Roman;serif"/>
          <w:b w:val="false"/>
          <w:color w:val="000000"/>
          <w:sz w:val="13"/>
        </w:rPr>
        <w:t>(l)In accordance with ASC Subtopic 820-10, certain investments that are measured at fair value using the net asset value per share (or its equivalent) practical expedient have not been classified in the fair value hierarchy. The fair value amounts presented in this table are intended to permit reconciliation of the fair value hierarchy to the amounts presented in the consolidated balance sheets.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31445"/>
                <wp:effectExtent l="0" t="0" r="0" b="0"/>
                <wp:wrapNone/>
                <wp:docPr id="87" name="Frame8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Assets of our U.S. plans are invested with an objective of maximizing the total return, taking into consideration the liabilities of the plan, and minimizing the risks that could create the need for excessive contributions. Plan assets are invested primarily using actively managed accounts with asset allocation targets listed in the tables above. Our policy does not permit the purchase of Brink’s common stock if immediately after any such purchase the aggregate fair market value of the plan assets invested in Brink’s common stock exceeds 10% of the aggregate fair market value of the assets of the plan, except as permitted by an exemption under ERISA. The plans rebalance their assets on a quarterly basis if actual allocations of assets are outside predetermined ranges. Among other factors, the performance of asset groups and investment managers will affect the long-term rate of return.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The global private equity investment cannot be redeemed due to the nature of the underlying investments. As the global private equity investment matures and becomes fully invested, liquidating distributions will be provided back to investors. We expect to receive liquidating distributions over the stated life of the underlying investments. We have $4 million in unfunded commitments related to the global private equity investment.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Most of the investments of our U.S. retirement plans can be redeemed daily. The structured credit investment can be redeemed quarterly with 65 days’ notice. The core property fund investments can be redeemed quarterly with 105 days’ notice.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believe all plans have sufficient liquidity to meet the needs of the plans' beneficiaries in all market scenarios.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Non-U.S. Plans</w:t>
      </w:r>
    </w:p>
    <w:tbl>
      <w:tblPr>
        <w:tblW w:w="10205" w:type="dxa"/>
        <w:jc w:val="left"/>
        <w:tblInd w:w="0" w:type="dxa"/>
        <w:tblLayout w:type="fixed"/>
        <w:tblCellMar>
          <w:top w:w="28" w:type="dxa"/>
          <w:left w:w="28" w:type="dxa"/>
          <w:bottom w:w="28" w:type="dxa"/>
          <w:right w:w="28" w:type="dxa"/>
        </w:tblCellMar>
      </w:tblPr>
      <w:tblGrid>
        <w:gridCol w:w="733"/>
        <w:gridCol w:w="537"/>
        <w:gridCol w:w="539"/>
        <w:gridCol w:w="241"/>
        <w:gridCol w:w="704"/>
        <w:gridCol w:w="134"/>
        <w:gridCol w:w="109"/>
        <w:gridCol w:w="109"/>
        <w:gridCol w:w="109"/>
        <w:gridCol w:w="403"/>
        <w:gridCol w:w="403"/>
        <w:gridCol w:w="404"/>
        <w:gridCol w:w="109"/>
        <w:gridCol w:w="109"/>
        <w:gridCol w:w="109"/>
        <w:gridCol w:w="403"/>
        <w:gridCol w:w="403"/>
        <w:gridCol w:w="404"/>
        <w:gridCol w:w="109"/>
        <w:gridCol w:w="109"/>
        <w:gridCol w:w="109"/>
        <w:gridCol w:w="396"/>
        <w:gridCol w:w="276"/>
        <w:gridCol w:w="278"/>
        <w:gridCol w:w="109"/>
        <w:gridCol w:w="109"/>
        <w:gridCol w:w="109"/>
        <w:gridCol w:w="377"/>
        <w:gridCol w:w="377"/>
        <w:gridCol w:w="379"/>
        <w:gridCol w:w="109"/>
        <w:gridCol w:w="109"/>
        <w:gridCol w:w="109"/>
        <w:gridCol w:w="342"/>
        <w:gridCol w:w="342"/>
        <w:gridCol w:w="495"/>
      </w:tblGrid>
      <w:tr>
        <w:trPr/>
        <w:tc>
          <w:tcPr>
            <w:tcW w:w="733"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180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15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2024</w:t>
            </w:r>
          </w:p>
        </w:tc>
      </w:tr>
      <w:tr>
        <w:trPr/>
        <w:tc>
          <w:tcPr>
            <w:tcW w:w="1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 except for percentages)</w:t>
            </w:r>
          </w:p>
        </w:tc>
        <w:tc>
          <w:tcPr>
            <w:tcW w:w="10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Fair Value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Actual Allocation</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Target Allocation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 Fair Value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Actual Allocation</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Target Allocation</w:t>
            </w:r>
          </w:p>
        </w:tc>
      </w:tr>
      <w:tr>
        <w:trPr/>
        <w:tc>
          <w:tcPr>
            <w:tcW w:w="18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Non-U.S. Pension Plans</w:t>
            </w:r>
          </w:p>
        </w:tc>
        <w:tc>
          <w:tcPr>
            <w:tcW w:w="10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0.6</w:t>
            </w: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securities:</w:t>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U.S. equity funds</w:t>
            </w:r>
            <w:r>
              <w:rPr>
                <w:rFonts w:ascii="Times New Roman;serif" w:hAnsi="Times New Roman;serif"/>
                <w:b w:val="false"/>
                <w:color w:val="000000"/>
                <w:sz w:val="12"/>
              </w:rPr>
              <w:t>(a)</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7.7</w:t>
            </w: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Canadian equity funds</w:t>
            </w:r>
            <w:r>
              <w:rPr>
                <w:rFonts w:ascii="Times New Roman;serif" w:hAnsi="Times New Roman;serif"/>
                <w:b w:val="false"/>
                <w:color w:val="000000"/>
                <w:sz w:val="12"/>
              </w:rPr>
              <w:t>(a)</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w:t>
            </w: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European equity funds</w:t>
            </w:r>
            <w:r>
              <w:rPr>
                <w:rFonts w:ascii="Times New Roman;serif" w:hAnsi="Times New Roman;serif"/>
                <w:b w:val="false"/>
                <w:color w:val="000000"/>
                <w:sz w:val="12"/>
              </w:rPr>
              <w:t>(a)</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9"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r>
      <w:tr>
        <w:trPr/>
        <w:tc>
          <w:tcPr>
            <w:tcW w:w="18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Emerging markets</w:t>
            </w:r>
            <w:r>
              <w:rPr>
                <w:rFonts w:ascii="Times New Roman;serif" w:hAnsi="Times New Roman;serif"/>
                <w:b w:val="false"/>
                <w:color w:val="000000"/>
                <w:sz w:val="12"/>
              </w:rPr>
              <w:t>(a)</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0.1</w:t>
            </w: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global equity funds</w:t>
            </w:r>
            <w:r>
              <w:rPr>
                <w:rFonts w:ascii="Times New Roman;serif" w:hAnsi="Times New Roman;serif"/>
                <w:b w:val="false"/>
                <w:color w:val="000000"/>
                <w:sz w:val="12"/>
              </w:rPr>
              <w:t>(a)</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7.3</w:t>
            </w: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equity securities</w:t>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17.5</w:t>
            </w:r>
            <w:r>
              <w:rPr>
                <w:color w:val="000000"/>
              </w:rPr>
              <w:t>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w:t>
            </w:r>
            <w:r>
              <w:rPr>
                <w:color w:val="000000"/>
              </w:rPr>
              <w:t> </w:t>
            </w:r>
          </w:p>
        </w:tc>
        <w:tc>
          <w:tcPr>
            <w:tcW w:w="4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w:t>
            </w:r>
            <w:r>
              <w:rPr>
                <w:color w:val="000000"/>
              </w:rPr>
              <w:t> </w:t>
            </w:r>
          </w:p>
        </w:tc>
        <w:tc>
          <w:tcPr>
            <w:tcW w:w="4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4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Fixed-income securities:</w:t>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9"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r>
      <w:tr>
        <w:trPr/>
        <w:tc>
          <w:tcPr>
            <w:tcW w:w="18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Canadian fixed-income securities</w:t>
            </w:r>
            <w:r>
              <w:rPr>
                <w:rFonts w:ascii="Times New Roman;serif" w:hAnsi="Times New Roman;serif"/>
                <w:b w:val="false"/>
                <w:color w:val="000000"/>
                <w:sz w:val="12"/>
              </w:rPr>
              <w:t>(b)</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57.3</w:t>
            </w: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European fixed-income funds</w:t>
            </w:r>
            <w:r>
              <w:rPr>
                <w:rFonts w:ascii="Times New Roman;serif" w:hAnsi="Times New Roman;serif"/>
                <w:b w:val="false"/>
                <w:color w:val="000000"/>
                <w:sz w:val="12"/>
              </w:rPr>
              <w:t>(c)</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16.5</w:t>
            </w: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High-yield</w:t>
            </w:r>
            <w:r>
              <w:rPr>
                <w:rFonts w:ascii="Times New Roman;serif" w:hAnsi="Times New Roman;serif"/>
                <w:b w:val="false"/>
                <w:color w:val="000000"/>
                <w:sz w:val="12"/>
              </w:rPr>
              <w:t>(d)</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0.1</w:t>
            </w: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Emerging markets</w:t>
            </w:r>
            <w:r>
              <w:rPr>
                <w:rFonts w:ascii="Times New Roman;serif" w:hAnsi="Times New Roman;serif"/>
                <w:b w:val="false"/>
                <w:color w:val="000000"/>
                <w:sz w:val="12"/>
              </w:rPr>
              <w:t>(e)</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0.2</w:t>
            </w: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Long-duration</w:t>
            </w:r>
            <w:r>
              <w:rPr>
                <w:rFonts w:ascii="Times New Roman;serif" w:hAnsi="Times New Roman;serif"/>
                <w:b w:val="false"/>
                <w:color w:val="000000"/>
                <w:sz w:val="12"/>
              </w:rPr>
              <w:t>(f)</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50.1</w:t>
            </w: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fixed-income securities</w:t>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124.2</w:t>
            </w: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51</w:t>
            </w:r>
            <w:r>
              <w:rPr>
                <w:color w:val="000000"/>
              </w:rPr>
              <w:t> </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49</w:t>
            </w:r>
            <w:r>
              <w:rPr>
                <w:color w:val="000000"/>
              </w:rPr>
              <w:t> </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121.2 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types of investments:</w:t>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Guaranteed contract value</w:t>
            </w:r>
            <w:r>
              <w:rPr>
                <w:rFonts w:ascii="Times New Roman;serif" w:hAnsi="Times New Roman;serif"/>
                <w:b w:val="false"/>
                <w:color w:val="000000"/>
                <w:sz w:val="12"/>
              </w:rPr>
              <w:t>(g)</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79.1</w:t>
            </w: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33</w:t>
            </w:r>
            <w:r>
              <w:rPr>
                <w:color w:val="000000"/>
              </w:rPr>
              <w:t>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36</w:t>
            </w:r>
            <w:r>
              <w:rPr>
                <w:color w:val="000000"/>
              </w:rPr>
              <w:t>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77.9 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3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9"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r>
      <w:tr>
        <w:trPr/>
        <w:tc>
          <w:tcPr>
            <w:tcW w:w="1809"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r>
      <w:tr>
        <w:trPr/>
        <w:tc>
          <w:tcPr>
            <w:tcW w:w="18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Property funds</w:t>
            </w:r>
            <w:r>
              <w:rPr>
                <w:rFonts w:ascii="Times New Roman;serif" w:hAnsi="Times New Roman;serif"/>
                <w:b w:val="false"/>
                <w:color w:val="000000"/>
                <w:sz w:val="12"/>
              </w:rPr>
              <w:t>(h)</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6.4</w:t>
            </w: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w:t>
            </w:r>
            <w:r>
              <w:rPr>
                <w:color w:val="000000"/>
              </w:rPr>
              <w:t> </w:t>
            </w:r>
          </w:p>
        </w:tc>
        <w:tc>
          <w:tcPr>
            <w:tcW w:w="404" w:type="dxa"/>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w:t>
            </w:r>
            <w:r>
              <w:rPr>
                <w:color w:val="000000"/>
              </w:rPr>
              <w:t> </w:t>
            </w:r>
          </w:p>
        </w:tc>
        <w:tc>
          <w:tcPr>
            <w:tcW w:w="404" w:type="dxa"/>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379" w:type="dxa"/>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495" w:type="dxa"/>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Global infrastructure fund</w:t>
            </w:r>
            <w:r>
              <w:rPr>
                <w:rFonts w:ascii="Times New Roman;serif" w:hAnsi="Times New Roman;serif"/>
                <w:b w:val="false"/>
                <w:color w:val="000000"/>
                <w:sz w:val="12"/>
              </w:rPr>
              <w:t>(i)</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8.5</w:t>
            </w: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vMerge w:val="continue"/>
            <w:tcBorders/>
            <w:shd w:fill="FFFFFF" w:val="clear"/>
            <w:tcMar>
              <w:top w:w="0" w:type="dxa"/>
              <w:left w:w="0" w:type="dxa"/>
              <w:bottom w:w="0" w:type="dxa"/>
              <w:right w:w="0" w:type="dxa"/>
            </w:tcMar>
            <w:vAlign w:val="center"/>
          </w:tcPr>
          <w:p>
            <w:pPr>
              <w:pStyle w:val="Normal"/>
              <w:bidi w:val="0"/>
              <w:jc w:val="left"/>
              <w:rPr/>
            </w:pPr>
            <w:r>
              <w:rPr/>
            </w:r>
          </w:p>
        </w:tc>
        <w:tc>
          <w:tcPr>
            <w:tcW w:w="404"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vMerge w:val="continue"/>
            <w:tcBorders/>
            <w:shd w:fill="FFFFFF" w:val="clear"/>
            <w:tcMar>
              <w:top w:w="0" w:type="dxa"/>
              <w:left w:w="0" w:type="dxa"/>
              <w:bottom w:w="0" w:type="dxa"/>
              <w:right w:w="0" w:type="dxa"/>
            </w:tcMar>
            <w:vAlign w:val="center"/>
          </w:tcPr>
          <w:p>
            <w:pPr>
              <w:pStyle w:val="Normal"/>
              <w:bidi w:val="0"/>
              <w:jc w:val="left"/>
              <w:rPr/>
            </w:pPr>
            <w:r>
              <w:rPr/>
            </w:r>
          </w:p>
        </w:tc>
        <w:tc>
          <w:tcPr>
            <w:tcW w:w="404"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vMerge w:val="continue"/>
            <w:tcBorders/>
            <w:shd w:fill="FFFFFF" w:val="clear"/>
            <w:tcMar>
              <w:top w:w="0" w:type="dxa"/>
              <w:left w:w="0" w:type="dxa"/>
              <w:bottom w:w="0" w:type="dxa"/>
              <w:right w:w="0" w:type="dxa"/>
            </w:tcMar>
            <w:vAlign w:val="center"/>
          </w:tcPr>
          <w:p>
            <w:pPr>
              <w:pStyle w:val="Normal"/>
              <w:bidi w:val="0"/>
              <w:jc w:val="left"/>
              <w:rPr/>
            </w:pPr>
            <w:r>
              <w:rPr/>
            </w:r>
          </w:p>
        </w:tc>
        <w:tc>
          <w:tcPr>
            <w:tcW w:w="379"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vMerge w:val="continue"/>
            <w:tcBorders/>
            <w:shd w:fill="FFFFFF" w:val="clear"/>
            <w:tcMar>
              <w:top w:w="0" w:type="dxa"/>
              <w:left w:w="0" w:type="dxa"/>
              <w:bottom w:w="0" w:type="dxa"/>
              <w:right w:w="0" w:type="dxa"/>
            </w:tcMar>
            <w:vAlign w:val="center"/>
          </w:tcPr>
          <w:p>
            <w:pPr>
              <w:pStyle w:val="Normal"/>
              <w:bidi w:val="0"/>
              <w:jc w:val="left"/>
              <w:rPr/>
            </w:pPr>
            <w:r>
              <w:rPr/>
            </w:r>
          </w:p>
        </w:tc>
        <w:tc>
          <w:tcPr>
            <w:tcW w:w="495" w:type="dxa"/>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7.4</w:t>
            </w: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vMerge w:val="continue"/>
            <w:tcBorders/>
            <w:shd w:fill="FFFFFF" w:val="clear"/>
            <w:tcMar>
              <w:top w:w="0" w:type="dxa"/>
              <w:left w:w="0" w:type="dxa"/>
              <w:bottom w:w="0" w:type="dxa"/>
              <w:right w:w="0" w:type="dxa"/>
            </w:tcMar>
            <w:vAlign w:val="center"/>
          </w:tcPr>
          <w:p>
            <w:pPr>
              <w:pStyle w:val="Normal"/>
              <w:bidi w:val="0"/>
              <w:jc w:val="left"/>
              <w:rPr/>
            </w:pPr>
            <w:r>
              <w:rPr/>
            </w:r>
          </w:p>
        </w:tc>
        <w:tc>
          <w:tcPr>
            <w:tcW w:w="404"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vMerge w:val="continue"/>
            <w:tcBorders/>
            <w:shd w:fill="FFFFFF" w:val="clear"/>
            <w:tcMar>
              <w:top w:w="0" w:type="dxa"/>
              <w:left w:w="0" w:type="dxa"/>
              <w:bottom w:w="0" w:type="dxa"/>
              <w:right w:w="0" w:type="dxa"/>
            </w:tcMar>
            <w:vAlign w:val="center"/>
          </w:tcPr>
          <w:p>
            <w:pPr>
              <w:pStyle w:val="Normal"/>
              <w:bidi w:val="0"/>
              <w:jc w:val="left"/>
              <w:rPr/>
            </w:pPr>
            <w:r>
              <w:rPr/>
            </w:r>
          </w:p>
        </w:tc>
        <w:tc>
          <w:tcPr>
            <w:tcW w:w="404"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vMerge w:val="continue"/>
            <w:tcBorders/>
            <w:shd w:fill="FFFFFF" w:val="clear"/>
            <w:tcMar>
              <w:top w:w="0" w:type="dxa"/>
              <w:left w:w="0" w:type="dxa"/>
              <w:bottom w:w="0" w:type="dxa"/>
              <w:right w:w="0" w:type="dxa"/>
            </w:tcMar>
            <w:vAlign w:val="center"/>
          </w:tcPr>
          <w:p>
            <w:pPr>
              <w:pStyle w:val="Normal"/>
              <w:bidi w:val="0"/>
              <w:jc w:val="left"/>
              <w:rPr/>
            </w:pPr>
            <w:r>
              <w:rPr/>
            </w:r>
          </w:p>
        </w:tc>
        <w:tc>
          <w:tcPr>
            <w:tcW w:w="379"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vMerge w:val="continue"/>
            <w:tcBorders/>
            <w:shd w:fill="FFFFFF" w:val="clear"/>
            <w:tcMar>
              <w:top w:w="0" w:type="dxa"/>
              <w:left w:w="0" w:type="dxa"/>
              <w:bottom w:w="0" w:type="dxa"/>
              <w:right w:w="0" w:type="dxa"/>
            </w:tcMar>
            <w:vAlign w:val="center"/>
          </w:tcPr>
          <w:p>
            <w:pPr>
              <w:pStyle w:val="Normal"/>
              <w:bidi w:val="0"/>
              <w:jc w:val="left"/>
              <w:rPr/>
            </w:pPr>
            <w:r>
              <w:rPr/>
            </w:r>
          </w:p>
        </w:tc>
        <w:tc>
          <w:tcPr>
            <w:tcW w:w="495" w:type="dxa"/>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8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types of investments</w:t>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101.4</w:t>
            </w: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99.0 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243.7</w:t>
            </w:r>
            <w:r>
              <w:rPr>
                <w:color w:val="000000"/>
              </w:rPr>
              <w:t> </w:t>
            </w:r>
          </w:p>
        </w:tc>
        <w:tc>
          <w:tcPr>
            <w:tcW w:w="13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100</w:t>
            </w:r>
            <w:r>
              <w:rPr>
                <w:color w:val="000000"/>
              </w:rPr>
              <w:t> </w:t>
            </w:r>
          </w:p>
        </w:tc>
        <w:tc>
          <w:tcPr>
            <w:tcW w:w="40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100</w:t>
            </w:r>
            <w:r>
              <w:rPr>
                <w:color w:val="000000"/>
              </w:rPr>
              <w:t> </w:t>
            </w:r>
          </w:p>
        </w:tc>
        <w:tc>
          <w:tcPr>
            <w:tcW w:w="40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238.5 </w:t>
            </w:r>
          </w:p>
        </w:tc>
        <w:tc>
          <w:tcPr>
            <w:tcW w:w="27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37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49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14"/>
        </w:rPr>
      </w:pPr>
      <w:r>
        <w:rPr>
          <w:rFonts w:ascii="Times New Roman;serif" w:hAnsi="Times New Roman;serif"/>
          <w:b w:val="false"/>
          <w:color w:val="000000"/>
          <w:sz w:val="14"/>
        </w:rPr>
        <w:t>(a)These categories are comprised of equity index actively and passively managed funds that track various indices such as S&amp;P 500 Composite Total Return Index, Russell 2500 Index, MSCI World Index, S&amp;P/TSX Composite Index and others. Some of these funds use a dynamic asset allocation investment strategy seeking to generate total return over time by selecting investments from among a broad range of asset classes, investing primarily through the use of derivatives.</w:t>
      </w:r>
    </w:p>
    <w:p>
      <w:pPr>
        <w:pStyle w:val="TextBody"/>
        <w:bidi w:val="0"/>
        <w:spacing w:lineRule="auto" w:line="288" w:before="0" w:after="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(b)This category seeks to duplicate the risk and return characteristics of an intermediate to a long-term fixed-income security portfolio with an approximate duration of 10 to 15 years and longer. This is achieved by using a mix of actively managed fixed income mutual funds, which invest in bonds issued by Canadian issuers, as well as Canadian-dollar denominated zero-coupon securities issued by the Canadian Federal and Provincial governments, and agencies thereof.</w:t>
      </w:r>
    </w:p>
    <w:p>
      <w:pPr>
        <w:pStyle w:val="TextBody"/>
        <w:bidi w:val="0"/>
        <w:spacing w:lineRule="auto" w:line="288" w:before="0" w:after="0"/>
        <w:ind w:left="0" w:right="0" w:hanging="360"/>
        <w:jc w:val="both"/>
        <w:rPr>
          <w:rFonts w:ascii="Times New Roman;serif" w:hAnsi="Times New Roman;serif"/>
          <w:b w:val="false"/>
          <w:color w:val="000000"/>
          <w:sz w:val="14"/>
        </w:rPr>
      </w:pPr>
      <w:r>
        <w:rPr>
          <w:rFonts w:ascii="Times New Roman;serif" w:hAnsi="Times New Roman;serif"/>
          <w:b w:val="false"/>
          <w:color w:val="000000"/>
          <w:sz w:val="14"/>
        </w:rPr>
        <w:t>(c)This category is primarily designed to generate income and exhibit volatility similar to that of the Sterling denominated bond market. This category primarily invests in investment grade or better securities.</w:t>
      </w:r>
    </w:p>
    <w:p>
      <w:pPr>
        <w:pStyle w:val="TextBody"/>
        <w:bidi w:val="0"/>
        <w:spacing w:lineRule="auto" w:line="288" w:before="0" w:after="0"/>
        <w:ind w:left="0" w:right="0" w:hanging="360"/>
        <w:jc w:val="both"/>
        <w:rPr>
          <w:rFonts w:ascii="Times New Roman;serif" w:hAnsi="Times New Roman;serif"/>
          <w:b w:val="false"/>
          <w:color w:val="000000"/>
          <w:sz w:val="14"/>
        </w:rPr>
      </w:pPr>
      <w:r>
        <w:rPr>
          <w:rFonts w:ascii="Times New Roman;serif" w:hAnsi="Times New Roman;serif"/>
          <w:b w:val="false"/>
          <w:color w:val="000000"/>
          <w:sz w:val="14"/>
        </w:rPr>
        <w:t>(d)This category consists of global high-yield bonds. This category invests in lower rated and unrated fixed income, floating rate and other debt securities issued by European and American companies.</w:t>
      </w:r>
    </w:p>
    <w:p>
      <w:pPr>
        <w:pStyle w:val="TextBody"/>
        <w:bidi w:val="0"/>
        <w:spacing w:lineRule="auto" w:line="288" w:before="0" w:after="0"/>
        <w:ind w:left="0" w:right="0" w:hanging="360"/>
        <w:jc w:val="both"/>
        <w:rPr>
          <w:rFonts w:ascii="Times New Roman;serif" w:hAnsi="Times New Roman;serif"/>
          <w:b w:val="false"/>
          <w:color w:val="000000"/>
          <w:sz w:val="14"/>
        </w:rPr>
      </w:pPr>
      <w:r>
        <w:rPr>
          <w:rFonts w:ascii="Times New Roman;serif" w:hAnsi="Times New Roman;serif"/>
          <w:b w:val="false"/>
          <w:color w:val="000000"/>
          <w:sz w:val="14"/>
        </w:rPr>
        <w:t>(e)This category consists of a diversified portfolio of debt securities issued by governments, financial institutions, companies or other entities domiciled in emerging market countries.</w:t>
      </w:r>
    </w:p>
    <w:p>
      <w:pPr>
        <w:pStyle w:val="TextBody"/>
        <w:bidi w:val="0"/>
        <w:spacing w:lineRule="auto" w:line="288" w:before="0" w:after="0"/>
        <w:ind w:left="0" w:right="0" w:hanging="360"/>
        <w:jc w:val="both"/>
        <w:rPr>
          <w:rFonts w:ascii="Times New Roman;serif" w:hAnsi="Times New Roman;serif"/>
          <w:b w:val="false"/>
          <w:color w:val="000000"/>
          <w:sz w:val="14"/>
        </w:rPr>
      </w:pPr>
      <w:r>
        <w:rPr>
          <w:rFonts w:ascii="Times New Roman;serif" w:hAnsi="Times New Roman;serif"/>
          <w:b w:val="false"/>
          <w:color w:val="000000"/>
          <w:sz w:val="14"/>
        </w:rPr>
        <w:t>(f)This category is designed to achieve a return consistent with holding longer term debt instruments. This category invests in interest rate and inflation derivatives, government-issued bonds, real-return bonds, and futures contracts.</w:t>
      </w:r>
    </w:p>
    <w:p>
      <w:pPr>
        <w:pStyle w:val="TextBody"/>
        <w:bidi w:val="0"/>
        <w:spacing w:lineRule="auto" w:line="288" w:before="0" w:after="0"/>
        <w:ind w:left="0" w:right="0" w:hanging="360"/>
        <w:jc w:val="both"/>
        <w:rPr>
          <w:rFonts w:ascii="Times New Roman;serif" w:hAnsi="Times New Roman;serif"/>
          <w:b w:val="false"/>
          <w:color w:val="000000"/>
          <w:sz w:val="14"/>
        </w:rPr>
      </w:pPr>
      <w:r>
        <w:rPr>
          <w:rFonts w:ascii="Times New Roman;serif" w:hAnsi="Times New Roman;serif"/>
          <w:b w:val="false"/>
          <w:color w:val="000000"/>
          <w:sz w:val="14"/>
        </w:rPr>
        <w:t>(g)This represents the guaranteed contract value of insurance contracts in the Netherlands pension plan.</w:t>
      </w:r>
    </w:p>
    <w:p>
      <w:pPr>
        <w:pStyle w:val="TextBody"/>
        <w:bidi w:val="0"/>
        <w:spacing w:lineRule="auto" w:line="288" w:before="0" w:after="0"/>
        <w:ind w:left="0" w:right="0" w:hanging="360"/>
        <w:jc w:val="both"/>
        <w:rPr>
          <w:rFonts w:ascii="Times New Roman;serif" w:hAnsi="Times New Roman;serif"/>
          <w:b w:val="false"/>
          <w:color w:val="000000"/>
          <w:sz w:val="14"/>
        </w:rPr>
      </w:pPr>
      <w:r>
        <w:rPr>
          <w:rFonts w:ascii="Times New Roman;serif" w:hAnsi="Times New Roman;serif"/>
          <w:b w:val="false"/>
          <w:color w:val="000000"/>
          <w:sz w:val="14"/>
        </w:rPr>
        <w:t>(h)This category offers exposure to limited partnerships invested in diversified real estate, participating mortgages, and property for development and resale.</w:t>
      </w:r>
    </w:p>
    <w:p>
      <w:pPr>
        <w:pStyle w:val="TextBody"/>
        <w:bidi w:val="0"/>
        <w:spacing w:lineRule="auto" w:line="288" w:before="0" w:after="0"/>
        <w:ind w:left="0" w:right="0" w:hanging="360"/>
        <w:jc w:val="both"/>
        <w:rPr>
          <w:rFonts w:ascii="Times New Roman;serif" w:hAnsi="Times New Roman;serif"/>
          <w:b w:val="false"/>
          <w:color w:val="000000"/>
          <w:sz w:val="14"/>
        </w:rPr>
      </w:pPr>
      <w:r>
        <w:rPr>
          <w:rFonts w:ascii="Times New Roman;serif" w:hAnsi="Times New Roman;serif"/>
          <w:b w:val="false"/>
          <w:color w:val="000000"/>
          <w:sz w:val="14"/>
        </w:rPr>
        <w:t>(i)This category is a limited partnership invested in fund of funds designed to acquire and maintain a diversified portfolio of global infrastructure investments (within targeted sub-sectors with varied maturities) that realizes a minimum of 10% annual return over a three-year rolling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Asset allocation strategies for our non-U.S. plans are designed to accumulate a diversified portfolio among markets and asset classes in order to reduce market risk and increase the likelihood that pension assets are available to pay benefits as they are due. Assets of non-U.S. pension plans are invested primarily using actively managed accounts. The weighted-average asset allocation targets are listed in the table above,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31445"/>
                <wp:effectExtent l="0" t="0" r="0" b="0"/>
                <wp:wrapNone/>
                <wp:docPr id="88" name="Frame8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reflect limitations on types of investments held and allocations among asset classes, as required by local regulation or market practice of the country where the assets are invested. Most of the investments of our non-U.S. retirement plans can be redeemed at least monthly, except for a portion of “Other” in the above table, which can be redeemed quarterly.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Non-U.S. Plans - Fair Value Measurements</w:t>
      </w:r>
    </w:p>
    <w:tbl>
      <w:tblPr>
        <w:tblW w:w="7749" w:type="dxa"/>
        <w:jc w:val="center"/>
        <w:tblInd w:w="0" w:type="dxa"/>
        <w:tblLayout w:type="fixed"/>
        <w:tblCellMar>
          <w:top w:w="28" w:type="dxa"/>
          <w:left w:w="28" w:type="dxa"/>
          <w:bottom w:w="28" w:type="dxa"/>
          <w:right w:w="28" w:type="dxa"/>
        </w:tblCellMar>
      </w:tblPr>
      <w:tblGrid>
        <w:gridCol w:w="1583"/>
        <w:gridCol w:w="1396"/>
        <w:gridCol w:w="1400"/>
        <w:gridCol w:w="335"/>
        <w:gridCol w:w="978"/>
        <w:gridCol w:w="186"/>
        <w:gridCol w:w="109"/>
        <w:gridCol w:w="109"/>
        <w:gridCol w:w="109"/>
        <w:gridCol w:w="452"/>
        <w:gridCol w:w="452"/>
        <w:gridCol w:w="640"/>
      </w:tblGrid>
      <w:tr>
        <w:trPr/>
        <w:tc>
          <w:tcPr>
            <w:tcW w:w="1583"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2024</w:t>
            </w:r>
          </w:p>
        </w:tc>
      </w:tr>
      <w:tr>
        <w:trPr/>
        <w:tc>
          <w:tcPr>
            <w:tcW w:w="43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Quoted prices in active markets for identical assets (Level 1)</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111.3</w:t>
            </w: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Significant other observable inputs (Level 2)</w:t>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23.7</w:t>
            </w: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Guaranteed contract value (Level 3)</w:t>
            </w:r>
            <w:r>
              <w:rPr>
                <w:rFonts w:ascii="Times New Roman;serif" w:hAnsi="Times New Roman;serif"/>
                <w:b w:val="false"/>
                <w:color w:val="000000"/>
                <w:sz w:val="12"/>
              </w:rPr>
              <w:t>(a)</w:t>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79.1</w:t>
            </w: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77.9 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insurance contract value (Level 3)</w:t>
            </w:r>
            <w:r>
              <w:rPr>
                <w:rFonts w:ascii="Times New Roman;serif" w:hAnsi="Times New Roman;serif"/>
                <w:b w:val="false"/>
                <w:color w:val="000000"/>
                <w:sz w:val="12"/>
              </w:rPr>
              <w:t>(b)</w:t>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3.8</w:t>
            </w: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asset value per share practical expedient</w:t>
            </w:r>
            <w:r>
              <w:rPr>
                <w:rFonts w:ascii="Times New Roman;serif" w:hAnsi="Times New Roman;serif"/>
                <w:b w:val="false"/>
                <w:color w:val="000000"/>
                <w:sz w:val="12"/>
              </w:rPr>
              <w:t>(c)</w:t>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25.8</w:t>
            </w: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fair value</w:t>
            </w:r>
          </w:p>
        </w:tc>
        <w:tc>
          <w:tcPr>
            <w:tcW w:w="33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7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243.7</w:t>
            </w:r>
            <w:r>
              <w:rPr>
                <w:color w:val="000000"/>
              </w:rPr>
              <w:t> </w:t>
            </w:r>
          </w:p>
        </w:tc>
        <w:tc>
          <w:tcPr>
            <w:tcW w:w="1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238.5 </w:t>
            </w:r>
          </w:p>
        </w:tc>
        <w:tc>
          <w:tcPr>
            <w:tcW w:w="64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(a)In 2020, we acquired operations in the Netherlands as part of the U.K.-based G4S plc ("G4S") acquisition. As a result, we acquired insurance contract assets related to the Netherlands pension plan. These investments are valued at the highest value available at year end, either the reported cash surrender value of the contract or the vested benefit obligation ("VBO"). The VBO for a defined benefit pension plan is the actuarial present value of the vested benefits to which the employee is currently entitled but based on the employee's expected date of separation or retirement. Both the cash surrender value and the VBO are determined based on unobservable inputs, which are contractually or actuarially determined, regarding returns, fees, the present value of the future cash flows of the contract and benefit obligations. The contract is classified as a Level 3 investment.</w:t>
      </w:r>
    </w:p>
    <w:p>
      <w:pPr>
        <w:pStyle w:val="TextBody"/>
        <w:bidi w:val="0"/>
        <w:spacing w:lineRule="auto" w:line="288" w:before="0" w:after="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 xml:space="preserve">(b)In 2021, our Belgium plans invested in a traditional group insurance policy, where assets are invested in the insurers' main fund with a minimum guaranteed rate. The contracts are valued based on the weighted average return of each individual insured contract. The contract value is determined based on unobservable inputs. The contract is classified as a Level 3 investment. </w:t>
      </w:r>
    </w:p>
    <w:p>
      <w:pPr>
        <w:pStyle w:val="TextBody"/>
        <w:bidi w:val="0"/>
        <w:spacing w:lineRule="auto" w:line="288" w:before="0" w:after="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(c)In accordance with ASC Subtopic 820-10, certain investments that are measured at fair value using the net asset value per share (or its equivalent) practical expedient have not been classified in the fair value hierarchy. The fair value amounts presented in this table are intended to permit reconciliation of the fair value hierarchy to the amounts presented in the consolidated balance sheets.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Savings Plans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sponsor various defined contribution plans to help eligible employees provide for retirement. We record expense for amounts that we contribute on behalf of employees, usually in the form of matching contributions. We matched the first 2% of employees' eligible contributions to our U.S. 401(k) plan. Our matching contribution expense is as follows:</w:t>
      </w:r>
    </w:p>
    <w:tbl>
      <w:tblPr>
        <w:tblW w:w="4811" w:type="dxa"/>
        <w:jc w:val="left"/>
        <w:tblInd w:w="0" w:type="dxa"/>
        <w:tblLayout w:type="fixed"/>
        <w:tblCellMar>
          <w:top w:w="28" w:type="dxa"/>
          <w:left w:w="28" w:type="dxa"/>
          <w:bottom w:w="28" w:type="dxa"/>
          <w:right w:w="28" w:type="dxa"/>
        </w:tblCellMar>
      </w:tblPr>
      <w:tblGrid>
        <w:gridCol w:w="748"/>
        <w:gridCol w:w="660"/>
        <w:gridCol w:w="662"/>
        <w:gridCol w:w="196"/>
        <w:gridCol w:w="481"/>
        <w:gridCol w:w="109"/>
        <w:gridCol w:w="109"/>
        <w:gridCol w:w="109"/>
        <w:gridCol w:w="109"/>
        <w:gridCol w:w="233"/>
        <w:gridCol w:w="233"/>
        <w:gridCol w:w="156"/>
        <w:gridCol w:w="109"/>
        <w:gridCol w:w="109"/>
        <w:gridCol w:w="109"/>
        <w:gridCol w:w="233"/>
        <w:gridCol w:w="233"/>
        <w:gridCol w:w="213"/>
      </w:tblGrid>
      <w:tr>
        <w:trPr/>
        <w:tc>
          <w:tcPr>
            <w:tcW w:w="748"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Years Ended December 31,</w:t>
            </w:r>
          </w:p>
        </w:tc>
        <w:tc>
          <w:tcPr>
            <w:tcW w:w="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2023</w:t>
            </w:r>
          </w:p>
        </w:tc>
      </w:tr>
      <w:tr>
        <w:trPr/>
        <w:tc>
          <w:tcPr>
            <w:tcW w:w="2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U.S. 401(k)</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plans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22.9</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23.2 </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2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31445"/>
                <wp:effectExtent l="0" t="0" r="0" b="0"/>
                <wp:wrapNone/>
                <wp:docPr id="89" name="Frame8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 xml:space="preserve">Note 5 - Income Taxes </w:t>
      </w:r>
    </w:p>
    <w:tbl>
      <w:tblPr>
        <w:tblW w:w="7840" w:type="dxa"/>
        <w:jc w:val="left"/>
        <w:tblInd w:w="0" w:type="dxa"/>
        <w:tblLayout w:type="fixed"/>
        <w:tblCellMar>
          <w:top w:w="28" w:type="dxa"/>
          <w:left w:w="28" w:type="dxa"/>
          <w:bottom w:w="28" w:type="dxa"/>
          <w:right w:w="28" w:type="dxa"/>
        </w:tblCellMar>
      </w:tblPr>
      <w:tblGrid>
        <w:gridCol w:w="1746"/>
        <w:gridCol w:w="1539"/>
        <w:gridCol w:w="1544"/>
        <w:gridCol w:w="196"/>
        <w:gridCol w:w="571"/>
        <w:gridCol w:w="109"/>
        <w:gridCol w:w="109"/>
        <w:gridCol w:w="109"/>
        <w:gridCol w:w="109"/>
        <w:gridCol w:w="277"/>
        <w:gridCol w:w="279"/>
        <w:gridCol w:w="156"/>
        <w:gridCol w:w="109"/>
        <w:gridCol w:w="109"/>
        <w:gridCol w:w="109"/>
        <w:gridCol w:w="278"/>
        <w:gridCol w:w="278"/>
        <w:gridCol w:w="213"/>
      </w:tblGrid>
      <w:tr>
        <w:trPr/>
        <w:tc>
          <w:tcPr>
            <w:tcW w:w="1746"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01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Years Ended December 31,</w:t>
            </w:r>
          </w:p>
        </w:tc>
      </w:tr>
      <w:tr>
        <w:trPr/>
        <w:tc>
          <w:tcPr>
            <w:tcW w:w="48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8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2023</w:t>
            </w:r>
          </w:p>
        </w:tc>
      </w:tr>
      <w:tr>
        <w:trPr/>
        <w:tc>
          <w:tcPr>
            <w:tcW w:w="48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(loss) from continuing operations before income taxes</w:t>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continuing operations before income taxes</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353.9</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266.3 </w:t>
            </w:r>
          </w:p>
        </w:tc>
        <w:tc>
          <w:tcPr>
            <w:tcW w:w="1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235.8 </w:t>
            </w:r>
          </w:p>
        </w:tc>
        <w:tc>
          <w:tcPr>
            <w:tcW w:w="2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870" w:type="dxa"/>
        <w:jc w:val="left"/>
        <w:tblInd w:w="0" w:type="dxa"/>
        <w:tblLayout w:type="fixed"/>
        <w:tblCellMar>
          <w:top w:w="28" w:type="dxa"/>
          <w:left w:w="28" w:type="dxa"/>
          <w:bottom w:w="28" w:type="dxa"/>
          <w:right w:w="28" w:type="dxa"/>
        </w:tblCellMar>
      </w:tblPr>
      <w:tblGrid>
        <w:gridCol w:w="1795"/>
        <w:gridCol w:w="1580"/>
        <w:gridCol w:w="1590"/>
        <w:gridCol w:w="196"/>
        <w:gridCol w:w="571"/>
        <w:gridCol w:w="109"/>
        <w:gridCol w:w="109"/>
        <w:gridCol w:w="109"/>
        <w:gridCol w:w="109"/>
        <w:gridCol w:w="278"/>
        <w:gridCol w:w="278"/>
        <w:gridCol w:w="109"/>
        <w:gridCol w:w="109"/>
        <w:gridCol w:w="109"/>
        <w:gridCol w:w="109"/>
        <w:gridCol w:w="278"/>
        <w:gridCol w:w="278"/>
        <w:gridCol w:w="154"/>
      </w:tblGrid>
      <w:tr>
        <w:trPr/>
        <w:tc>
          <w:tcPr>
            <w:tcW w:w="1795"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Provision (benefit) for income taxes from continuing operations</w:t>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Current tax expense (benefit)</w:t>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federal</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State</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tax expense</w:t>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122.0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Deferred tax expense (benefit)</w:t>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federal</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State</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expense (benefit)</w:t>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8"/>
              </w:rPr>
            </w:pPr>
            <w:r>
              <w:rPr>
                <w:rFonts w:ascii="Times New Roman;serif" w:hAnsi="Times New Roman;serif"/>
                <w:b/>
                <w:i/>
                <w:color w:val="000000"/>
                <w:sz w:val="18"/>
              </w:rPr>
              <w:t>Total Income tax expense (benefit)</w:t>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federal</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State</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 of continuing operations</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143.3</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139.2 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975" w:type="dxa"/>
        <w:jc w:val="left"/>
        <w:tblInd w:w="0" w:type="dxa"/>
        <w:tblLayout w:type="fixed"/>
        <w:tblCellMar>
          <w:top w:w="28" w:type="dxa"/>
          <w:left w:w="28" w:type="dxa"/>
          <w:bottom w:w="28" w:type="dxa"/>
          <w:right w:w="28" w:type="dxa"/>
        </w:tblCellMar>
      </w:tblPr>
      <w:tblGrid>
        <w:gridCol w:w="1793"/>
        <w:gridCol w:w="1578"/>
        <w:gridCol w:w="1593"/>
        <w:gridCol w:w="196"/>
        <w:gridCol w:w="571"/>
        <w:gridCol w:w="109"/>
        <w:gridCol w:w="109"/>
        <w:gridCol w:w="109"/>
        <w:gridCol w:w="109"/>
        <w:gridCol w:w="278"/>
        <w:gridCol w:w="278"/>
        <w:gridCol w:w="156"/>
        <w:gridCol w:w="109"/>
        <w:gridCol w:w="109"/>
        <w:gridCol w:w="109"/>
        <w:gridCol w:w="278"/>
        <w:gridCol w:w="278"/>
        <w:gridCol w:w="213"/>
      </w:tblGrid>
      <w:tr>
        <w:trPr/>
        <w:tc>
          <w:tcPr>
            <w:tcW w:w="1793"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01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Years Ended December 31,</w:t>
            </w:r>
          </w:p>
        </w:tc>
      </w:tr>
      <w:tr>
        <w:trPr/>
        <w:tc>
          <w:tcPr>
            <w:tcW w:w="49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8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2023</w:t>
            </w:r>
          </w:p>
        </w:tc>
      </w:tr>
      <w:tr>
        <w:trPr/>
        <w:tc>
          <w:tcPr>
            <w:tcW w:w="49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Comprehensive provision (benefit) for income taxes allocable to</w:t>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Continuing operations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Discontinued operations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r>
      <w:tr>
        <w:trPr/>
        <w:tc>
          <w:tcPr>
            <w:tcW w:w="496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provision for income taxes</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130.2</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105.1 </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135.2 </w:t>
            </w:r>
          </w:p>
        </w:tc>
        <w:tc>
          <w:tcPr>
            <w:tcW w:w="2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31445"/>
                <wp:effectExtent l="0" t="0" r="0" b="0"/>
                <wp:wrapNone/>
                <wp:docPr id="90" name="Frame8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Rate Reconciliation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table reconciles the difference between the actual tax rate on continuing operations and the statutory U.S. federal income tax rate of 21% for 2025.</w:t>
      </w:r>
    </w:p>
    <w:p>
      <w:pPr>
        <w:pStyle w:val="TextBody"/>
        <w:bidi w:val="0"/>
        <w:spacing w:before="0" w:after="0"/>
        <w:jc w:val="left"/>
        <w:rPr/>
      </w:pPr>
      <w:r>
        <w:rPr/>
      </w:r>
    </w:p>
    <w:tbl>
      <w:tblPr>
        <w:tblW w:w="6855" w:type="dxa"/>
        <w:jc w:val="left"/>
        <w:tblInd w:w="0" w:type="dxa"/>
        <w:tblLayout w:type="fixed"/>
        <w:tblCellMar>
          <w:top w:w="28" w:type="dxa"/>
          <w:left w:w="28" w:type="dxa"/>
          <w:bottom w:w="28" w:type="dxa"/>
          <w:right w:w="28" w:type="dxa"/>
        </w:tblCellMar>
      </w:tblPr>
      <w:tblGrid>
        <w:gridCol w:w="1686"/>
        <w:gridCol w:w="1487"/>
        <w:gridCol w:w="1491"/>
        <w:gridCol w:w="281"/>
        <w:gridCol w:w="798"/>
        <w:gridCol w:w="156"/>
        <w:gridCol w:w="240"/>
        <w:gridCol w:w="241"/>
        <w:gridCol w:w="475"/>
      </w:tblGrid>
      <w:tr>
        <w:trPr/>
        <w:tc>
          <w:tcPr>
            <w:tcW w:w="1686"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19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Year Ended December 31,</w:t>
            </w:r>
          </w:p>
        </w:tc>
      </w:tr>
      <w:tr>
        <w:trPr/>
        <w:tc>
          <w:tcPr>
            <w:tcW w:w="46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percentages)</w:t>
            </w:r>
          </w:p>
        </w:tc>
        <w:tc>
          <w:tcPr>
            <w:tcW w:w="2191"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6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Amount</w:t>
            </w:r>
          </w:p>
        </w:tc>
        <w:tc>
          <w:tcPr>
            <w:tcW w:w="9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Percent</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U.S. Federal Statutory Income Tax Rate</w:t>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74.3</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21.0</w:t>
            </w:r>
            <w:r>
              <w:rPr>
                <w:color w:val="000000"/>
              </w:rPr>
              <w:t> </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State and local tax effects</w:t>
            </w:r>
            <w:r>
              <w:rPr>
                <w:rFonts w:ascii="Times New Roman;serif" w:hAnsi="Times New Roman;serif"/>
                <w:b w:val="false"/>
                <w:color w:val="000000"/>
                <w:sz w:val="18"/>
              </w:rPr>
              <w:t>, (net of federal income tax effects)</w:t>
            </w:r>
            <w:r>
              <w:rPr>
                <w:rFonts w:ascii="Times New Roman;serif" w:hAnsi="Times New Roman;serif"/>
                <w:b w:val="false"/>
                <w:color w:val="000000"/>
                <w:sz w:val="12"/>
              </w:rPr>
              <w:t>(a)</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Domestic Federal</w:t>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credits</w:t>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Foreign tax credits</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Others</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Changes in federal valuation allowances </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Effect of cross-border tax laws </w:t>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Global intangible low-taxed income (net of foreign tax credits)</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Foreign derived intangible income</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Nontaxable or nondeductible items </w:t>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8"/>
              </w:rPr>
              <w:t xml:space="preserve">Nondeductible officer compensation </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8"/>
              </w:rPr>
              <w:t>Excess tax benefits on share-based payments</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Other </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reconciling items</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Worldwide </w:t>
            </w:r>
            <w:r>
              <w:rPr>
                <w:rFonts w:ascii="Times New Roman;serif" w:hAnsi="Times New Roman;serif"/>
                <w:b w:val="false"/>
                <w:color w:val="000000"/>
                <w:sz w:val="18"/>
              </w:rPr>
              <w:t xml:space="preserve">- changes in unrecognized tax benefits </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Foreign Tax Effects</w:t>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Argentina</w:t>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Foreign rate differential</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Deductible inflation adjustment</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Non-deductible hyperinflationary adjustments</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Withholding taxes</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Brazil</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France</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Mexico</w:t>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Foreign rate differential</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Non-deductible employee cost</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non-deductible expenses</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Withholding taxes</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Netherlands</w:t>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Exchange gain</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Change in valuation allowances</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foreign jurisdictions</w:t>
            </w:r>
            <w:r>
              <w:rPr>
                <w:rFonts w:ascii="Times New Roman;serif" w:hAnsi="Times New Roman;serif"/>
                <w:b w:val="false"/>
                <w:color w:val="000000"/>
                <w:sz w:val="12"/>
              </w:rPr>
              <w:t>(b)</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Effective Tax Rate</w:t>
            </w:r>
          </w:p>
        </w:tc>
        <w:tc>
          <w:tcPr>
            <w:tcW w:w="2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143.3 </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40.5 </w:t>
            </w:r>
          </w:p>
        </w:tc>
        <w:tc>
          <w:tcPr>
            <w:tcW w:w="47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(a)State taxes in Texas, California, and the state and city of New York make up greater than 50% of the tax effects in this category.</w:t>
      </w:r>
    </w:p>
    <w:p>
      <w:pPr>
        <w:pStyle w:val="TextBody"/>
        <w:bidi w:val="0"/>
        <w:spacing w:lineRule="auto" w:line="288" w:before="0" w:after="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(b)No other foreign jurisdiction contributes a reconciling tax effect item of greater than 5% of pretax income at the U.S. Federal statutory rate.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31445"/>
                <wp:effectExtent l="0" t="0" r="0" b="0"/>
                <wp:wrapNone/>
                <wp:docPr id="91" name="Frame9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table reconciles the difference between the actual tax rate on continuing operations and the statutory U.S. federal income tax rate of 21% for 2025, 2024 and 2023.</w:t>
      </w:r>
    </w:p>
    <w:tbl>
      <w:tblPr>
        <w:tblW w:w="6405" w:type="dxa"/>
        <w:jc w:val="left"/>
        <w:tblInd w:w="0" w:type="dxa"/>
        <w:tblLayout w:type="fixed"/>
        <w:tblCellMar>
          <w:top w:w="28" w:type="dxa"/>
          <w:left w:w="28" w:type="dxa"/>
          <w:bottom w:w="28" w:type="dxa"/>
          <w:right w:w="28" w:type="dxa"/>
        </w:tblCellMar>
      </w:tblPr>
      <w:tblGrid>
        <w:gridCol w:w="1263"/>
        <w:gridCol w:w="1115"/>
        <w:gridCol w:w="1117"/>
        <w:gridCol w:w="240"/>
        <w:gridCol w:w="241"/>
        <w:gridCol w:w="286"/>
        <w:gridCol w:w="109"/>
        <w:gridCol w:w="109"/>
        <w:gridCol w:w="109"/>
        <w:gridCol w:w="233"/>
        <w:gridCol w:w="233"/>
        <w:gridCol w:w="256"/>
        <w:gridCol w:w="109"/>
        <w:gridCol w:w="109"/>
        <w:gridCol w:w="109"/>
        <w:gridCol w:w="233"/>
        <w:gridCol w:w="233"/>
        <w:gridCol w:w="301"/>
      </w:tblGrid>
      <w:tr>
        <w:trPr/>
        <w:tc>
          <w:tcPr>
            <w:tcW w:w="1263"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91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Years Ended December 31,</w:t>
            </w:r>
          </w:p>
        </w:tc>
      </w:tr>
      <w:tr>
        <w:trPr/>
        <w:tc>
          <w:tcPr>
            <w:tcW w:w="34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percentages)</w:t>
            </w:r>
          </w:p>
        </w:tc>
        <w:tc>
          <w:tcPr>
            <w:tcW w:w="7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2023</w:t>
            </w:r>
          </w:p>
        </w:tc>
      </w:tr>
      <w:tr>
        <w:trPr/>
        <w:tc>
          <w:tcPr>
            <w:tcW w:w="34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federal tax rate</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21.0</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Increases (reductions) in taxes due to:</w:t>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rate differential</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4.0</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on cross border income, net of credits</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valuation allowances</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income taxes</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5.7</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French business tax</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0.3</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State income taxes, net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0.6</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costs</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0.1</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Nondeductible fines and penalties</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0.1</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w:t>
            </w:r>
            <w:r>
              <w:rPr>
                <w:rFonts w:ascii="Times New Roman;serif" w:hAnsi="Times New Roman;serif"/>
                <w:b w:val="false"/>
                <w:color w:val="000000"/>
                <w:sz w:val="12"/>
              </w:rPr>
              <w:t>(a)</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0.7</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Actual income tax rate on continuing operations</w:t>
            </w:r>
          </w:p>
        </w:tc>
        <w:tc>
          <w:tcPr>
            <w:tcW w:w="48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40.5</w:t>
            </w:r>
            <w:r>
              <w:rPr>
                <w:color w:val="000000"/>
              </w:rPr>
              <w:t> </w:t>
            </w:r>
          </w:p>
        </w:tc>
        <w:tc>
          <w:tcPr>
            <w:tcW w:w="2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34.8 </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59.0 </w:t>
            </w:r>
          </w:p>
        </w:tc>
        <w:tc>
          <w:tcPr>
            <w:tcW w:w="3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(a)No individual item is above a 5% threshold.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Components of Deferred Tax Assets and Liabilities</w:t>
      </w:r>
    </w:p>
    <w:tbl>
      <w:tblPr>
        <w:tblW w:w="5630" w:type="dxa"/>
        <w:jc w:val="left"/>
        <w:tblInd w:w="0" w:type="dxa"/>
        <w:tblLayout w:type="fixed"/>
        <w:tblCellMar>
          <w:top w:w="28" w:type="dxa"/>
          <w:left w:w="28" w:type="dxa"/>
          <w:bottom w:w="28" w:type="dxa"/>
          <w:right w:w="28" w:type="dxa"/>
        </w:tblCellMar>
      </w:tblPr>
      <w:tblGrid>
        <w:gridCol w:w="1296"/>
        <w:gridCol w:w="1143"/>
        <w:gridCol w:w="1145"/>
        <w:gridCol w:w="196"/>
        <w:gridCol w:w="571"/>
        <w:gridCol w:w="109"/>
        <w:gridCol w:w="109"/>
        <w:gridCol w:w="109"/>
        <w:gridCol w:w="109"/>
        <w:gridCol w:w="314"/>
        <w:gridCol w:w="316"/>
        <w:gridCol w:w="213"/>
      </w:tblGrid>
      <w:tr>
        <w:trPr/>
        <w:tc>
          <w:tcPr>
            <w:tcW w:w="1296"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0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w:t>
            </w:r>
          </w:p>
        </w:tc>
      </w:tr>
      <w:tr>
        <w:trPr/>
        <w:tc>
          <w:tcPr>
            <w:tcW w:w="35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8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r>
      <w:tr>
        <w:trPr/>
        <w:tc>
          <w:tcPr>
            <w:tcW w:w="35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Deferred tax assets</w:t>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Pension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Retirement benefits other than pensions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liabilities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Workers’ compensation and other claims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 and liabilities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109.3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operating loss carryforwards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Interest limitations and other tax carryforwards</w:t>
            </w:r>
            <w:r>
              <w:rPr>
                <w:rFonts w:ascii="Times New Roman;serif" w:hAnsi="Times New Roman;serif"/>
                <w:b w:val="false"/>
                <w:color w:val="000000"/>
                <w:sz w:val="12"/>
              </w:rPr>
              <w:t>(a)</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Foreign tax and other tax credits</w:t>
            </w:r>
            <w:r>
              <w:rPr>
                <w:rFonts w:ascii="Times New Roman;serif" w:hAnsi="Times New Roman;serif"/>
                <w:b w:val="false"/>
                <w:color w:val="000000"/>
                <w:sz w:val="12"/>
              </w:rPr>
              <w:t>(b)</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Subtotal</w:t>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553.1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518.7 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Valuation allowances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deferred tax assets</w:t>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416.6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400.6 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Deferred tax liabilities</w:t>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 net</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107.2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and other intangibles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107.9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 and miscellaneous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w:t>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245.8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224.2 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deferred tax asset</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170.8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176.4 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Included in:</w:t>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assets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237.3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liabilities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deferred tax asset</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170.8</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176.4 </w:t>
            </w:r>
          </w:p>
        </w:tc>
        <w:tc>
          <w:tcPr>
            <w:tcW w:w="2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(a)U.S. interest limitation carryforward of $63.8 million has an unlimited carryforward and is not subject to a valuation allowance. In addition, foreign interest limitation and other tax carryforwards of $37.2 million have an unlimited carryforward and are subject to a full valuation allowance.</w:t>
      </w:r>
    </w:p>
    <w:p>
      <w:pPr>
        <w:pStyle w:val="TextBody"/>
        <w:bidi w:val="0"/>
        <w:spacing w:lineRule="auto" w:line="288" w:before="0" w:after="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(b)U.S. foreign tax credits of $50.3 million expire in various years between 2025 and 2033 and other remaining credits of $1.3 million have various expiration periods. The U.S. foreign tax credits and other credits have a valuation allowance of $50.3 million.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Valuation Allowances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Valuation allowances relate to deferred tax assets for certain federal credit carryforwards, certain state and non-U.S. jurisdictions. Based on our analysis of positive and negative evidence including historical and expected future taxable earnings, and a consideration of available tax-planning strategies, we believe it is more-likely-than-not that we will realize the benefit of the existing deferred tax assets, net of valuation allowances, at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31445"/>
                <wp:effectExtent l="0" t="0" r="0" b="0"/>
                <wp:wrapNone/>
                <wp:docPr id="92" name="Frame9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89</w:t>
                      </w:r>
                    </w:p>
                  </w:txbxContent>
                </v:textbox>
                <w10:wrap type="none"/>
              </v:rect>
            </w:pict>
          </mc:Fallback>
        </mc:AlternateContent>
      </w:r>
    </w:p>
    <w:p>
      <w:pPr>
        <w:pStyle w:val="TextBody"/>
        <w:bidi w:val="0"/>
        <w:spacing w:before="0" w:after="0"/>
        <w:jc w:val="left"/>
        <w:rPr/>
      </w:pPr>
      <w:r>
        <w:rPr/>
      </w:r>
    </w:p>
    <w:tbl>
      <w:tblPr>
        <w:tblW w:w="6566" w:type="dxa"/>
        <w:jc w:val="left"/>
        <w:tblInd w:w="0" w:type="dxa"/>
        <w:tblLayout w:type="fixed"/>
        <w:tblCellMar>
          <w:top w:w="28" w:type="dxa"/>
          <w:left w:w="28" w:type="dxa"/>
          <w:bottom w:w="28" w:type="dxa"/>
          <w:right w:w="28" w:type="dxa"/>
        </w:tblCellMar>
      </w:tblPr>
      <w:tblGrid>
        <w:gridCol w:w="1286"/>
        <w:gridCol w:w="1132"/>
        <w:gridCol w:w="1137"/>
        <w:gridCol w:w="196"/>
        <w:gridCol w:w="571"/>
        <w:gridCol w:w="109"/>
        <w:gridCol w:w="109"/>
        <w:gridCol w:w="109"/>
        <w:gridCol w:w="109"/>
        <w:gridCol w:w="278"/>
        <w:gridCol w:w="278"/>
        <w:gridCol w:w="156"/>
        <w:gridCol w:w="109"/>
        <w:gridCol w:w="109"/>
        <w:gridCol w:w="109"/>
        <w:gridCol w:w="278"/>
        <w:gridCol w:w="278"/>
        <w:gridCol w:w="213"/>
      </w:tblGrid>
      <w:tr>
        <w:trPr/>
        <w:tc>
          <w:tcPr>
            <w:tcW w:w="1286"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01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Years Ended December 31,</w:t>
            </w:r>
          </w:p>
        </w:tc>
      </w:tr>
      <w:tr>
        <w:trPr/>
        <w:tc>
          <w:tcPr>
            <w:tcW w:w="35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8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2023</w:t>
            </w:r>
          </w:p>
        </w:tc>
      </w:tr>
      <w:tr>
        <w:trPr/>
        <w:tc>
          <w:tcPr>
            <w:tcW w:w="35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Valuation allowances:</w:t>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of year</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118.1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Expiring tax credits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 and dispositions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Changes in judgment about deferred tax assets</w:t>
            </w:r>
            <w:r>
              <w:rPr>
                <w:rFonts w:ascii="Times New Roman;serif" w:hAnsi="Times New Roman;serif"/>
                <w:b w:val="false"/>
                <w:color w:val="000000"/>
                <w:sz w:val="12"/>
              </w:rPr>
              <w:t>(a)</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changes in deferred tax assets, charged to:</w:t>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continuing operations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exchange effects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 of year</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136.5</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118.1 </w:t>
            </w:r>
          </w:p>
        </w:tc>
        <w:tc>
          <w:tcPr>
            <w:tcW w:w="1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128.0 </w:t>
            </w:r>
          </w:p>
        </w:tc>
        <w:tc>
          <w:tcPr>
            <w:tcW w:w="2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(a)Changes in judgment about valuation allowances are based on a recognition threshold of “more-likely-than-not” of realizing beginning-of-year balances of deferred tax assets. Amounts are recognized in income from continuing operations. The 2023 change in judgment includes the impact of Internal Revenue Notices which provide relief for foreign taxes paid in any taxable year beginning on or after December 28, 2021, and ending before the date that a notice or other guidance withdrawing or modifying the temporary relief is issued (or any later date specified in such notice or other guidance). We determined a significant amount of the post-2021 foreign withholding taxes will now be eligible for U.S. foreign income tax credit treatment and therefore our U.S. operations will annually be generating new foreign tax credits which should be creditable in the year generated. The 2025 change in judgment includes the impact of the One Big Beautiful Bill Act which included modifications to the U.S. taxation of worldwide income among other changes. As a result, we no longer expect to be able to utilize a substantial amount of our foreign tax credit carryforwards to offset the future tax prior to their expiration.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Net Operating Losses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gross amount of the net operating loss carryforwards as of December 31, 2025, was $434.0 million. The tax benefit of net operating loss carryforwards, before valuation allowances, as of December 31, 2025, was $63.0 million, and expires as follows:</w:t>
      </w:r>
    </w:p>
    <w:tbl>
      <w:tblPr>
        <w:tblW w:w="5265" w:type="dxa"/>
        <w:jc w:val="left"/>
        <w:tblInd w:w="0" w:type="dxa"/>
        <w:tblLayout w:type="fixed"/>
        <w:tblCellMar>
          <w:top w:w="28" w:type="dxa"/>
          <w:left w:w="28" w:type="dxa"/>
          <w:bottom w:w="28" w:type="dxa"/>
          <w:right w:w="28" w:type="dxa"/>
        </w:tblCellMar>
      </w:tblPr>
      <w:tblGrid>
        <w:gridCol w:w="575"/>
        <w:gridCol w:w="507"/>
        <w:gridCol w:w="508"/>
        <w:gridCol w:w="196"/>
        <w:gridCol w:w="406"/>
        <w:gridCol w:w="109"/>
        <w:gridCol w:w="109"/>
        <w:gridCol w:w="109"/>
        <w:gridCol w:w="109"/>
        <w:gridCol w:w="233"/>
        <w:gridCol w:w="233"/>
        <w:gridCol w:w="151"/>
        <w:gridCol w:w="109"/>
        <w:gridCol w:w="109"/>
        <w:gridCol w:w="109"/>
        <w:gridCol w:w="233"/>
        <w:gridCol w:w="233"/>
        <w:gridCol w:w="221"/>
        <w:gridCol w:w="109"/>
        <w:gridCol w:w="109"/>
        <w:gridCol w:w="109"/>
        <w:gridCol w:w="233"/>
        <w:gridCol w:w="233"/>
        <w:gridCol w:w="213"/>
      </w:tblGrid>
      <w:tr>
        <w:trPr/>
        <w:tc>
          <w:tcPr>
            <w:tcW w:w="575"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Federal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Foreign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Years of expiration</w:t>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8"/>
              </w:rPr>
              <w:t>2026-2030</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2031-2035</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2036 and thereafter</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Unlimited</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1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50.9 </w:t>
            </w:r>
          </w:p>
        </w:tc>
        <w:tc>
          <w:tcPr>
            <w:tcW w:w="2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63.0 </w:t>
            </w:r>
          </w:p>
        </w:tc>
        <w:tc>
          <w:tcPr>
            <w:tcW w:w="2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Uncertain Tax Positions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 reconciliation of the beginning and ending amount of unrecognized tax benefits is as follows:</w:t>
      </w:r>
    </w:p>
    <w:tbl>
      <w:tblPr>
        <w:tblW w:w="6146" w:type="dxa"/>
        <w:jc w:val="left"/>
        <w:tblInd w:w="0" w:type="dxa"/>
        <w:tblLayout w:type="fixed"/>
        <w:tblCellMar>
          <w:top w:w="28" w:type="dxa"/>
          <w:left w:w="28" w:type="dxa"/>
          <w:bottom w:w="28" w:type="dxa"/>
          <w:right w:w="28" w:type="dxa"/>
        </w:tblCellMar>
      </w:tblPr>
      <w:tblGrid>
        <w:gridCol w:w="1231"/>
        <w:gridCol w:w="1086"/>
        <w:gridCol w:w="1088"/>
        <w:gridCol w:w="196"/>
        <w:gridCol w:w="481"/>
        <w:gridCol w:w="109"/>
        <w:gridCol w:w="109"/>
        <w:gridCol w:w="109"/>
        <w:gridCol w:w="109"/>
        <w:gridCol w:w="233"/>
        <w:gridCol w:w="233"/>
        <w:gridCol w:w="156"/>
        <w:gridCol w:w="109"/>
        <w:gridCol w:w="109"/>
        <w:gridCol w:w="109"/>
        <w:gridCol w:w="233"/>
        <w:gridCol w:w="233"/>
        <w:gridCol w:w="213"/>
      </w:tblGrid>
      <w:tr>
        <w:trPr/>
        <w:tc>
          <w:tcPr>
            <w:tcW w:w="1231"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74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Years Ended December 31,</w:t>
            </w:r>
          </w:p>
        </w:tc>
      </w:tr>
      <w:tr>
        <w:trPr/>
        <w:tc>
          <w:tcPr>
            <w:tcW w:w="34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2023</w:t>
            </w:r>
          </w:p>
        </w:tc>
      </w:tr>
      <w:tr>
        <w:trPr/>
        <w:tc>
          <w:tcPr>
            <w:tcW w:w="34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Uncertain tax positions:</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of year</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Increases related to prior-year tax positions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Decreases related to prior-year tax positions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Increases related to current-year tax positions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Increases related to acquisitions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9"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Settlements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the expiration of statutes of limitation</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9"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exchange effects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 of year</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15.8</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1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2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Included in the balance of unrecognized tax benefits at December 31, 2025, are potential benefits of approximately $13.8 million that, if recognized, will reduce the effective tax rate on income from continuing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recognize accrued interest and penalties related to unrecognized tax benefits in the provision for income taxes. We reverse interest and penalty accruals when a statute of limitation lapses or when we otherwise conclude the amounts should not be accrued. The impact of interest and penalties on the 2025, 2024 and 2023 tax provisions was not significant. We had accrued interest and penalties of $2.9 million at December 31, 2025, and $5.3 million at December 31, 2024.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We file income tax returns in the U.S. federal and various state and foreign jurisdictions. With few exceptions, as of December 31, 2025, we are no longer subject to any state and local, or non-U.S. income tax examinations by tax authorities for years before 2022. </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31445"/>
                <wp:effectExtent l="0" t="0" r="0" b="0"/>
                <wp:wrapNone/>
                <wp:docPr id="93" name="Frame9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Cash Taxes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table provides the cash income taxes paid, net of refunds, for 2025.</w:t>
      </w:r>
    </w:p>
    <w:p>
      <w:pPr>
        <w:pStyle w:val="TextBody"/>
        <w:bidi w:val="0"/>
        <w:spacing w:before="0" w:after="0"/>
        <w:jc w:val="left"/>
        <w:rPr/>
      </w:pPr>
      <w:r>
        <w:rPr/>
      </w:r>
    </w:p>
    <w:tbl>
      <w:tblPr>
        <w:tblW w:w="3427" w:type="dxa"/>
        <w:jc w:val="left"/>
        <w:tblInd w:w="0" w:type="dxa"/>
        <w:tblLayout w:type="fixed"/>
        <w:tblCellMar>
          <w:top w:w="28" w:type="dxa"/>
          <w:left w:w="28" w:type="dxa"/>
          <w:bottom w:w="28" w:type="dxa"/>
          <w:right w:w="28" w:type="dxa"/>
        </w:tblCellMar>
      </w:tblPr>
      <w:tblGrid>
        <w:gridCol w:w="358"/>
        <w:gridCol w:w="315"/>
        <w:gridCol w:w="316"/>
        <w:gridCol w:w="484"/>
        <w:gridCol w:w="1418"/>
        <w:gridCol w:w="273"/>
        <w:gridCol w:w="109"/>
        <w:gridCol w:w="154"/>
      </w:tblGrid>
      <w:tr>
        <w:trPr/>
        <w:tc>
          <w:tcPr>
            <w:tcW w:w="35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1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9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21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Federal</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US State</w:t>
            </w:r>
          </w:p>
        </w:tc>
        <w:tc>
          <w:tcPr>
            <w:tcW w:w="2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Others</w:t>
            </w:r>
            <w:r>
              <w:rPr>
                <w:rFonts w:ascii="Times New Roman;serif" w:hAnsi="Times New Roman;serif"/>
                <w:b w:val="false"/>
                <w:color w:val="000000"/>
                <w:sz w:val="12"/>
              </w:rPr>
              <w:t>(a)</w:t>
            </w:r>
          </w:p>
        </w:tc>
        <w:tc>
          <w:tcPr>
            <w:tcW w:w="1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4.7</w:t>
            </w:r>
            <w:r>
              <w:rPr>
                <w:color w:val="000000"/>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Foreign</w:t>
            </w:r>
          </w:p>
        </w:tc>
        <w:tc>
          <w:tcPr>
            <w:tcW w:w="2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Mexico</w:t>
            </w:r>
          </w:p>
        </w:tc>
        <w:tc>
          <w:tcPr>
            <w:tcW w:w="1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39.7</w:t>
            </w:r>
            <w:r>
              <w:rPr>
                <w:color w:val="000000"/>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Argentina</w:t>
            </w:r>
          </w:p>
        </w:tc>
        <w:tc>
          <w:tcPr>
            <w:tcW w:w="1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18.1</w:t>
            </w: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Others</w:t>
            </w:r>
            <w:r>
              <w:rPr>
                <w:rFonts w:ascii="Times New Roman;serif" w:hAnsi="Times New Roman;serif"/>
                <w:b w:val="false"/>
                <w:color w:val="000000"/>
                <w:sz w:val="12"/>
              </w:rPr>
              <w:t>(a)</w:t>
            </w:r>
          </w:p>
        </w:tc>
        <w:tc>
          <w:tcPr>
            <w:tcW w:w="1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73.2</w:t>
            </w:r>
            <w:r>
              <w:rPr>
                <w:color w:val="000000"/>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48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41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135.7</w:t>
            </w:r>
            <w:r>
              <w:rPr>
                <w:color w:val="000000"/>
              </w:rPr>
              <w:t> </w:t>
            </w:r>
          </w:p>
        </w:tc>
        <w:tc>
          <w:tcPr>
            <w:tcW w:w="27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p>
    <w:p>
      <w:pPr>
        <w:pStyle w:val="TextBody"/>
        <w:bidi w:val="0"/>
        <w:spacing w:lineRule="auto" w:line="288" w:before="0" w:after="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(a)There were no other individual jurisdictions above the 5% threshold.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31445"/>
                <wp:effectExtent l="0" t="0" r="0" b="0"/>
                <wp:wrapNone/>
                <wp:docPr id="94" name="Frame9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 xml:space="preserve">Note 6 - Property and Equipment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table presents our property and equipment that is classified as held and used:</w:t>
      </w:r>
    </w:p>
    <w:tbl>
      <w:tblPr>
        <w:tblW w:w="5481" w:type="dxa"/>
        <w:jc w:val="left"/>
        <w:tblInd w:w="0" w:type="dxa"/>
        <w:tblLayout w:type="fixed"/>
        <w:tblCellMar>
          <w:top w:w="28" w:type="dxa"/>
          <w:left w:w="28" w:type="dxa"/>
          <w:bottom w:w="28" w:type="dxa"/>
          <w:right w:w="28" w:type="dxa"/>
        </w:tblCellMar>
      </w:tblPr>
      <w:tblGrid>
        <w:gridCol w:w="1393"/>
        <w:gridCol w:w="885"/>
        <w:gridCol w:w="887"/>
        <w:gridCol w:w="196"/>
        <w:gridCol w:w="706"/>
        <w:gridCol w:w="109"/>
        <w:gridCol w:w="109"/>
        <w:gridCol w:w="109"/>
        <w:gridCol w:w="109"/>
        <w:gridCol w:w="381"/>
        <w:gridCol w:w="384"/>
        <w:gridCol w:w="213"/>
      </w:tblGrid>
      <w:tr>
        <w:trPr/>
        <w:tc>
          <w:tcPr>
            <w:tcW w:w="1393"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3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w:t>
            </w:r>
          </w:p>
        </w:tc>
      </w:tr>
      <w:tr>
        <w:trPr/>
        <w:tc>
          <w:tcPr>
            <w:tcW w:w="31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0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r>
      <w:tr>
        <w:trPr/>
        <w:tc>
          <w:tcPr>
            <w:tcW w:w="31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Land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Buildings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248.9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Leasehold improvements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308.4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Vehicles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855.0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777.9 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Capitalized software</w:t>
            </w:r>
            <w:r>
              <w:rPr>
                <w:rFonts w:ascii="Times New Roman;serif" w:hAnsi="Times New Roman;serif"/>
                <w:b w:val="false"/>
                <w:color w:val="000000"/>
                <w:sz w:val="12"/>
              </w:rPr>
              <w:t>(a)</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DRS devices leased to customers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machinery and equipment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854.3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709.3 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3,016.7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2,615.9 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depreciation and amortization</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(1,886.2)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(1,633.2)</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1,130.5</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982.7 </w:t>
            </w:r>
          </w:p>
        </w:tc>
        <w:tc>
          <w:tcPr>
            <w:tcW w:w="2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14"/>
        </w:rPr>
      </w:pPr>
      <w:r>
        <w:rPr>
          <w:rFonts w:ascii="Times New Roman;serif" w:hAnsi="Times New Roman;serif"/>
          <w:b w:val="false"/>
          <w:color w:val="000000"/>
          <w:sz w:val="14"/>
        </w:rPr>
        <w:t>(a)Amortization of capitalized software costs included in continuing operations was $24.4 million in 2025, $19.3 million in 2024 and $15.5 million in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31445"/>
                <wp:effectExtent l="0" t="0" r="0" b="0"/>
                <wp:wrapNone/>
                <wp:docPr id="95" name="Frame9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 xml:space="preserve">Note 7 - Goodwill and Other Intangible Assets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Goodwill</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Based on our management structure, we have four reporting units, which are equal to our operating segments: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North America</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Latin America</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Europe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Rest of World</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We performed a goodwill impairment test on these reporting units as of October 1, 2025 and performed a qualitative assessment to determine whether it was more likely than not that the fair value of each reporting units were less than their carrying values. Factors considered in the qualitative assessment included, among other things, macroeconomic conditions, industry and market conditions, financial performance of the reporting unit, and other relevant entity and reporting unit considerations. We concluded the estimated fair value of each reporting unit was greater than the carrying value of equity as of our testing date. As a result of the evaluation, we concluded that goodwill was not impaired.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completed these goodwill impairment tests, as well as the tests in the previous two years, with no impairment charges required.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changes in the carrying amount of goodwill by operating segment for the years ended December 31, 2025 and 2024 are as follows:</w:t>
      </w:r>
    </w:p>
    <w:tbl>
      <w:tblPr>
        <w:tblW w:w="8805" w:type="dxa"/>
        <w:jc w:val="left"/>
        <w:tblInd w:w="0" w:type="dxa"/>
        <w:tblLayout w:type="fixed"/>
        <w:tblCellMar>
          <w:top w:w="28" w:type="dxa"/>
          <w:left w:w="28" w:type="dxa"/>
          <w:bottom w:w="28" w:type="dxa"/>
          <w:right w:w="28" w:type="dxa"/>
        </w:tblCellMar>
      </w:tblPr>
      <w:tblGrid>
        <w:gridCol w:w="433"/>
        <w:gridCol w:w="383"/>
        <w:gridCol w:w="384"/>
        <w:gridCol w:w="283"/>
        <w:gridCol w:w="999"/>
        <w:gridCol w:w="157"/>
        <w:gridCol w:w="109"/>
        <w:gridCol w:w="109"/>
        <w:gridCol w:w="109"/>
        <w:gridCol w:w="349"/>
        <w:gridCol w:w="349"/>
        <w:gridCol w:w="351"/>
        <w:gridCol w:w="109"/>
        <w:gridCol w:w="109"/>
        <w:gridCol w:w="109"/>
        <w:gridCol w:w="594"/>
        <w:gridCol w:w="594"/>
        <w:gridCol w:w="596"/>
        <w:gridCol w:w="109"/>
        <w:gridCol w:w="109"/>
        <w:gridCol w:w="109"/>
        <w:gridCol w:w="255"/>
        <w:gridCol w:w="255"/>
        <w:gridCol w:w="256"/>
        <w:gridCol w:w="109"/>
        <w:gridCol w:w="109"/>
        <w:gridCol w:w="109"/>
        <w:gridCol w:w="367"/>
        <w:gridCol w:w="367"/>
        <w:gridCol w:w="525"/>
      </w:tblGrid>
      <w:tr>
        <w:trPr/>
        <w:tc>
          <w:tcPr>
            <w:tcW w:w="43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6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12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4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Beginning Balance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Acquisitions/</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Dispositions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Segment Reallocation</w:t>
            </w:r>
            <w:r>
              <w:rPr>
                <w:rFonts w:ascii="Times New Roman;serif" w:hAnsi="Times New Roman;serif"/>
                <w:b w:val="false"/>
                <w:color w:val="000000"/>
                <w:sz w:val="12"/>
              </w:rPr>
              <w:t>(a)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Currency</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Ending Balance</w:t>
            </w:r>
          </w:p>
        </w:tc>
      </w:tr>
      <w:tr>
        <w:trPr/>
        <w:tc>
          <w:tcPr>
            <w:tcW w:w="12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North America</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486.8 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Latin America</w:t>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222.2 </w:t>
            </w:r>
          </w:p>
        </w:tc>
        <w:tc>
          <w:tcPr>
            <w:tcW w:w="5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433.9 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 of World</w:t>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w:t>
            </w:r>
          </w:p>
        </w:tc>
        <w:tc>
          <w:tcPr>
            <w:tcW w:w="5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372.4 </w:t>
            </w:r>
          </w:p>
        </w:tc>
        <w:tc>
          <w:tcPr>
            <w:tcW w:w="5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Goodwill</w:t>
            </w:r>
          </w:p>
        </w:tc>
        <w:tc>
          <w:tcPr>
            <w:tcW w:w="28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1,434.9 </w:t>
            </w:r>
          </w:p>
        </w:tc>
        <w:tc>
          <w:tcPr>
            <w:tcW w:w="15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3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71.5 </w:t>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1,515.3 </w:t>
            </w:r>
          </w:p>
        </w:tc>
        <w:tc>
          <w:tcPr>
            <w:tcW w:w="52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 xml:space="preserve">(a)Operations in certain geographies were moved from the Rest of World to the Europe segment, effective December 31, 2025. See Note 3 for more information. As part of this change, we have reallocated Goodwill between these two segments based on the estimated relative fair value of the business which moved as compared to the total Rest of World segment. </w:t>
      </w:r>
    </w:p>
    <w:tbl>
      <w:tblPr>
        <w:tblW w:w="6944" w:type="dxa"/>
        <w:jc w:val="left"/>
        <w:tblInd w:w="0" w:type="dxa"/>
        <w:tblLayout w:type="fixed"/>
        <w:tblCellMar>
          <w:top w:w="28" w:type="dxa"/>
          <w:left w:w="28" w:type="dxa"/>
          <w:bottom w:w="28" w:type="dxa"/>
          <w:right w:w="28" w:type="dxa"/>
        </w:tblCellMar>
      </w:tblPr>
      <w:tblGrid>
        <w:gridCol w:w="433"/>
        <w:gridCol w:w="383"/>
        <w:gridCol w:w="384"/>
        <w:gridCol w:w="283"/>
        <w:gridCol w:w="999"/>
        <w:gridCol w:w="157"/>
        <w:gridCol w:w="109"/>
        <w:gridCol w:w="109"/>
        <w:gridCol w:w="109"/>
        <w:gridCol w:w="350"/>
        <w:gridCol w:w="350"/>
        <w:gridCol w:w="351"/>
        <w:gridCol w:w="109"/>
        <w:gridCol w:w="109"/>
        <w:gridCol w:w="109"/>
        <w:gridCol w:w="109"/>
        <w:gridCol w:w="109"/>
        <w:gridCol w:w="270"/>
        <w:gridCol w:w="270"/>
        <w:gridCol w:w="256"/>
        <w:gridCol w:w="109"/>
        <w:gridCol w:w="109"/>
        <w:gridCol w:w="109"/>
        <w:gridCol w:w="367"/>
        <w:gridCol w:w="367"/>
        <w:gridCol w:w="525"/>
      </w:tblGrid>
      <w:tr>
        <w:trPr/>
        <w:tc>
          <w:tcPr>
            <w:tcW w:w="43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8"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2024</w:t>
            </w:r>
          </w:p>
        </w:tc>
        <w:tc>
          <w:tcPr>
            <w:tcW w:w="1586" w:type="dxa"/>
            <w:gridSpan w:val="6"/>
            <w:tcBorders/>
          </w:tcPr>
          <w:p>
            <w:pPr>
              <w:pStyle w:val="TableContents"/>
              <w:bidi w:val="0"/>
              <w:spacing w:before="0" w:after="283"/>
              <w:jc w:val="left"/>
              <w:rPr>
                <w:sz w:val="4"/>
                <w:szCs w:val="4"/>
              </w:rPr>
            </w:pPr>
            <w:r>
              <w:rPr>
                <w:sz w:val="4"/>
                <w:szCs w:val="4"/>
              </w:rPr>
            </w:r>
          </w:p>
        </w:tc>
      </w:tr>
      <w:tr>
        <w:trPr/>
        <w:tc>
          <w:tcPr>
            <w:tcW w:w="12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4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Beginning Balance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Acquisitions/</w:t>
              <w:br/>
              <w:t>Dispositions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Currency</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Ending Balance</w:t>
            </w:r>
          </w:p>
        </w:tc>
      </w:tr>
      <w:tr>
        <w:trPr/>
        <w:tc>
          <w:tcPr>
            <w:tcW w:w="12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North America</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486.5 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Latin America</w:t>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208.5 </w:t>
            </w:r>
          </w:p>
        </w:tc>
        <w:tc>
          <w:tcPr>
            <w:tcW w:w="5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348.1 </w:t>
            </w:r>
          </w:p>
        </w:tc>
        <w:tc>
          <w:tcPr>
            <w:tcW w:w="5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 of World</w:t>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391.8 </w:t>
            </w:r>
          </w:p>
        </w:tc>
        <w:tc>
          <w:tcPr>
            <w:tcW w:w="5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Goodwill</w:t>
            </w:r>
          </w:p>
        </w:tc>
        <w:tc>
          <w:tcPr>
            <w:tcW w:w="28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1,473.8 </w:t>
            </w:r>
          </w:p>
        </w:tc>
        <w:tc>
          <w:tcPr>
            <w:tcW w:w="15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3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w:t>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1,434.9 </w:t>
            </w:r>
          </w:p>
        </w:tc>
        <w:tc>
          <w:tcPr>
            <w:tcW w:w="52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Intangible Assets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table summarizes our other intangible assets by category:</w:t>
      </w:r>
    </w:p>
    <w:tbl>
      <w:tblPr>
        <w:tblW w:w="10205" w:type="dxa"/>
        <w:jc w:val="left"/>
        <w:tblInd w:w="0" w:type="dxa"/>
        <w:tblLayout w:type="fixed"/>
        <w:tblCellMar>
          <w:top w:w="28" w:type="dxa"/>
          <w:left w:w="28" w:type="dxa"/>
          <w:bottom w:w="28" w:type="dxa"/>
          <w:right w:w="28" w:type="dxa"/>
        </w:tblCellMar>
      </w:tblPr>
      <w:tblGrid>
        <w:gridCol w:w="553"/>
        <w:gridCol w:w="332"/>
        <w:gridCol w:w="334"/>
        <w:gridCol w:w="201"/>
        <w:gridCol w:w="571"/>
        <w:gridCol w:w="112"/>
        <w:gridCol w:w="109"/>
        <w:gridCol w:w="109"/>
        <w:gridCol w:w="109"/>
        <w:gridCol w:w="367"/>
        <w:gridCol w:w="367"/>
        <w:gridCol w:w="368"/>
        <w:gridCol w:w="109"/>
        <w:gridCol w:w="109"/>
        <w:gridCol w:w="109"/>
        <w:gridCol w:w="316"/>
        <w:gridCol w:w="251"/>
        <w:gridCol w:w="252"/>
        <w:gridCol w:w="109"/>
        <w:gridCol w:w="109"/>
        <w:gridCol w:w="109"/>
        <w:gridCol w:w="200"/>
        <w:gridCol w:w="569"/>
        <w:gridCol w:w="111"/>
        <w:gridCol w:w="109"/>
        <w:gridCol w:w="109"/>
        <w:gridCol w:w="109"/>
        <w:gridCol w:w="351"/>
        <w:gridCol w:w="351"/>
        <w:gridCol w:w="352"/>
        <w:gridCol w:w="109"/>
        <w:gridCol w:w="109"/>
        <w:gridCol w:w="109"/>
        <w:gridCol w:w="316"/>
        <w:gridCol w:w="251"/>
        <w:gridCol w:w="252"/>
        <w:gridCol w:w="109"/>
        <w:gridCol w:w="109"/>
        <w:gridCol w:w="109"/>
        <w:gridCol w:w="425"/>
        <w:gridCol w:w="425"/>
        <w:gridCol w:w="616"/>
      </w:tblGrid>
      <w:tr>
        <w:trPr/>
        <w:tc>
          <w:tcPr>
            <w:tcW w:w="553"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121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5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8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Gross Carrying Amount</w:t>
            </w:r>
            <w:r>
              <w:rPr>
                <w:rFonts w:ascii="Times New Roman;serif" w:hAnsi="Times New Roman;serif"/>
                <w:b w:val="false"/>
                <w:color w:val="000000"/>
                <w:sz w:val="12"/>
              </w:rPr>
              <w:t>(a)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Accumulated Amortization</w:t>
            </w:r>
            <w:r>
              <w:rPr>
                <w:rFonts w:ascii="Times New Roman;serif" w:hAnsi="Times New Roman;serif"/>
                <w:b w:val="false"/>
                <w:color w:val="000000"/>
                <w:sz w:val="12"/>
              </w:rPr>
              <w:t>(a)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Net Carrying Amount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Gross Carrying Amount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Accumulated Amortization</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Net Carrying Amount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Weighted-average amortization period</w:t>
            </w:r>
          </w:p>
        </w:tc>
      </w:tr>
      <w:tr>
        <w:trPr/>
        <w:tc>
          <w:tcPr>
            <w:tcW w:w="12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r>
      <w:tr>
        <w:trPr/>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(313.1)</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328.2 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(271.2)</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356.5 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w:t>
            </w:r>
          </w:p>
        </w:tc>
      </w:tr>
      <w:tr>
        <w:trPr/>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Indefinite-lived trade names</w:t>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Finite-lived trade names</w:t>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r>
      <w:tr>
        <w:trPr/>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Developed technology</w:t>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w:t>
            </w:r>
          </w:p>
        </w:tc>
      </w:tr>
      <w:tr>
        <w:trPr/>
        <w:tc>
          <w:tcPr>
            <w:tcW w:w="1219"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6" w:type="dxa"/>
            <w:gridSpan w:val="3"/>
            <w:tcBorders/>
            <w:vAlign w:val="center"/>
          </w:tcPr>
          <w:p>
            <w:pPr>
              <w:pStyle w:val="TableContents"/>
              <w:bidi w:val="0"/>
              <w:spacing w:before="0" w:after="283"/>
              <w:jc w:val="left"/>
              <w:rPr>
                <w:sz w:val="4"/>
                <w:szCs w:val="4"/>
              </w:rPr>
            </w:pPr>
            <w:r>
              <w:rPr>
                <w:sz w:val="4"/>
                <w:szCs w:val="4"/>
              </w:rPr>
            </w:r>
          </w:p>
        </w:tc>
      </w:tr>
      <w:tr>
        <w:trPr/>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0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753.5 </w:t>
            </w:r>
          </w:p>
        </w:tc>
        <w:tc>
          <w:tcPr>
            <w:tcW w:w="1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(368.3)</w:t>
            </w:r>
          </w:p>
        </w:tc>
        <w:tc>
          <w:tcPr>
            <w:tcW w:w="36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385.2 </w:t>
            </w:r>
          </w:p>
        </w:tc>
        <w:tc>
          <w:tcPr>
            <w:tcW w:w="25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743.6 </w:t>
            </w:r>
          </w:p>
        </w:tc>
        <w:tc>
          <w:tcPr>
            <w:tcW w:w="1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(321.3)</w:t>
            </w:r>
          </w:p>
        </w:tc>
        <w:tc>
          <w:tcPr>
            <w:tcW w:w="35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422.3 </w:t>
            </w:r>
          </w:p>
        </w:tc>
        <w:tc>
          <w:tcPr>
            <w:tcW w:w="25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(a)$28.3 million of fully amortized intangible assets were written off in 2025.</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31445"/>
                <wp:effectExtent l="0" t="0" r="0" b="0"/>
                <wp:wrapNone/>
                <wp:docPr id="96" name="Frame9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Total amortization expense for our finite-lived intangible assets was $58.9 million in 2025 and $58.3 million in 2024. Our estimated aggregate amortization expense for finite-lived intangibles recorded at December 31, 2025, for the next five years is as follows:</w:t>
      </w:r>
    </w:p>
    <w:p>
      <w:pPr>
        <w:pStyle w:val="TextBody"/>
        <w:bidi w:val="0"/>
        <w:spacing w:before="0" w:after="0"/>
        <w:jc w:val="left"/>
        <w:rPr/>
      </w:pPr>
      <w:r>
        <w:rPr/>
      </w:r>
    </w:p>
    <w:tbl>
      <w:tblPr>
        <w:tblW w:w="6289" w:type="dxa"/>
        <w:jc w:val="left"/>
        <w:tblInd w:w="0" w:type="dxa"/>
        <w:tblLayout w:type="fixed"/>
        <w:tblCellMar>
          <w:top w:w="28" w:type="dxa"/>
          <w:left w:w="28" w:type="dxa"/>
          <w:bottom w:w="28" w:type="dxa"/>
          <w:right w:w="28" w:type="dxa"/>
        </w:tblCellMar>
      </w:tblPr>
      <w:tblGrid>
        <w:gridCol w:w="602"/>
        <w:gridCol w:w="529"/>
        <w:gridCol w:w="534"/>
        <w:gridCol w:w="196"/>
        <w:gridCol w:w="466"/>
        <w:gridCol w:w="109"/>
        <w:gridCol w:w="109"/>
        <w:gridCol w:w="109"/>
        <w:gridCol w:w="109"/>
        <w:gridCol w:w="233"/>
        <w:gridCol w:w="233"/>
        <w:gridCol w:w="156"/>
        <w:gridCol w:w="109"/>
        <w:gridCol w:w="109"/>
        <w:gridCol w:w="109"/>
        <w:gridCol w:w="233"/>
        <w:gridCol w:w="233"/>
        <w:gridCol w:w="156"/>
        <w:gridCol w:w="109"/>
        <w:gridCol w:w="109"/>
        <w:gridCol w:w="109"/>
        <w:gridCol w:w="233"/>
        <w:gridCol w:w="233"/>
        <w:gridCol w:w="156"/>
        <w:gridCol w:w="109"/>
        <w:gridCol w:w="109"/>
        <w:gridCol w:w="109"/>
        <w:gridCol w:w="233"/>
        <w:gridCol w:w="233"/>
        <w:gridCol w:w="213"/>
      </w:tblGrid>
      <w:tr>
        <w:trPr/>
        <w:tc>
          <w:tcPr>
            <w:tcW w:w="60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2030</w:t>
            </w:r>
          </w:p>
        </w:tc>
      </w:tr>
      <w:tr>
        <w:trPr/>
        <w:tc>
          <w:tcPr>
            <w:tcW w:w="16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expense</w:t>
            </w:r>
          </w:p>
        </w:tc>
        <w:tc>
          <w:tcPr>
            <w:tcW w:w="19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50.6 </w:t>
            </w:r>
          </w:p>
        </w:tc>
        <w:tc>
          <w:tcPr>
            <w:tcW w:w="1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47.5 </w:t>
            </w:r>
          </w:p>
        </w:tc>
        <w:tc>
          <w:tcPr>
            <w:tcW w:w="1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47.0 </w:t>
            </w:r>
          </w:p>
        </w:tc>
        <w:tc>
          <w:tcPr>
            <w:tcW w:w="1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42.9 </w:t>
            </w:r>
          </w:p>
        </w:tc>
        <w:tc>
          <w:tcPr>
            <w:tcW w:w="213"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31445"/>
                <wp:effectExtent l="0" t="0" r="0" b="0"/>
                <wp:wrapNone/>
                <wp:docPr id="97" name="Frame9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 xml:space="preserve">Note 8 - Prepaid Expenses and Other </w:t>
      </w:r>
    </w:p>
    <w:p>
      <w:pPr>
        <w:pStyle w:val="TextBody"/>
        <w:bidi w:val="0"/>
        <w:spacing w:before="0" w:after="0"/>
        <w:jc w:val="left"/>
        <w:rPr/>
      </w:pPr>
      <w:r>
        <w:rPr/>
      </w:r>
    </w:p>
    <w:tbl>
      <w:tblPr>
        <w:tblW w:w="4027" w:type="dxa"/>
        <w:jc w:val="left"/>
        <w:tblInd w:w="0" w:type="dxa"/>
        <w:tblLayout w:type="fixed"/>
        <w:tblCellMar>
          <w:top w:w="28" w:type="dxa"/>
          <w:left w:w="28" w:type="dxa"/>
          <w:bottom w:w="28" w:type="dxa"/>
          <w:right w:w="28" w:type="dxa"/>
        </w:tblCellMar>
      </w:tblPr>
      <w:tblGrid>
        <w:gridCol w:w="744"/>
        <w:gridCol w:w="655"/>
        <w:gridCol w:w="656"/>
        <w:gridCol w:w="196"/>
        <w:gridCol w:w="571"/>
        <w:gridCol w:w="109"/>
        <w:gridCol w:w="109"/>
        <w:gridCol w:w="109"/>
        <w:gridCol w:w="109"/>
        <w:gridCol w:w="278"/>
        <w:gridCol w:w="278"/>
        <w:gridCol w:w="213"/>
      </w:tblGrid>
      <w:tr>
        <w:trPr/>
        <w:tc>
          <w:tcPr>
            <w:tcW w:w="744"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9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w:t>
            </w:r>
          </w:p>
        </w:tc>
      </w:tr>
      <w:tr>
        <w:trPr/>
        <w:tc>
          <w:tcPr>
            <w:tcW w:w="20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8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r>
      <w:tr>
        <w:trPr/>
        <w:tc>
          <w:tcPr>
            <w:tcW w:w="20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173.8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Assets held for sale</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receivable</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Sales-type lease inventory</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instruments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296.1</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314.0 </w:t>
            </w:r>
          </w:p>
        </w:tc>
        <w:tc>
          <w:tcPr>
            <w:tcW w:w="2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 xml:space="preserve">Note 9 - Other Assets </w:t>
      </w:r>
    </w:p>
    <w:p>
      <w:pPr>
        <w:pStyle w:val="TextBody"/>
        <w:bidi w:val="0"/>
        <w:spacing w:before="0" w:after="0"/>
        <w:jc w:val="left"/>
        <w:rPr/>
      </w:pPr>
      <w:r>
        <w:rPr/>
      </w:r>
    </w:p>
    <w:tbl>
      <w:tblPr>
        <w:tblW w:w="4942" w:type="dxa"/>
        <w:jc w:val="left"/>
        <w:tblInd w:w="0" w:type="dxa"/>
        <w:tblLayout w:type="fixed"/>
        <w:tblCellMar>
          <w:top w:w="28" w:type="dxa"/>
          <w:left w:w="28" w:type="dxa"/>
          <w:bottom w:w="28" w:type="dxa"/>
          <w:right w:w="28" w:type="dxa"/>
        </w:tblCellMar>
      </w:tblPr>
      <w:tblGrid>
        <w:gridCol w:w="1073"/>
        <w:gridCol w:w="947"/>
        <w:gridCol w:w="950"/>
        <w:gridCol w:w="196"/>
        <w:gridCol w:w="571"/>
        <w:gridCol w:w="109"/>
        <w:gridCol w:w="109"/>
        <w:gridCol w:w="109"/>
        <w:gridCol w:w="109"/>
        <w:gridCol w:w="278"/>
        <w:gridCol w:w="278"/>
        <w:gridCol w:w="213"/>
      </w:tblGrid>
      <w:tr>
        <w:trPr/>
        <w:tc>
          <w:tcPr>
            <w:tcW w:w="1073"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9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w:t>
            </w:r>
          </w:p>
        </w:tc>
      </w:tr>
      <w:tr>
        <w:trPr/>
        <w:tc>
          <w:tcPr>
            <w:tcW w:w="29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8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r>
      <w:tr>
        <w:trPr/>
        <w:tc>
          <w:tcPr>
            <w:tcW w:w="29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Sales-type lease receivables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127.3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pension assets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Deposits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Marketable securities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Loans held for investment (see Note 19)</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103.4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353.2</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301.2 </w:t>
            </w:r>
          </w:p>
        </w:tc>
        <w:tc>
          <w:tcPr>
            <w:tcW w:w="2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righ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31445"/>
                <wp:effectExtent l="0" t="0" r="0" b="0"/>
                <wp:wrapNone/>
                <wp:docPr id="98" name="Frame9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 xml:space="preserve">Note 10 - Accumulated Other Comprehensive Income (Loss)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The following tables provide the components of other comprehensive income (loss), including the amounts reclassified from accumulated other comprehensive income (loss) into earnings: </w:t>
      </w:r>
    </w:p>
    <w:tbl>
      <w:tblPr>
        <w:tblW w:w="10205" w:type="dxa"/>
        <w:jc w:val="left"/>
        <w:tblInd w:w="0" w:type="dxa"/>
        <w:tblLayout w:type="fixed"/>
        <w:tblCellMar>
          <w:top w:w="28" w:type="dxa"/>
          <w:left w:w="28" w:type="dxa"/>
          <w:bottom w:w="28" w:type="dxa"/>
          <w:right w:w="28" w:type="dxa"/>
        </w:tblCellMar>
      </w:tblPr>
      <w:tblGrid>
        <w:gridCol w:w="1026"/>
        <w:gridCol w:w="700"/>
        <w:gridCol w:w="651"/>
        <w:gridCol w:w="293"/>
        <w:gridCol w:w="912"/>
        <w:gridCol w:w="162"/>
        <w:gridCol w:w="162"/>
        <w:gridCol w:w="162"/>
        <w:gridCol w:w="162"/>
        <w:gridCol w:w="284"/>
        <w:gridCol w:w="266"/>
        <w:gridCol w:w="246"/>
        <w:gridCol w:w="109"/>
        <w:gridCol w:w="109"/>
        <w:gridCol w:w="109"/>
        <w:gridCol w:w="358"/>
        <w:gridCol w:w="234"/>
        <w:gridCol w:w="226"/>
        <w:gridCol w:w="226"/>
        <w:gridCol w:w="226"/>
        <w:gridCol w:w="226"/>
        <w:gridCol w:w="358"/>
        <w:gridCol w:w="255"/>
        <w:gridCol w:w="226"/>
        <w:gridCol w:w="109"/>
        <w:gridCol w:w="109"/>
        <w:gridCol w:w="109"/>
        <w:gridCol w:w="636"/>
        <w:gridCol w:w="636"/>
        <w:gridCol w:w="918"/>
      </w:tblGrid>
      <w:tr>
        <w:trPr/>
        <w:tc>
          <w:tcPr>
            <w:tcW w:w="102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r>
      <w:tr>
        <w:trPr/>
        <w:tc>
          <w:tcPr>
            <w:tcW w:w="237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64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Amounts Arising During the Current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Amounts Reclassified to 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3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Pretax</w:t>
            </w:r>
          </w:p>
        </w:tc>
        <w:tc>
          <w:tcPr>
            <w:tcW w:w="4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Pretax</w:t>
            </w:r>
          </w:p>
        </w:tc>
        <w:tc>
          <w:tcPr>
            <w:tcW w:w="6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 Other Comprehensive Income (Loss)</w:t>
            </w:r>
          </w:p>
        </w:tc>
      </w:tr>
      <w:tr>
        <w:trPr/>
        <w:tc>
          <w:tcPr>
            <w:tcW w:w="23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2025</w:t>
            </w:r>
          </w:p>
        </w:tc>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attributable to Brink's:</w:t>
            </w:r>
          </w:p>
        </w:tc>
        <w:tc>
          <w:tcPr>
            <w:tcW w:w="1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plan adjustments</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150.1 </w:t>
            </w:r>
          </w:p>
        </w:tc>
        <w:tc>
          <w:tcPr>
            <w:tcW w:w="9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Gains (losses) on available-for-sale securities</w:t>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Gains (losses) on cash flow hedges</w:t>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w:t>
            </w:r>
          </w:p>
        </w:tc>
        <w:tc>
          <w:tcPr>
            <w:tcW w:w="9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122.7 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138.7 </w:t>
            </w:r>
          </w:p>
        </w:tc>
        <w:tc>
          <w:tcPr>
            <w:tcW w:w="9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attributable to noncontrolling interests:</w:t>
            </w:r>
          </w:p>
        </w:tc>
        <w:tc>
          <w:tcPr>
            <w:tcW w:w="1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plan adjustments</w:t>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9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Benefit plan adjustments</w:t>
            </w:r>
            <w:r>
              <w:rPr>
                <w:rFonts w:ascii="Times New Roman;serif" w:hAnsi="Times New Roman;serif"/>
                <w:b w:val="false"/>
                <w:color w:val="000000"/>
                <w:sz w:val="12"/>
              </w:rPr>
              <w:t>(a)</w:t>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Foreign currency translation adjustments</w:t>
            </w:r>
            <w:r>
              <w:rPr>
                <w:rFonts w:ascii="Times New Roman;serif" w:hAnsi="Times New Roman;serif"/>
                <w:b w:val="false"/>
                <w:color w:val="000000"/>
                <w:sz w:val="12"/>
              </w:rPr>
              <w:t>(b)</w:t>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155.4 </w:t>
            </w:r>
          </w:p>
        </w:tc>
        <w:tc>
          <w:tcPr>
            <w:tcW w:w="9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Gains (losses) on available-for-sale securities</w:t>
            </w:r>
            <w:r>
              <w:rPr>
                <w:rFonts w:ascii="Times New Roman;serif" w:hAnsi="Times New Roman;serif"/>
                <w:b w:val="false"/>
                <w:color w:val="000000"/>
                <w:sz w:val="12"/>
              </w:rPr>
              <w:t>(c)</w:t>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Gains (losses) on cash flow hedges</w:t>
            </w:r>
            <w:r>
              <w:rPr>
                <w:rFonts w:ascii="Times New Roman;serif" w:hAnsi="Times New Roman;serif"/>
                <w:b w:val="false"/>
                <w:color w:val="000000"/>
                <w:sz w:val="12"/>
              </w:rPr>
              <w:t>(d)</w:t>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w:t>
            </w:r>
          </w:p>
        </w:tc>
        <w:tc>
          <w:tcPr>
            <w:tcW w:w="9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127.7 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143.7 </w:t>
            </w:r>
          </w:p>
        </w:tc>
        <w:tc>
          <w:tcPr>
            <w:tcW w:w="9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2024</w:t>
            </w:r>
          </w:p>
        </w:tc>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attributable to Brink's:</w:t>
            </w:r>
          </w:p>
        </w:tc>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plan adjustments</w:t>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41.8 </w:t>
            </w:r>
          </w:p>
        </w:tc>
        <w:tc>
          <w:tcPr>
            <w:tcW w:w="9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(178.8)</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(188.5)</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Gains (losses) on available-for-sale securities</w:t>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9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Gains (losses) on cash flow hedges</w:t>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(114.8)</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(148.1)</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attributable to noncontrolling interests:</w:t>
            </w:r>
          </w:p>
        </w:tc>
        <w:tc>
          <w:tcPr>
            <w:tcW w:w="1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plan adjustments</w:t>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9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9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Benefit plan adjustments</w:t>
            </w:r>
            <w:r>
              <w:rPr>
                <w:rFonts w:ascii="Times New Roman;serif" w:hAnsi="Times New Roman;serif"/>
                <w:b w:val="false"/>
                <w:color w:val="000000"/>
                <w:sz w:val="12"/>
              </w:rPr>
              <w:t>(a)</w:t>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41.6 </w:t>
            </w:r>
          </w:p>
        </w:tc>
        <w:tc>
          <w:tcPr>
            <w:tcW w:w="9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Foreign currency translation adjustments</w:t>
            </w:r>
            <w:r>
              <w:rPr>
                <w:rFonts w:ascii="Times New Roman;serif" w:hAnsi="Times New Roman;serif"/>
                <w:b w:val="false"/>
                <w:color w:val="000000"/>
                <w:sz w:val="12"/>
              </w:rPr>
              <w:t>(b)</w:t>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(188.8)</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Gains (losses) on available-for-sale securities</w:t>
            </w:r>
            <w:r>
              <w:rPr>
                <w:rFonts w:ascii="Times New Roman;serif" w:hAnsi="Times New Roman;serif"/>
                <w:b w:val="false"/>
                <w:color w:val="000000"/>
                <w:sz w:val="12"/>
              </w:rPr>
              <w:t>(c)</w:t>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9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Gains (losses) on cash flow hedges</w:t>
            </w:r>
            <w:r>
              <w:rPr>
                <w:rFonts w:ascii="Times New Roman;serif" w:hAnsi="Times New Roman;serif"/>
                <w:b w:val="false"/>
                <w:color w:val="000000"/>
                <w:sz w:val="12"/>
              </w:rPr>
              <w:t>(d)</w:t>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29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w:t>
            </w:r>
          </w:p>
        </w:tc>
        <w:tc>
          <w:tcPr>
            <w:tcW w:w="16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w:t>
            </w:r>
          </w:p>
        </w:tc>
        <w:tc>
          <w:tcPr>
            <w:tcW w:w="2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w:t>
            </w:r>
          </w:p>
        </w:tc>
        <w:tc>
          <w:tcPr>
            <w:tcW w:w="2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13"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2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(148.6)</w:t>
            </w:r>
          </w:p>
        </w:tc>
        <w:tc>
          <w:tcPr>
            <w:tcW w:w="91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4"/>
        </w:rPr>
        <w:t xml:space="preserve">See page </w:t>
      </w:r>
      <w:hyperlink w:anchor="i81dafa5779cc410593061426edabd897_2302">
        <w:r>
          <w:rPr>
            <w:rStyle w:val="InternetLink"/>
            <w:rFonts w:ascii="Times New Roman;serif" w:hAnsi="Times New Roman;serif"/>
            <w:b w:val="false"/>
            <w:strike w:val="false"/>
            <w:dstrike w:val="false"/>
            <w:color w:val="000000"/>
            <w:sz w:val="14"/>
            <w:u w:val="none"/>
            <w:effect w:val="none"/>
          </w:rPr>
          <w:t>98</w:t>
        </w:r>
      </w:hyperlink>
      <w:r>
        <w:rPr>
          <w:rFonts w:ascii="Times New Roman;serif" w:hAnsi="Times New Roman;serif"/>
          <w:b w:val="false"/>
          <w:color w:val="000000"/>
          <w:sz w:val="14"/>
        </w:rPr>
        <w:t xml:space="preserve"> for footnote explanations.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31445"/>
                <wp:effectExtent l="0" t="0" r="0" b="0"/>
                <wp:wrapNone/>
                <wp:docPr id="99" name="Frame9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96</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10"/>
        <w:gridCol w:w="692"/>
        <w:gridCol w:w="701"/>
        <w:gridCol w:w="306"/>
        <w:gridCol w:w="816"/>
        <w:gridCol w:w="170"/>
        <w:gridCol w:w="170"/>
        <w:gridCol w:w="170"/>
        <w:gridCol w:w="170"/>
        <w:gridCol w:w="274"/>
        <w:gridCol w:w="274"/>
        <w:gridCol w:w="234"/>
        <w:gridCol w:w="109"/>
        <w:gridCol w:w="109"/>
        <w:gridCol w:w="109"/>
        <w:gridCol w:w="358"/>
        <w:gridCol w:w="236"/>
        <w:gridCol w:w="229"/>
        <w:gridCol w:w="229"/>
        <w:gridCol w:w="229"/>
        <w:gridCol w:w="229"/>
        <w:gridCol w:w="358"/>
        <w:gridCol w:w="258"/>
        <w:gridCol w:w="229"/>
        <w:gridCol w:w="109"/>
        <w:gridCol w:w="109"/>
        <w:gridCol w:w="109"/>
        <w:gridCol w:w="643"/>
        <w:gridCol w:w="643"/>
        <w:gridCol w:w="923"/>
      </w:tblGrid>
      <w:tr>
        <w:trPr/>
        <w:tc>
          <w:tcPr>
            <w:tcW w:w="1010"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r>
      <w:tr>
        <w:trPr/>
        <w:tc>
          <w:tcPr>
            <w:tcW w:w="2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Amounts Arising During the Current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Amounts Reclassified to 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Pretax</w:t>
            </w:r>
          </w:p>
        </w:tc>
        <w:tc>
          <w:tcPr>
            <w:tcW w:w="5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Pretax</w:t>
            </w:r>
          </w:p>
        </w:tc>
        <w:tc>
          <w:tcPr>
            <w:tcW w:w="6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 Other Comprehensive Income (Loss)</w:t>
            </w:r>
          </w:p>
        </w:tc>
      </w:tr>
      <w:tr>
        <w:trPr/>
        <w:tc>
          <w:tcPr>
            <w:tcW w:w="24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2023</w:t>
            </w:r>
          </w:p>
        </w:tc>
        <w:tc>
          <w:tcPr>
            <w:tcW w:w="1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attributable to Brink's:</w:t>
            </w:r>
          </w:p>
        </w:tc>
        <w:tc>
          <w:tcPr>
            <w:tcW w:w="1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plan adjustments</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65.6 </w:t>
            </w:r>
          </w:p>
        </w:tc>
        <w:tc>
          <w:tcPr>
            <w:tcW w:w="9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Gains (losses) on available-for-sale securities</w:t>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Gains (losses) on cash flow hedges</w:t>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w:t>
            </w:r>
          </w:p>
        </w:tc>
        <w:tc>
          <w:tcPr>
            <w:tcW w:w="9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44.5 </w:t>
            </w:r>
          </w:p>
        </w:tc>
        <w:tc>
          <w:tcPr>
            <w:tcW w:w="9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attributable to noncontrolling interests:</w:t>
            </w:r>
          </w:p>
        </w:tc>
        <w:tc>
          <w:tcPr>
            <w:tcW w:w="1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plan adjustments</w:t>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9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4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Benefit plan adjustments</w:t>
            </w:r>
            <w:r>
              <w:rPr>
                <w:rFonts w:ascii="Times New Roman;serif" w:hAnsi="Times New Roman;serif"/>
                <w:b w:val="false"/>
                <w:color w:val="000000"/>
                <w:sz w:val="12"/>
              </w:rPr>
              <w:t>(a)</w:t>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Foreign currency translation adjustments</w:t>
            </w:r>
            <w:r>
              <w:rPr>
                <w:rFonts w:ascii="Times New Roman;serif" w:hAnsi="Times New Roman;serif"/>
                <w:b w:val="false"/>
                <w:color w:val="000000"/>
                <w:sz w:val="12"/>
              </w:rPr>
              <w:t>(b)</w:t>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63.4 </w:t>
            </w:r>
          </w:p>
        </w:tc>
        <w:tc>
          <w:tcPr>
            <w:tcW w:w="9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Gains (losses) on available-for-sale securities</w:t>
            </w:r>
            <w:r>
              <w:rPr>
                <w:rFonts w:ascii="Times New Roman;serif" w:hAnsi="Times New Roman;serif"/>
                <w:b w:val="false"/>
                <w:color w:val="000000"/>
                <w:sz w:val="12"/>
              </w:rPr>
              <w:t>(c)</w:t>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Gains (losses) on cash flow hedges</w:t>
            </w:r>
            <w:r>
              <w:rPr>
                <w:rFonts w:ascii="Times New Roman;serif" w:hAnsi="Times New Roman;serif"/>
                <w:b w:val="false"/>
                <w:color w:val="000000"/>
                <w:sz w:val="12"/>
              </w:rPr>
              <w:t>(d)</w:t>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w:t>
            </w:r>
          </w:p>
        </w:tc>
        <w:tc>
          <w:tcPr>
            <w:tcW w:w="9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3"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3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47.1 </w:t>
            </w:r>
          </w:p>
        </w:tc>
        <w:tc>
          <w:tcPr>
            <w:tcW w:w="17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23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w:t>
            </w:r>
          </w:p>
        </w:tc>
        <w:tc>
          <w:tcPr>
            <w:tcW w:w="22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22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42.2 </w:t>
            </w:r>
          </w:p>
        </w:tc>
        <w:tc>
          <w:tcPr>
            <w:tcW w:w="92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14"/>
        </w:rPr>
      </w:pPr>
      <w:bookmarkStart w:id="16" w:name="i81dafa5779cc410593061426edabd897_2302"/>
      <w:bookmarkEnd w:id="16"/>
      <w:r>
        <w:rPr>
          <w:rFonts w:ascii="Times New Roman;serif" w:hAnsi="Times New Roman;serif"/>
          <w:b w:val="false"/>
          <w:color w:val="000000"/>
          <w:sz w:val="14"/>
        </w:rPr>
        <w:t>(a)The amortization of actuarial losses and prior service cost is part of total net periodic retirement benefit cost when reclassified to net income (loss). Net periodic retirement benefit cost also includes service cost, interest cost, expected returns on assets, and settlements. Total service cost is allocated between cost of revenues and selling, general and administrative expenses on a plan-by-plan basis and the remaining net periodic retirement benefit cost items are allocated to interest and other nonoperating income (expense):</w:t>
      </w:r>
    </w:p>
    <w:tbl>
      <w:tblPr>
        <w:tblW w:w="5409" w:type="dxa"/>
        <w:jc w:val="left"/>
        <w:tblInd w:w="0" w:type="dxa"/>
        <w:tblLayout w:type="fixed"/>
        <w:tblCellMar>
          <w:top w:w="28" w:type="dxa"/>
          <w:left w:w="28" w:type="dxa"/>
          <w:bottom w:w="28" w:type="dxa"/>
          <w:right w:w="28" w:type="dxa"/>
        </w:tblCellMar>
      </w:tblPr>
      <w:tblGrid>
        <w:gridCol w:w="1152"/>
        <w:gridCol w:w="1015"/>
        <w:gridCol w:w="1027"/>
        <w:gridCol w:w="181"/>
        <w:gridCol w:w="316"/>
        <w:gridCol w:w="109"/>
        <w:gridCol w:w="109"/>
        <w:gridCol w:w="109"/>
        <w:gridCol w:w="109"/>
        <w:gridCol w:w="158"/>
        <w:gridCol w:w="158"/>
        <w:gridCol w:w="136"/>
        <w:gridCol w:w="109"/>
        <w:gridCol w:w="109"/>
        <w:gridCol w:w="109"/>
        <w:gridCol w:w="158"/>
        <w:gridCol w:w="158"/>
        <w:gridCol w:w="187"/>
      </w:tblGrid>
      <w:tr>
        <w:trPr/>
        <w:tc>
          <w:tcPr>
            <w:tcW w:w="1152"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December 31,</w:t>
            </w:r>
          </w:p>
        </w:tc>
      </w:tr>
      <w:tr>
        <w:trPr/>
        <w:tc>
          <w:tcPr>
            <w:tcW w:w="31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(In millions)</w:t>
            </w:r>
          </w:p>
        </w:tc>
        <w:tc>
          <w:tcPr>
            <w:tcW w:w="6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2023</w:t>
            </w:r>
          </w:p>
        </w:tc>
      </w:tr>
      <w:tr>
        <w:trPr/>
        <w:tc>
          <w:tcPr>
            <w:tcW w:w="31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net periodic retirement benefit cost included in:</w:t>
            </w:r>
          </w:p>
        </w:tc>
        <w:tc>
          <w:tcPr>
            <w:tcW w:w="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Cost of revenues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Selling, general and administrative expenses</w:t>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Interest and other nonoperating income (expense)</w:t>
            </w:r>
          </w:p>
        </w:tc>
        <w:tc>
          <w:tcPr>
            <w:tcW w:w="49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0.1 </w:t>
            </w:r>
          </w:p>
        </w:tc>
        <w:tc>
          <w:tcPr>
            <w:tcW w:w="13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0.5 </w:t>
            </w:r>
          </w:p>
        </w:tc>
        <w:tc>
          <w:tcPr>
            <w:tcW w:w="187"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(b)2025 foreign currency translation adjustment amounts reflect primarily the appreciation of the Mexican peso, the Brazilian real, the Colombian peso, the Chilean peso, the Malaysian ringgit, and the euro. 2024 foreign currency translation adjustment amounts reflect primarily the devaluation of the Mexican peso, the Brazilian real, the Canadian dollar, the Colombian peso, the Chilean peso, and the euro. 2023 foreign currency translation adjustment amounts reflect primarily the appreciation of the Mexican peso, the Brazilian real, the British pound, and the euro.</w:t>
      </w:r>
    </w:p>
    <w:p>
      <w:pPr>
        <w:pStyle w:val="TextBody"/>
        <w:bidi w:val="0"/>
        <w:spacing w:lineRule="auto" w:line="288" w:before="0" w:after="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(c)Unrealized gains and losses on available-for-sale debt securities are initially recognized in accumulated other comprehensive income (loss). When sold, gains and losses are then realized and reclassified to the consolidated statement of operations in the same period. Pretax amounts are classified in the consolidated statements of operations as interest and other income (expense). We realized a $10.1 million gain in 2025, a $4.6 million gain in 2024, and a $5.0 million loss in 2023 on sales of available-for-sale debt securities.</w:t>
      </w:r>
    </w:p>
    <w:p>
      <w:pPr>
        <w:pStyle w:val="TextBody"/>
        <w:bidi w:val="0"/>
        <w:spacing w:lineRule="auto" w:line="288" w:before="0" w:after="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(d)Pretax gains and losses on cash flow hedges are classified in the consolidated statements of operations as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4"/>
        </w:rPr>
        <w:t>other operating income (expense) (no gain or loss in 2025, no gain or loss in 2024 and a $7.8 million loss in 2023.)</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14"/>
        </w:rPr>
        <w:t>interest expense ($7.7 million reduction to expense in 2025, $17.7 million reduction to expense in 2024, and $19.1 million reduction to expense in 2023.)</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31445"/>
                <wp:effectExtent l="0" t="0" r="0" b="0"/>
                <wp:wrapNone/>
                <wp:docPr id="100" name="Frame9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changes in accumulated other comprehensive loss attributable to Brink’s are as follows:</w:t>
      </w:r>
    </w:p>
    <w:tbl>
      <w:tblPr>
        <w:tblW w:w="10205" w:type="dxa"/>
        <w:jc w:val="left"/>
        <w:tblInd w:w="0" w:type="dxa"/>
        <w:tblLayout w:type="fixed"/>
        <w:tblCellMar>
          <w:top w:w="28" w:type="dxa"/>
          <w:left w:w="28" w:type="dxa"/>
          <w:bottom w:w="28" w:type="dxa"/>
          <w:right w:w="28" w:type="dxa"/>
        </w:tblCellMar>
      </w:tblPr>
      <w:tblGrid>
        <w:gridCol w:w="1096"/>
        <w:gridCol w:w="639"/>
        <w:gridCol w:w="612"/>
        <w:gridCol w:w="270"/>
        <w:gridCol w:w="787"/>
        <w:gridCol w:w="151"/>
        <w:gridCol w:w="109"/>
        <w:gridCol w:w="109"/>
        <w:gridCol w:w="109"/>
        <w:gridCol w:w="493"/>
        <w:gridCol w:w="493"/>
        <w:gridCol w:w="494"/>
        <w:gridCol w:w="109"/>
        <w:gridCol w:w="109"/>
        <w:gridCol w:w="109"/>
        <w:gridCol w:w="624"/>
        <w:gridCol w:w="624"/>
        <w:gridCol w:w="625"/>
        <w:gridCol w:w="109"/>
        <w:gridCol w:w="109"/>
        <w:gridCol w:w="109"/>
        <w:gridCol w:w="395"/>
        <w:gridCol w:w="395"/>
        <w:gridCol w:w="396"/>
        <w:gridCol w:w="109"/>
        <w:gridCol w:w="109"/>
        <w:gridCol w:w="109"/>
        <w:gridCol w:w="291"/>
        <w:gridCol w:w="292"/>
        <w:gridCol w:w="220"/>
      </w:tblGrid>
      <w:tr>
        <w:trPr/>
        <w:tc>
          <w:tcPr>
            <w:tcW w:w="1096"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234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2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Benefit Plan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Gains (Losses) on Available-for-Sale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Gains (Losses) on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23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2022</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(290.7)</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(433.8)</w:t>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24.6 </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(700.5)</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before reclassifications</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reclassified from accumulated other comprehensive loss to net income (loss)</w:t>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4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6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attributable to Brink's</w:t>
            </w:r>
          </w:p>
        </w:tc>
        <w:tc>
          <w:tcPr>
            <w:tcW w:w="10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65.6 </w:t>
            </w:r>
          </w:p>
        </w:tc>
        <w:tc>
          <w:tcPr>
            <w:tcW w:w="4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6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w:t>
            </w:r>
          </w:p>
        </w:tc>
        <w:tc>
          <w:tcPr>
            <w:tcW w:w="3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r>
      <w:tr>
        <w:trPr/>
        <w:tc>
          <w:tcPr>
            <w:tcW w:w="234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r>
      <w:tr>
        <w:trPr/>
        <w:tc>
          <w:tcPr>
            <w:tcW w:w="23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2023</w:t>
            </w:r>
          </w:p>
        </w:tc>
        <w:tc>
          <w:tcPr>
            <w:tcW w:w="10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(302.2)</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(368.2)</w:t>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(656.0)</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before reclassifications</w:t>
            </w:r>
          </w:p>
        </w:tc>
        <w:tc>
          <w:tcPr>
            <w:tcW w:w="10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(185.0)</w:t>
            </w:r>
          </w:p>
        </w:tc>
        <w:tc>
          <w:tcPr>
            <w:tcW w:w="4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6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3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(128.8)</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reclassified from accumulated other comprehensive loss to net income (loss)</w:t>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4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6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attributable to Brink's</w:t>
            </w:r>
          </w:p>
        </w:tc>
        <w:tc>
          <w:tcPr>
            <w:tcW w:w="10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(188.5)</w:t>
            </w:r>
          </w:p>
        </w:tc>
        <w:tc>
          <w:tcPr>
            <w:tcW w:w="4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6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3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(148.1)</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r>
      <w:tr>
        <w:trPr/>
        <w:tc>
          <w:tcPr>
            <w:tcW w:w="234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r>
      <w:tr>
        <w:trPr/>
        <w:tc>
          <w:tcPr>
            <w:tcW w:w="23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2024</w:t>
            </w:r>
          </w:p>
        </w:tc>
        <w:tc>
          <w:tcPr>
            <w:tcW w:w="10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(260.4)</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(556.7)</w:t>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(804.1)</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before reclassifications</w:t>
            </w:r>
          </w:p>
        </w:tc>
        <w:tc>
          <w:tcPr>
            <w:tcW w:w="10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154.2 </w:t>
            </w:r>
          </w:p>
        </w:tc>
        <w:tc>
          <w:tcPr>
            <w:tcW w:w="4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w:t>
            </w:r>
          </w:p>
        </w:tc>
        <w:tc>
          <w:tcPr>
            <w:tcW w:w="6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3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134.2 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reclassified from accumulated other comprehensive loss to net income (loss)</w:t>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4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6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attributable to Brink's</w:t>
            </w:r>
          </w:p>
        </w:tc>
        <w:tc>
          <w:tcPr>
            <w:tcW w:w="10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150.1 </w:t>
            </w:r>
          </w:p>
        </w:tc>
        <w:tc>
          <w:tcPr>
            <w:tcW w:w="4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6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w:t>
            </w:r>
          </w:p>
        </w:tc>
        <w:tc>
          <w:tcPr>
            <w:tcW w:w="3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138.7 </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r>
      <w:tr>
        <w:trPr/>
        <w:tc>
          <w:tcPr>
            <w:tcW w:w="2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 of noncontrolling interests</w:t>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4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2025</w:t>
            </w:r>
          </w:p>
        </w:tc>
        <w:tc>
          <w:tcPr>
            <w:tcW w:w="27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(267.0)</w:t>
            </w:r>
          </w:p>
        </w:tc>
        <w:tc>
          <w:tcPr>
            <w:tcW w:w="1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(406.8)</w:t>
            </w:r>
          </w:p>
        </w:tc>
        <w:tc>
          <w:tcPr>
            <w:tcW w:w="49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62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3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83"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(665.6)</w:t>
            </w:r>
          </w:p>
        </w:tc>
        <w:tc>
          <w:tcPr>
            <w:tcW w:w="2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31445"/>
                <wp:effectExtent l="0" t="0" r="0" b="0"/>
                <wp:wrapNone/>
                <wp:docPr id="101" name="Frame10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 xml:space="preserve">Note 11 - Fair Value of Financial Instruments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Investments in Marketable Securities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have investments in mutual funds, equity securities and available-for-sale debt securities that are carried at fair value in the financial statements and are included in other assets on the consolidated balance sheet. For these investments, fair value was based on quoted market prices, which we have categorized as a Level 1 valuation.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Fixed-Rate Debt</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fair value and carrying value of our material fixed-rate debt, excluding any unamortized debt issuance costs, are as follows:</w:t>
      </w:r>
    </w:p>
    <w:tbl>
      <w:tblPr>
        <w:tblW w:w="4237" w:type="dxa"/>
        <w:jc w:val="left"/>
        <w:tblInd w:w="0" w:type="dxa"/>
        <w:tblLayout w:type="fixed"/>
        <w:tblCellMar>
          <w:top w:w="28" w:type="dxa"/>
          <w:left w:w="28" w:type="dxa"/>
          <w:bottom w:w="28" w:type="dxa"/>
          <w:right w:w="28" w:type="dxa"/>
        </w:tblCellMar>
      </w:tblPr>
      <w:tblGrid>
        <w:gridCol w:w="819"/>
        <w:gridCol w:w="722"/>
        <w:gridCol w:w="724"/>
        <w:gridCol w:w="196"/>
        <w:gridCol w:w="571"/>
        <w:gridCol w:w="109"/>
        <w:gridCol w:w="109"/>
        <w:gridCol w:w="109"/>
        <w:gridCol w:w="109"/>
        <w:gridCol w:w="278"/>
        <w:gridCol w:w="278"/>
        <w:gridCol w:w="213"/>
      </w:tblGrid>
      <w:tr>
        <w:trPr/>
        <w:tc>
          <w:tcPr>
            <w:tcW w:w="81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9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w:t>
            </w:r>
          </w:p>
        </w:tc>
      </w:tr>
      <w:tr>
        <w:trPr/>
        <w:tc>
          <w:tcPr>
            <w:tcW w:w="22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8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r>
      <w:tr>
        <w:trPr/>
        <w:tc>
          <w:tcPr>
            <w:tcW w:w="22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2027 Senior Unsecured Notes</w:t>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Carrying value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579.0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2029 Senior Unsecured Notes</w:t>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Carrying value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412.2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2032 Senior Unsecured Notes</w:t>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Carrying value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w:t>
            </w:r>
          </w:p>
        </w:tc>
        <w:tc>
          <w:tcPr>
            <w:tcW w:w="76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416.0</w:t>
            </w: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397.2 </w:t>
            </w:r>
          </w:p>
        </w:tc>
        <w:tc>
          <w:tcPr>
            <w:tcW w:w="213"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Pricing inputs for nonpublic debt are often not observable. The fair value estimates of our senior notes reflect unobservable estimates and assumptions, which we have categorized as a Level 3 valuation. Our fair value estimates were based on the present value of future cash flows, discounted at rates for public debt at the measurement date. The rates for public debt were additionally adjusted for a factor which represented the change in the interest spreads between the inception rates and the public debt rates at the measurement date.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Forward and Swap Contracts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fair values of our forward and swap contracts are based on the present value of net future cash payments and receipts, as well as inputs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related to forward interest rates and forward currency rates that are derived principally from, or corroborated by, observable market data,</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which we have categorized as a Level 2 valuation.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Economic Hedges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have outstanding foreign currency forward and swap contracts to hedge transactional risks associated with foreign currencies. At December 31, 2025, the notional value of our outstanding foreign currency forward and swap contracts was $982 million, with average maturities of approximately one month. These foreign currency forward and swap contracts primarily offset exposures in the euro, the Mexican peso, and the British pound and are not designated as hedges for accounting purposes. Accordingly, changes in their fair value are recorded immediately in earnings.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Cash flows related to economic hedges are reported in the consolidated statements of cash flows based on the nature of the underlying items being hedged. For the periods presented, such cash flows are reported in operating activities or investing activities.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fair value of these contracts were recognized in the consolidated balance sheet as follows:</w:t>
      </w:r>
    </w:p>
    <w:tbl>
      <w:tblPr>
        <w:tblW w:w="3891" w:type="dxa"/>
        <w:jc w:val="left"/>
        <w:tblInd w:w="0" w:type="dxa"/>
        <w:tblLayout w:type="fixed"/>
        <w:tblCellMar>
          <w:top w:w="28" w:type="dxa"/>
          <w:left w:w="28" w:type="dxa"/>
          <w:bottom w:w="28" w:type="dxa"/>
          <w:right w:w="28" w:type="dxa"/>
        </w:tblCellMar>
      </w:tblPr>
      <w:tblGrid>
        <w:gridCol w:w="743"/>
        <w:gridCol w:w="655"/>
        <w:gridCol w:w="657"/>
        <w:gridCol w:w="196"/>
        <w:gridCol w:w="451"/>
        <w:gridCol w:w="109"/>
        <w:gridCol w:w="109"/>
        <w:gridCol w:w="109"/>
        <w:gridCol w:w="109"/>
        <w:gridCol w:w="269"/>
        <w:gridCol w:w="271"/>
        <w:gridCol w:w="213"/>
      </w:tblGrid>
      <w:tr>
        <w:trPr/>
        <w:tc>
          <w:tcPr>
            <w:tcW w:w="743"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83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December 31,</w:t>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r>
      <w:tr>
        <w:trPr/>
        <w:tc>
          <w:tcPr>
            <w:tcW w:w="20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Prepaid expenses and other</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Accrued liabilities</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asset (liability)</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2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Amounts under these contracts were recognized in other operating income (expense) as follows:</w:t>
      </w:r>
    </w:p>
    <w:tbl>
      <w:tblPr>
        <w:tblW w:w="9333" w:type="dxa"/>
        <w:jc w:val="left"/>
        <w:tblInd w:w="0" w:type="dxa"/>
        <w:tblLayout w:type="fixed"/>
        <w:tblCellMar>
          <w:top w:w="28" w:type="dxa"/>
          <w:left w:w="28" w:type="dxa"/>
          <w:bottom w:w="28" w:type="dxa"/>
          <w:right w:w="28" w:type="dxa"/>
        </w:tblCellMar>
      </w:tblPr>
      <w:tblGrid>
        <w:gridCol w:w="2185"/>
        <w:gridCol w:w="1927"/>
        <w:gridCol w:w="1933"/>
        <w:gridCol w:w="250"/>
        <w:gridCol w:w="690"/>
        <w:gridCol w:w="139"/>
        <w:gridCol w:w="139"/>
        <w:gridCol w:w="139"/>
        <w:gridCol w:w="139"/>
        <w:gridCol w:w="269"/>
        <w:gridCol w:w="271"/>
        <w:gridCol w:w="156"/>
        <w:gridCol w:w="139"/>
        <w:gridCol w:w="139"/>
        <w:gridCol w:w="139"/>
        <w:gridCol w:w="233"/>
        <w:gridCol w:w="233"/>
        <w:gridCol w:w="213"/>
      </w:tblGrid>
      <w:tr>
        <w:trPr/>
        <w:tc>
          <w:tcPr>
            <w:tcW w:w="2185"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604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Twelve Months Ended December 31,</w:t>
            </w:r>
          </w:p>
        </w:tc>
      </w:tr>
      <w:tr>
        <w:trPr/>
        <w:tc>
          <w:tcPr>
            <w:tcW w:w="6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2023</w:t>
            </w:r>
          </w:p>
        </w:tc>
      </w:tr>
      <w:tr>
        <w:trPr/>
        <w:tc>
          <w:tcPr>
            <w:tcW w:w="60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Derivative instrument gains (losses) included in other operating income (expense)</w:t>
            </w:r>
            <w:r>
              <w:rPr>
                <w:rFonts w:ascii="Times New Roman;serif" w:hAnsi="Times New Roman;serif"/>
                <w:b w:val="false"/>
                <w:color w:val="000000"/>
                <w:sz w:val="12"/>
              </w:rPr>
              <w:t>(a)</w:t>
            </w:r>
          </w:p>
        </w:tc>
        <w:tc>
          <w:tcPr>
            <w:tcW w:w="250"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0"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w:t>
            </w:r>
          </w:p>
        </w:tc>
        <w:tc>
          <w:tcPr>
            <w:tcW w:w="13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w:t>
            </w:r>
          </w:p>
        </w:tc>
        <w:tc>
          <w:tcPr>
            <w:tcW w:w="1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21.3 </w:t>
            </w:r>
          </w:p>
        </w:tc>
        <w:tc>
          <w:tcPr>
            <w:tcW w:w="213"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679" w:type="dxa"/>
            <w:gridSpan w:val="3"/>
            <w:tcBorders/>
            <w:vAlign w:val="center"/>
          </w:tcPr>
          <w:p>
            <w:pPr>
              <w:pStyle w:val="TableContents"/>
              <w:bidi w:val="0"/>
              <w:spacing w:before="0" w:after="283"/>
              <w:jc w:val="left"/>
              <w:rPr>
                <w:sz w:val="4"/>
                <w:szCs w:val="4"/>
              </w:rPr>
            </w:pPr>
            <w:r>
              <w:rPr>
                <w:sz w:val="4"/>
                <w:szCs w:val="4"/>
              </w:rPr>
            </w:r>
          </w:p>
        </w:tc>
      </w:tr>
      <w:tr>
        <w:trPr/>
        <w:tc>
          <w:tcPr>
            <w:tcW w:w="6045"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67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4"/>
        </w:rPr>
      </w:pPr>
      <w:r>
        <w:rPr>
          <w:rFonts w:ascii="Times New Roman;serif" w:hAnsi="Times New Roman;serif"/>
          <w:b w:val="false"/>
          <w:color w:val="000000"/>
          <w:sz w:val="14"/>
        </w:rPr>
        <w:t>(a)Derivative instrument losses in 2025 were driven primarily by the impacts of hedging currency exposures on intercompany loans denominated in the euro, the British pound, and the Mexican peso. Derivative instrument losses in 2024 and derivative instrument gains in 2023 were driven primarily by the impacts of forward currency contracts to hedge exposure to the Mexican peso</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31445"/>
                <wp:effectExtent l="0" t="0" r="0" b="0"/>
                <wp:wrapNone/>
                <wp:docPr id="102" name="Frame10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Net Investment Hedges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We have entered into cross currency swaps and foreign exchange forward swap contracts to hedge a portion of our net investments in certain of our subsidiaries with euro and other functional currencies. We elected to use the spot method to assess effectiveness for these derivatives that are designated as net investment hedges for accounting purposes. Accordingly, changes in fair value attributable to changes in the undiscounted spot rates are recorded in the foreign currency translation adjustments component of accumulated other comprehensive income (loss) and will remain there until the hedged net investments are sold or substantially liquidated. We have elected to exclude the spot-forward difference from the assessment of hedge effectiveness and are amortizing this amount separately on a straight-line basis over the term of the cross currency swaps.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 2023, we entered into a zero cost foreign exchange collar contract with a $215 million notional amount and a May 2026 expiration date. We sold a put option with a lower strike price and bought a call option with a higher strike price to manage the foreign exchange risk related to the final settlement of the $215 million notional cross currency swaps. Upon the execution of the zero cost foreign exchange collar contract, we de-designated the existing $215 million notional cross currency swaps and re-designated the combined $215 million notional cross currency swaps and zero cost collar into a new hedging instrument. At re-designation, the existing $215 million notional cross currency swaps had a non-zero fair value representing an off-market component of the participating cross currency swaps. The off-market value is being ratably amortized into earnings through May 2026. The combined cross currency swaps and zero cost collar has been designated as a net investment hedge for accounting purposes.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fair value of these contracts were recognized in the consolidated balance sheet as follows:</w:t>
      </w:r>
    </w:p>
    <w:tbl>
      <w:tblPr>
        <w:tblW w:w="4880" w:type="dxa"/>
        <w:jc w:val="left"/>
        <w:tblInd w:w="0" w:type="dxa"/>
        <w:tblLayout w:type="fixed"/>
        <w:tblCellMar>
          <w:top w:w="28" w:type="dxa"/>
          <w:left w:w="28" w:type="dxa"/>
          <w:bottom w:w="28" w:type="dxa"/>
          <w:right w:w="28" w:type="dxa"/>
        </w:tblCellMar>
      </w:tblPr>
      <w:tblGrid>
        <w:gridCol w:w="1068"/>
        <w:gridCol w:w="941"/>
        <w:gridCol w:w="945"/>
        <w:gridCol w:w="196"/>
        <w:gridCol w:w="541"/>
        <w:gridCol w:w="109"/>
        <w:gridCol w:w="109"/>
        <w:gridCol w:w="109"/>
        <w:gridCol w:w="109"/>
        <w:gridCol w:w="269"/>
        <w:gridCol w:w="271"/>
        <w:gridCol w:w="213"/>
      </w:tblGrid>
      <w:tr>
        <w:trPr/>
        <w:tc>
          <w:tcPr>
            <w:tcW w:w="106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92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December 31,</w:t>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r>
      <w:tr>
        <w:trPr/>
        <w:tc>
          <w:tcPr>
            <w:tcW w:w="29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18"/>
              </w:rPr>
              <w:t>Euro net investment hedge</w:t>
            </w:r>
            <w:r>
              <w:rPr>
                <w:rFonts w:ascii="Times New Roman;serif" w:hAnsi="Times New Roman;serif"/>
                <w:b w:val="false"/>
                <w:i/>
                <w:color w:val="000000"/>
                <w:sz w:val="12"/>
              </w:rPr>
              <w:t>(a)</w:t>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Prepaid expenses and other</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Zero cost collar</w:t>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noncurrent asset</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18"/>
              </w:rPr>
              <w:t>Other currency net investment hedges</w:t>
            </w:r>
            <w:r>
              <w:rPr>
                <w:rFonts w:ascii="Times New Roman;serif" w:hAnsi="Times New Roman;serif"/>
                <w:b w:val="false"/>
                <w:i/>
                <w:color w:val="000000"/>
                <w:sz w:val="12"/>
              </w:rPr>
              <w:t>(b)</w:t>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asset (liability)</w:t>
            </w:r>
          </w:p>
        </w:tc>
        <w:tc>
          <w:tcPr>
            <w:tcW w:w="19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w:t>
            </w:r>
          </w:p>
        </w:tc>
        <w:tc>
          <w:tcPr>
            <w:tcW w:w="213"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4"/>
        </w:rPr>
      </w:pPr>
      <w:r>
        <w:rPr>
          <w:rFonts w:ascii="Times New Roman;serif" w:hAnsi="Times New Roman;serif"/>
          <w:b w:val="false"/>
          <w:color w:val="000000"/>
          <w:sz w:val="14"/>
        </w:rPr>
        <w:t>(a)At December 31, 2025, swaps with a total notional value of $215 million will terminate in May 2026 and have a weighted average maturity of 0.3 years. Swaps with a total notional value of $185 million will terminate in April 2031 and have a weighted average maturity of 4.8 years.</w:t>
      </w:r>
    </w:p>
    <w:p>
      <w:pPr>
        <w:pStyle w:val="TextBody"/>
        <w:bidi w:val="0"/>
        <w:spacing w:lineRule="auto" w:line="288" w:before="0" w:after="0"/>
        <w:ind w:left="0" w:right="0" w:hanging="360"/>
        <w:jc w:val="both"/>
        <w:rPr>
          <w:rFonts w:ascii="Times New Roman;serif" w:hAnsi="Times New Roman;serif"/>
          <w:b w:val="false"/>
          <w:color w:val="000000"/>
          <w:sz w:val="14"/>
        </w:rPr>
      </w:pPr>
      <w:r>
        <w:rPr>
          <w:rFonts w:ascii="Times New Roman;serif" w:hAnsi="Times New Roman;serif"/>
          <w:b w:val="false"/>
          <w:color w:val="000000"/>
          <w:sz w:val="14"/>
        </w:rPr>
        <w:t>(b)At December 31, 2025, the total notional value was $145 million with a weighted average maturity of 1.1 years. These contracts hedge portions of our net investments in subsidiaries with functional currencies of Hong Kong dollar; Singapore dollar; Japanese yen; Israeli shekel; Swiss franc; and Canadian dollar.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effect of the amortization of the spot-forward difference on the net investment hedges, cross currency swaps, and foreign exchange forward swap contract is included as a benefit in interest expense as follows:</w:t>
      </w:r>
    </w:p>
    <w:tbl>
      <w:tblPr>
        <w:tblW w:w="7433" w:type="dxa"/>
        <w:jc w:val="left"/>
        <w:tblInd w:w="0" w:type="dxa"/>
        <w:tblLayout w:type="fixed"/>
        <w:tblCellMar>
          <w:top w:w="28" w:type="dxa"/>
          <w:left w:w="28" w:type="dxa"/>
          <w:bottom w:w="28" w:type="dxa"/>
          <w:right w:w="28" w:type="dxa"/>
        </w:tblCellMar>
      </w:tblPr>
      <w:tblGrid>
        <w:gridCol w:w="1551"/>
        <w:gridCol w:w="1367"/>
        <w:gridCol w:w="1371"/>
        <w:gridCol w:w="260"/>
        <w:gridCol w:w="600"/>
        <w:gridCol w:w="145"/>
        <w:gridCol w:w="145"/>
        <w:gridCol w:w="145"/>
        <w:gridCol w:w="145"/>
        <w:gridCol w:w="224"/>
        <w:gridCol w:w="226"/>
        <w:gridCol w:w="156"/>
        <w:gridCol w:w="145"/>
        <w:gridCol w:w="145"/>
        <w:gridCol w:w="145"/>
        <w:gridCol w:w="224"/>
        <w:gridCol w:w="226"/>
        <w:gridCol w:w="213"/>
      </w:tblGrid>
      <w:tr>
        <w:trPr/>
        <w:tc>
          <w:tcPr>
            <w:tcW w:w="1551"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144"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Twelve Months Ended December 31,</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2023</w:t>
            </w:r>
          </w:p>
        </w:tc>
      </w:tr>
      <w:tr>
        <w:trPr/>
        <w:tc>
          <w:tcPr>
            <w:tcW w:w="4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Cross currency swaps designated as net investment hedges</w:t>
            </w:r>
          </w:p>
        </w:tc>
        <w:tc>
          <w:tcPr>
            <w:tcW w:w="260"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0"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145"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213"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Cash flows related to the amortization of the off-market component of net investment hedges are reported in investing activities. Cash flows from the termination and final settlement of net investment hedges are reported in investing activities. All other cash flows from net investment hedges are reported in operating activities.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Interest Rate Swaps - Cash Flow Hedges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We have periodically entered into interest rate swaps to hedge cash flow risk associated with changes in variable interest rates and we have designated the interest rate swaps as cash flow hedges for accounting purposes. Accordingly, changes in the fair value of these cash flow hedges are initially recorded in the gains (losses) on cash flow hedges component of accumulated other comprehensive income (loss).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31445"/>
                <wp:effectExtent l="0" t="0" r="0" b="0"/>
                <wp:wrapNone/>
                <wp:docPr id="103" name="Frame10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reclassify amounts from accumulated other comprehensive income (loss) into earnings in the same periods that the hedged debt affects earnings.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In 2024, we elected to early terminate interest rate swaps with an aggregate notional value of $775 million and we received approximately</w:t>
      </w:r>
      <w:r>
        <w:rPr>
          <w:color w:val="000000"/>
        </w:rPr>
        <w:t xml:space="preserve"> </w:t>
      </w:r>
      <w:r>
        <w:rPr>
          <w:rFonts w:ascii="Times New Roman;serif" w:hAnsi="Times New Roman;serif"/>
          <w:b w:val="false"/>
          <w:color w:val="000000"/>
          <w:sz w:val="18"/>
        </w:rPr>
        <w:t>$19 million in cash proceeds upon termination. The cash proceeds for terminating the swaps were reported as cash flows from operating activities.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 the first and third quarters of 2025, we entered into interest rate swaps totaling $150 million in notional value, all maturing in June 2027.</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fair values of our interest rate swaps were recognized in the consolidated balance sheet as follows:</w:t>
      </w:r>
    </w:p>
    <w:tbl>
      <w:tblPr>
        <w:tblW w:w="5031" w:type="dxa"/>
        <w:jc w:val="left"/>
        <w:tblInd w:w="0" w:type="dxa"/>
        <w:tblLayout w:type="fixed"/>
        <w:tblCellMar>
          <w:top w:w="28" w:type="dxa"/>
          <w:left w:w="28" w:type="dxa"/>
          <w:bottom w:w="28" w:type="dxa"/>
          <w:right w:w="28" w:type="dxa"/>
        </w:tblCellMar>
      </w:tblPr>
      <w:tblGrid>
        <w:gridCol w:w="1204"/>
        <w:gridCol w:w="1061"/>
        <w:gridCol w:w="1064"/>
        <w:gridCol w:w="196"/>
        <w:gridCol w:w="451"/>
        <w:gridCol w:w="109"/>
        <w:gridCol w:w="109"/>
        <w:gridCol w:w="109"/>
        <w:gridCol w:w="109"/>
        <w:gridCol w:w="203"/>
        <w:gridCol w:w="203"/>
        <w:gridCol w:w="213"/>
      </w:tblGrid>
      <w:tr>
        <w:trPr/>
        <w:tc>
          <w:tcPr>
            <w:tcW w:w="1204"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7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w:t>
            </w:r>
          </w:p>
        </w:tc>
      </w:tr>
      <w:tr>
        <w:trPr/>
        <w:tc>
          <w:tcPr>
            <w:tcW w:w="33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7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r>
      <w:tr>
        <w:trPr/>
        <w:tc>
          <w:tcPr>
            <w:tcW w:w="33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18"/>
              </w:rPr>
              <w:t>$100 million notional - June 2027 maturity</w:t>
            </w:r>
            <w:r>
              <w:rPr>
                <w:rFonts w:ascii="Times New Roman;serif" w:hAnsi="Times New Roman;serif"/>
                <w:b w:val="false"/>
                <w:i/>
                <w:color w:val="000000"/>
                <w:sz w:val="12"/>
              </w:rPr>
              <w:t>(a)</w:t>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Accrued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18"/>
              </w:rPr>
              <w:t>$50 million notional - June 2027 maturity</w:t>
            </w:r>
            <w:r>
              <w:rPr>
                <w:rFonts w:ascii="Times New Roman;serif" w:hAnsi="Times New Roman;serif"/>
                <w:b w:val="false"/>
                <w:i/>
                <w:color w:val="000000"/>
                <w:sz w:val="12"/>
              </w:rPr>
              <w:t>(a)</w:t>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asset (liability)</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(a)At December 31, 2025, swaps with a total notional value of $150 million will terminate in June 2027 and have a weighted average maturity of 0.8 years.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Amounts under these contracts were recognized in interest expense as follows:</w:t>
      </w:r>
    </w:p>
    <w:tbl>
      <w:tblPr>
        <w:tblW w:w="6354" w:type="dxa"/>
        <w:jc w:val="left"/>
        <w:tblInd w:w="0" w:type="dxa"/>
        <w:tblLayout w:type="fixed"/>
        <w:tblCellMar>
          <w:top w:w="28" w:type="dxa"/>
          <w:left w:w="28" w:type="dxa"/>
          <w:bottom w:w="28" w:type="dxa"/>
          <w:right w:w="28" w:type="dxa"/>
        </w:tblCellMar>
      </w:tblPr>
      <w:tblGrid>
        <w:gridCol w:w="1095"/>
        <w:gridCol w:w="966"/>
        <w:gridCol w:w="969"/>
        <w:gridCol w:w="260"/>
        <w:gridCol w:w="600"/>
        <w:gridCol w:w="145"/>
        <w:gridCol w:w="145"/>
        <w:gridCol w:w="145"/>
        <w:gridCol w:w="145"/>
        <w:gridCol w:w="269"/>
        <w:gridCol w:w="271"/>
        <w:gridCol w:w="156"/>
        <w:gridCol w:w="145"/>
        <w:gridCol w:w="145"/>
        <w:gridCol w:w="145"/>
        <w:gridCol w:w="269"/>
        <w:gridCol w:w="271"/>
        <w:gridCol w:w="213"/>
      </w:tblGrid>
      <w:tr>
        <w:trPr/>
        <w:tc>
          <w:tcPr>
            <w:tcW w:w="1095"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32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Twelve Months Ended December 31,</w:t>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2023</w:t>
            </w:r>
          </w:p>
        </w:tc>
      </w:tr>
      <w:tr>
        <w:trPr/>
        <w:tc>
          <w:tcPr>
            <w:tcW w:w="30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Impact to interest expense - (benefit) cost</w:t>
            </w:r>
          </w:p>
        </w:tc>
        <w:tc>
          <w:tcPr>
            <w:tcW w:w="260"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0"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w:t>
            </w:r>
          </w:p>
        </w:tc>
        <w:tc>
          <w:tcPr>
            <w:tcW w:w="145"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w:t>
            </w:r>
          </w:p>
        </w:tc>
        <w:tc>
          <w:tcPr>
            <w:tcW w:w="1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w:t>
            </w:r>
          </w:p>
        </w:tc>
        <w:tc>
          <w:tcPr>
            <w:tcW w:w="213"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Cash flows related to interest rate swaps are reported as operating activities.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Cross Currency Swap - Cash Flow Hedge</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In the first quarter of 2019, we entered into a long term cross currency swap contract to hedge exposure in Brazilian real. This cross currency swap contract matured and was fully settled in the fourth quarter of 2023. The swap contract was designated as a cash flow hedge for accounting purposes and changes in the fair value of the cash flow hedge were initially recorded in the gains (losses) on cash flow hedges component of accumulated other comprehensive income (loss). We immediately reclassified from accumulated other comprehensive income (loss) to earnings an amount to offset the remeasurement recognized in earnings associated with the respective intercompany loan. Additionally, we reclassified amounts from accumulated other comprehensive income (loss) to interest expense that were associated with the interest rate differential between a U.S. dollar denominated intercompany loan and a Brazilian real denominated intercompany loan.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Before final settlement occurred in the fourth quarter of 2023, under this contract, we recognized a net derivative instrument loss of 8.7 million in 2023.</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 xml:space="preserve">Contingent Consideration </w:t>
      </w:r>
    </w:p>
    <w:p>
      <w:pPr>
        <w:pStyle w:val="TextBody"/>
        <w:bidi w:val="0"/>
        <w:spacing w:lineRule="auto" w:line="288" w:before="0" w:after="0"/>
        <w:jc w:val="left"/>
        <w:rPr/>
      </w:pPr>
      <w:r>
        <w:rPr>
          <w:rFonts w:ascii="Times New Roman;serif" w:hAnsi="Times New Roman;serif"/>
          <w:b w:val="false"/>
          <w:color w:val="000000"/>
          <w:sz w:val="18"/>
        </w:rPr>
        <w:t>In the second quarter of 2020, we acquired cash management operations in Malaysia from U.K.-based G4S Plc ("G4S") and have recorded a payable for contingent consideration. The contingent consideration will be paid when minimum</w:t>
      </w:r>
      <w:r>
        <w:rPr>
          <w:color w:val="000000"/>
        </w:rPr>
        <w:t xml:space="preserve"> </w:t>
      </w:r>
      <w:r>
        <w:rPr>
          <w:rFonts w:ascii="Times New Roman;serif" w:hAnsi="Times New Roman;serif"/>
          <w:b w:val="false"/>
          <w:color w:val="000000"/>
          <w:sz w:val="18"/>
        </w:rPr>
        <w:t>dividend distributions are received by Brink's relating to cash on the balance sheets of the Malaysia subsidiaries as of the acquisition date. We used a probability-weighted approach to estimate the fair value of the contingent consideration. The fair value of the contingent consideration is the full $24 million that remains potentially payable as of December 31, 2025 as we believe it is unlikely that the contingent consideration payments will be reduced.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Other Financial Instruments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Other financial instruments include cash and cash equivalents, accounts receivable, floating rate debt, accounts payable and accrued liabilities. The financial statement carrying amounts of these items approximate the fair value.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There were no transfers in or out of any of the levels of the valuation hierarchy in 2025.</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31445"/>
                <wp:effectExtent l="0" t="0" r="0" b="0"/>
                <wp:wrapNone/>
                <wp:docPr id="104" name="Frame10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 xml:space="preserve">Note 12 - Accrued Liabilities </w:t>
      </w:r>
    </w:p>
    <w:p>
      <w:pPr>
        <w:pStyle w:val="TextBody"/>
        <w:bidi w:val="0"/>
        <w:spacing w:before="0" w:after="0"/>
        <w:jc w:val="left"/>
        <w:rPr/>
      </w:pPr>
      <w:r>
        <w:rPr/>
      </w:r>
    </w:p>
    <w:tbl>
      <w:tblPr>
        <w:tblW w:w="6126" w:type="dxa"/>
        <w:jc w:val="left"/>
        <w:tblInd w:w="0" w:type="dxa"/>
        <w:tblLayout w:type="fixed"/>
        <w:tblCellMar>
          <w:top w:w="28" w:type="dxa"/>
          <w:left w:w="28" w:type="dxa"/>
          <w:bottom w:w="28" w:type="dxa"/>
          <w:right w:w="28" w:type="dxa"/>
        </w:tblCellMar>
      </w:tblPr>
      <w:tblGrid>
        <w:gridCol w:w="1404"/>
        <w:gridCol w:w="1238"/>
        <w:gridCol w:w="1242"/>
        <w:gridCol w:w="196"/>
        <w:gridCol w:w="706"/>
        <w:gridCol w:w="109"/>
        <w:gridCol w:w="109"/>
        <w:gridCol w:w="109"/>
        <w:gridCol w:w="109"/>
        <w:gridCol w:w="345"/>
        <w:gridCol w:w="346"/>
        <w:gridCol w:w="213"/>
      </w:tblGrid>
      <w:tr>
        <w:trPr/>
        <w:tc>
          <w:tcPr>
            <w:tcW w:w="1404"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2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w:t>
            </w:r>
          </w:p>
        </w:tc>
      </w:tr>
      <w:tr>
        <w:trPr/>
        <w:tc>
          <w:tcPr>
            <w:tcW w:w="38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0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r>
      <w:tr>
        <w:trPr/>
        <w:tc>
          <w:tcPr>
            <w:tcW w:w="38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Cash supply chain deposit liability</w:t>
            </w:r>
            <w:r>
              <w:rPr>
                <w:rFonts w:ascii="Times New Roman;serif" w:hAnsi="Times New Roman;serif"/>
                <w:b w:val="false"/>
                <w:color w:val="000000"/>
                <w:sz w:val="12"/>
              </w:rPr>
              <w:t>(a)</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199.3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Payroll and other employee liabilities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except income taxes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Cash held by cash management services operations</w:t>
            </w:r>
            <w:r>
              <w:rPr>
                <w:rFonts w:ascii="Times New Roman;serif" w:hAnsi="Times New Roman;serif"/>
                <w:b w:val="false"/>
                <w:color w:val="000000"/>
                <w:sz w:val="12"/>
              </w:rPr>
              <w:t>(b)</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instruments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Workers’ compensation and other claims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ATM surcharge/interchange payables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interest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payable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DOJ/FinCEN investigations</w:t>
            </w:r>
            <w:r>
              <w:rPr>
                <w:rFonts w:ascii="Times New Roman;serif" w:hAnsi="Times New Roman;serif"/>
                <w:b w:val="false"/>
                <w:color w:val="000000"/>
                <w:sz w:val="12"/>
              </w:rPr>
              <w:t>(c)</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Retirement benefits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liability</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Chile antitrust matter</w:t>
            </w:r>
            <w:r>
              <w:rPr>
                <w:rFonts w:ascii="Times New Roman;serif" w:hAnsi="Times New Roman;serif"/>
                <w:b w:val="false"/>
                <w:color w:val="000000"/>
                <w:sz w:val="12"/>
              </w:rPr>
              <w:t>(d)</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254.4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1,180.2</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1,058.1 </w:t>
            </w:r>
          </w:p>
        </w:tc>
        <w:tc>
          <w:tcPr>
            <w:tcW w:w="2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(a)In France, we offer services to certain customers requiring us to take temporary title to the cash received from the management of our customers' cash supply chains. The cash for which we have temporary title is restricted and cannot be used for any other purpose other than to service our customers who participate in this service offering.</w:t>
      </w:r>
    </w:p>
    <w:p>
      <w:pPr>
        <w:pStyle w:val="TextBody"/>
        <w:bidi w:val="0"/>
        <w:spacing w:lineRule="auto" w:line="288" w:before="0" w:after="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(b)Title to cash received and processed in certain of our secure cash management services operations transfers to us for a short period of time. The cash is generally credited to customers’ accounts the following day and we record a liability while the cash is in our possession.</w:t>
      </w:r>
    </w:p>
    <w:p>
      <w:pPr>
        <w:pStyle w:val="TextBody"/>
        <w:bidi w:val="0"/>
        <w:spacing w:lineRule="auto" w:line="288" w:before="0" w:after="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 xml:space="preserve">(c)See Note 3 for more information on the DOJ/FinCEN investigations matters. </w:t>
      </w:r>
    </w:p>
    <w:p>
      <w:pPr>
        <w:pStyle w:val="TextBody"/>
        <w:bidi w:val="0"/>
        <w:spacing w:lineRule="auto" w:line="288" w:before="0" w:after="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(d)See Note 22 for more information on the Chile antitrust matter.</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 xml:space="preserve">Note 13 - Other Long-term Liabilities </w:t>
      </w:r>
    </w:p>
    <w:p>
      <w:pPr>
        <w:pStyle w:val="TextBody"/>
        <w:bidi w:val="0"/>
        <w:spacing w:before="0" w:after="0"/>
        <w:jc w:val="left"/>
        <w:rPr/>
      </w:pPr>
      <w:r>
        <w:rPr/>
      </w:r>
    </w:p>
    <w:tbl>
      <w:tblPr>
        <w:tblW w:w="5332" w:type="dxa"/>
        <w:jc w:val="left"/>
        <w:tblInd w:w="0" w:type="dxa"/>
        <w:tblLayout w:type="fixed"/>
        <w:tblCellMar>
          <w:top w:w="28" w:type="dxa"/>
          <w:left w:w="28" w:type="dxa"/>
          <w:bottom w:w="28" w:type="dxa"/>
          <w:right w:w="28" w:type="dxa"/>
        </w:tblCellMar>
      </w:tblPr>
      <w:tblGrid>
        <w:gridCol w:w="1215"/>
        <w:gridCol w:w="1071"/>
        <w:gridCol w:w="1074"/>
        <w:gridCol w:w="196"/>
        <w:gridCol w:w="571"/>
        <w:gridCol w:w="109"/>
        <w:gridCol w:w="109"/>
        <w:gridCol w:w="109"/>
        <w:gridCol w:w="109"/>
        <w:gridCol w:w="278"/>
        <w:gridCol w:w="278"/>
        <w:gridCol w:w="213"/>
      </w:tblGrid>
      <w:tr>
        <w:trPr/>
        <w:tc>
          <w:tcPr>
            <w:tcW w:w="1215"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9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w:t>
            </w:r>
          </w:p>
        </w:tc>
      </w:tr>
      <w:tr>
        <w:trPr/>
        <w:tc>
          <w:tcPr>
            <w:tcW w:w="33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8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r>
      <w:tr>
        <w:trPr/>
        <w:tc>
          <w:tcPr>
            <w:tcW w:w="33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Workers’ compensation and other claims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76.6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retirement and remediation obligations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instruments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Noncurrent transformation-related liabilities</w:t>
            </w:r>
            <w:r>
              <w:rPr>
                <w:rFonts w:ascii="Times New Roman;serif" w:hAnsi="Times New Roman;serif"/>
                <w:b w:val="false"/>
                <w:color w:val="000000"/>
                <w:sz w:val="12"/>
              </w:rPr>
              <w:t>(a)</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Acquisition-related obligations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tax liabilities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compensation</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Post-employment benefits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279.0</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231.6 </w:t>
            </w:r>
          </w:p>
        </w:tc>
        <w:tc>
          <w:tcPr>
            <w:tcW w:w="2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(a)Certain transformation initiative services provided by third-party vendors are not due to be paid within the next twelve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31445"/>
                <wp:effectExtent l="0" t="0" r="0" b="0"/>
                <wp:wrapNone/>
                <wp:docPr id="105" name="Frame10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 xml:space="preserve">Note 14 - Debt </w:t>
      </w:r>
    </w:p>
    <w:tbl>
      <w:tblPr>
        <w:tblW w:w="10205" w:type="dxa"/>
        <w:jc w:val="left"/>
        <w:tblInd w:w="0" w:type="dxa"/>
        <w:tblLayout w:type="fixed"/>
        <w:tblCellMar>
          <w:top w:w="28" w:type="dxa"/>
          <w:left w:w="28" w:type="dxa"/>
          <w:bottom w:w="28" w:type="dxa"/>
          <w:right w:w="28" w:type="dxa"/>
        </w:tblCellMar>
      </w:tblPr>
      <w:tblGrid>
        <w:gridCol w:w="3035"/>
        <w:gridCol w:w="2474"/>
        <w:gridCol w:w="2452"/>
        <w:gridCol w:w="196"/>
        <w:gridCol w:w="706"/>
        <w:gridCol w:w="109"/>
        <w:gridCol w:w="109"/>
        <w:gridCol w:w="109"/>
        <w:gridCol w:w="109"/>
        <w:gridCol w:w="345"/>
        <w:gridCol w:w="346"/>
        <w:gridCol w:w="215"/>
      </w:tblGrid>
      <w:tr>
        <w:trPr/>
        <w:tc>
          <w:tcPr>
            <w:tcW w:w="3035" w:type="dxa"/>
            <w:tcBorders/>
            <w:vAlign w:val="center"/>
          </w:tcPr>
          <w:p>
            <w:pPr>
              <w:pStyle w:val="TableContents"/>
              <w:bidi w:val="0"/>
              <w:spacing w:before="0" w:after="283"/>
              <w:jc w:val="left"/>
              <w:rPr>
                <w:sz w:val="4"/>
                <w:szCs w:val="4"/>
              </w:rPr>
            </w:pPr>
            <w:r>
              <w:rPr>
                <w:sz w:val="4"/>
                <w:szCs w:val="4"/>
              </w:rPr>
            </w:r>
          </w:p>
        </w:tc>
        <w:tc>
          <w:tcPr>
            <w:tcW w:w="2474" w:type="dxa"/>
            <w:tcBorders/>
            <w:vAlign w:val="center"/>
          </w:tcPr>
          <w:p>
            <w:pPr>
              <w:pStyle w:val="TableContents"/>
              <w:bidi w:val="0"/>
              <w:spacing w:before="0" w:after="283"/>
              <w:jc w:val="left"/>
              <w:rPr>
                <w:sz w:val="4"/>
                <w:szCs w:val="4"/>
              </w:rPr>
            </w:pPr>
            <w:r>
              <w:rPr>
                <w:sz w:val="4"/>
                <w:szCs w:val="4"/>
              </w:rPr>
            </w:r>
          </w:p>
        </w:tc>
        <w:tc>
          <w:tcPr>
            <w:tcW w:w="245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7961"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w:t>
            </w:r>
          </w:p>
        </w:tc>
      </w:tr>
      <w:tr>
        <w:trPr/>
        <w:tc>
          <w:tcPr>
            <w:tcW w:w="7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0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r>
      <w:tr>
        <w:trPr/>
        <w:tc>
          <w:tcPr>
            <w:tcW w:w="79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borrowings</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96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96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(year end weighted average interest rate of 4.9% in 2025 and 6.5% in 2024)</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149.3 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short-term borrowings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241.1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149.3 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Bank credit facilities:</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Term loans (year-end weighted average interest rate of 5.4% in 2025 and 6.2% in 2024)</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less unamortized issuance cost of $1.7 million in 2025 and $2.8 million in 2024</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1,223.3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1,292.2 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Senior unsecured notes (year-end effective interest rate of 4.6% for "2027 Senior Unsecured Notes", 6.5% for "2029 Senior Unsecured Notes" and 6.8% for "2032 Senior Unsecured Notes" respectively in 2025 and 2024)</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less unamortized issuance cost of $9.6 million in 2025 and $12.2 million in 2024 </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1,390.4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1,387.8 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Revolving Credit Facility (year-end weighted average interest rate of 5.5% in 2025 and 6.2% in 2024)</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420.0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399.7 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96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96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96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facilities (year-end weighted-average interest rate of 4.3% in 2025 and 5.8% in 2024)</w:t>
            </w:r>
            <w:r>
              <w:rPr>
                <w:rFonts w:ascii="Times New Roman;serif" w:hAnsi="Times New Roman;serif"/>
                <w:b w:val="false"/>
                <w:color w:val="000000"/>
                <w:sz w:val="12"/>
              </w:rPr>
              <w:t>(a)</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669.1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432.1 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Financing leases (year-end weighted-average interest rate of 7.1% in 2025 and 6.7% in 2024)</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235.1 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long-term debt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3,973.2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3,746.9 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4,214.3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3,896.2 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Included in:</w:t>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404.2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291.0 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liabilities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3,810.1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3,605.2 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4,214.3</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3,896.2 </w:t>
            </w:r>
          </w:p>
        </w:tc>
        <w:tc>
          <w:tcPr>
            <w:tcW w:w="21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(a)Includes Other Revolving Credit Facilities of $557 million at December 31, 2025 and $359 million at December 31, 2024.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Long-Term Debt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Senior Secured Credit Facility</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In June 2022, we amended our senior secured credit facility (the “Senior Secured Credit Facility”) with Bank of America, N.A., as administrative agent. After the amendment, the Senior Secured Credit Facility consisted of a $1 billion revolving credit facility (the "Revolving Credit Facility") and $1.4 billion of term loans (the "Term Loans").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All loans under the Revolving Credit Facility and the Term Loans mature on June 23, 2027. Principal payments for the Term Loans are due quarterly in an amount equal to 0.625% of the initial loan amount for the first eight quarterly installment payments and 1.25% for subsequent payments with a final lump sum payment due on June 23, 2027. Interest rates for the Senior Secured Credit Facility are based on the Secured Overnight Financing Rate ("SOFR") plus a margin or an alternate base rate plus a margin. The Revolving Credit Facility allows us to borrow money or issue letters of credit (or otherwise satisfy credit needs) on a revolving basis over the term of the facility. As of December 31, 2025, $580 million was available under the Revolving Credit Facility. The obligations under the Senior Secured Credit Facility are secured by a first-priority lien on all or substantially all of the assets of the Company and certain of its domestic subsidiaries, including a first-priority lien on equity interests of certain of the Company’s direct and indirect subsidiaries. The Company and certain of its domestic subsidiaries also guarantee the obligations under the Senior Secured Credit Facility.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margin on both SOFR and alternate base rate borrowings under the Senior Secured Credit Facility is based on the Company’s total net debt leverage ratio. The margin on SOFR borrowings, which can range from 1.25% to 1.75%, was 1.50% at December 31, 2025. The margin on alternate base rate borrowings, which can range from 0.25% to 0.75%, was 0.50% as of December 31, 2025. We also pay an annual commitment fee on the unused portion of the Revolving Credit Facility based on the Company’s total net leverage ratio. The commitment fee, which can range from 0.15% to 0.28%, was 0.23%as of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31445"/>
                <wp:effectExtent l="0" t="0" r="0" b="0"/>
                <wp:wrapNone/>
                <wp:docPr id="106" name="Frame10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18"/>
        </w:rPr>
        <w:t>Senior Unsecured Notes</w:t>
      </w:r>
      <w:r>
        <w:rPr>
          <w:color w:val="000000"/>
        </w:rPr>
        <w:t xml:space="preserve">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 June 2024, we issued at par five-year senior unsecured notes (the "2029 Senior Unsecured Notes") in the aggregate principal amount of $400 million. The 2029 Senior Unsecured Notes will mature on June 15, 2029, and bear an annual interest rate of 6.5%. The 2029 Senior Unsecured Notes are general unsecured obligations guaranteed by certain of the Company’s existing and future U.S. subsidiaries, which are also guarantors under the Senior Secured Credit Facility.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 June 2024, we issued at par eight-year senior unsecured notes (the "2032 Senior Unsecured Notes") in the aggregate principal amount of $400 million. The 2032 Senior Unsecured Notes will mature on June 15, 2032, and bear an annual interest rate of 6.75%. The 2032 Senior Unsecured Notes are general unsecured obligations guaranteed by certain of the Company’s existing and future U.S. subsidiaries, which are also guarantors under the Senior Secured Credit Facility.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 October 2017, we issued at par ten-year senior unsecured notes (the "2027 Senior Unsecured Notes") in the aggregate principal amount of $600 million. The 2027 Senior Unsecured Notes will mature on October 15, 2027, bearing an annual interest rate of 4.625%. The 2027 Senior Unsecured Notes are general unsecured obligations guaranteed by certain of the Company’s existing and future U.S. subsidiaries, which are also guarantors under the Senior Secured Credit Facility.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2027 Senior Unsecured Notes, the 2029 Senior Unsecured Notes, and the 2032 Senior Unsecured Notes (the "Senior Unsecured Notes") have not been and will not be registered under the Securities Act of 1933, as amended (the “Securities Act”) or the securities laws of any other jurisdiction and may not be offered or sold in the United States absent registration or an applicable exemption from registration requirements. The notes were offered in the United States only to persons reasonably believed to be qualified institutional buyers in reliance on the exemption from registration set forth in Rule 144A under the Securities Act and outside the United States to non-U.S. persons pursuant to Regulation S under the Securities Act.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aggregate proceeds from the Senior Secured Credit Facility and the 2027 Senior Unsecured Notes were used in part to repay certain prior indebtedness and certain fees and expenses related to the closing of certain transactions. The remaining borrowings were used for working capital needs, capital expenditures, acquisitions and other general corporate purposes. The aggregate proceeds from the 2029 Senior Unsecured Notes and 2032 Senior Unsecured Notes were used to redeem the $400 million outstanding principal amount of our five-year senior unsecured notes issued in June 2020 (the "2025 Senior Unsecured Notes") prior to maturity and to repay a portion of the outstanding indebtedness under our Revolving Credit Facility. Before applying a portion of the net proceeds from this offering to redeem or repurchase the 2025 Senior Unsecured Notes as described above, we used such portion of the net proceeds for general corporate purposes and to temporarily repay additional amounts outstanding under our Revolving Credit Facility.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18"/>
        </w:rPr>
        <w:t>Other Facilities</w:t>
      </w:r>
      <w:r>
        <w:rPr>
          <w:color w:val="000000"/>
        </w:rPr>
        <w:t xml:space="preserve">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Other facilities consists primarily of revolving credit facilities in our North America, Latin America and Europe segments ("Other Revolving Credit Facilities"). On an aggregate basis, borrowings under these facilities total $761 million with an additional $84 million available as of December 31, 2025, including $204 million in Short-term borrowings and $557 million in Other long-term debt. Maturity dates of the long-term facilities range from July 2027 to June 2028 and interest rates range from 3.70% to 5.00%. Borrowings under these facilities are secured by cash and certain receivables held by Brink's. In July 2024, we increased the capacity of the largest of these credit facilities from $250 million to $500 million.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Minimum repayments of long-term debt are as follows:</w:t>
      </w:r>
    </w:p>
    <w:tbl>
      <w:tblPr>
        <w:tblW w:w="5425" w:type="dxa"/>
        <w:jc w:val="left"/>
        <w:tblInd w:w="0" w:type="dxa"/>
        <w:tblLayout w:type="fixed"/>
        <w:tblCellMar>
          <w:top w:w="28" w:type="dxa"/>
          <w:left w:w="28" w:type="dxa"/>
          <w:bottom w:w="28" w:type="dxa"/>
          <w:right w:w="28" w:type="dxa"/>
        </w:tblCellMar>
      </w:tblPr>
      <w:tblGrid>
        <w:gridCol w:w="363"/>
        <w:gridCol w:w="320"/>
        <w:gridCol w:w="321"/>
        <w:gridCol w:w="290"/>
        <w:gridCol w:w="823"/>
        <w:gridCol w:w="161"/>
        <w:gridCol w:w="109"/>
        <w:gridCol w:w="109"/>
        <w:gridCol w:w="109"/>
        <w:gridCol w:w="529"/>
        <w:gridCol w:w="529"/>
        <w:gridCol w:w="531"/>
        <w:gridCol w:w="109"/>
        <w:gridCol w:w="109"/>
        <w:gridCol w:w="109"/>
        <w:gridCol w:w="345"/>
        <w:gridCol w:w="346"/>
        <w:gridCol w:w="213"/>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Financing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Other long-term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10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90.4 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2,645.6 </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2,713.0 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136.7 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418.1 </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Later years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411.9 </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9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270.4 </w:t>
            </w:r>
          </w:p>
        </w:tc>
        <w:tc>
          <w:tcPr>
            <w:tcW w:w="1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3,714.1 </w:t>
            </w:r>
          </w:p>
        </w:tc>
        <w:tc>
          <w:tcPr>
            <w:tcW w:w="5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3,984.5 </w:t>
            </w:r>
          </w:p>
        </w:tc>
        <w:tc>
          <w:tcPr>
            <w:tcW w:w="2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Senior Secured Credit Facility, Senior Unsecured Notes, Other Revolving Credit Facilities, and other debt facilities contain various financial and other covenants. The covenants, among other things, limit our ability to provide liens, restrict fundamental changes, limit transactions with affiliates and unrestricted subsidiaries, restrict changes to our fiscal year and to organizational documents, limit asset dispositions, limit the use of proceeds from asset sales, limit sale and leaseback transactions, limit investments, limit the ability to incur debt, restrict certain payments to shareholders, limit negative pledges, limit the ability to change the nature of our business, provide for a maximum consolidated net leverage ratio and provide for minimum coverage of interest costs. If we were not to comply with the terms of our various financing agreements, the repayment terms could be accelerated and the commitments could be withdrawn. An acceleration of the repayment terms under one agreement could trigger the acceleration of the repayment terms under the other financing agreements. We were in compliance with all of these covenants at December 31, 2025.</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31445"/>
                <wp:effectExtent l="0" t="0" r="0" b="0"/>
                <wp:wrapNone/>
                <wp:docPr id="107" name="Frame10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Financing Leases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Property and equipment acquired under financing leases are included in property and equipment as follows:</w:t>
      </w:r>
    </w:p>
    <w:tbl>
      <w:tblPr>
        <w:tblW w:w="4370" w:type="dxa"/>
        <w:jc w:val="left"/>
        <w:tblInd w:w="0" w:type="dxa"/>
        <w:tblLayout w:type="fixed"/>
        <w:tblCellMar>
          <w:top w:w="28" w:type="dxa"/>
          <w:left w:w="28" w:type="dxa"/>
          <w:bottom w:w="28" w:type="dxa"/>
          <w:right w:w="28" w:type="dxa"/>
        </w:tblCellMar>
      </w:tblPr>
      <w:tblGrid>
        <w:gridCol w:w="840"/>
        <w:gridCol w:w="741"/>
        <w:gridCol w:w="743"/>
        <w:gridCol w:w="196"/>
        <w:gridCol w:w="571"/>
        <w:gridCol w:w="109"/>
        <w:gridCol w:w="109"/>
        <w:gridCol w:w="109"/>
        <w:gridCol w:w="109"/>
        <w:gridCol w:w="314"/>
        <w:gridCol w:w="316"/>
        <w:gridCol w:w="213"/>
      </w:tblGrid>
      <w:tr>
        <w:trPr/>
        <w:tc>
          <w:tcPr>
            <w:tcW w:w="84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0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w:t>
            </w:r>
          </w:p>
        </w:tc>
      </w:tr>
      <w:tr>
        <w:trPr/>
        <w:tc>
          <w:tcPr>
            <w:tcW w:w="23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8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r>
      <w:tr>
        <w:trPr/>
        <w:tc>
          <w:tcPr>
            <w:tcW w:w="23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class:</w:t>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Buildings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Vehicles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330.3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Machinery and equipment</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186.2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550.0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478.2 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accumulated amortization</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(223.8)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326.2</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281.3 </w:t>
            </w:r>
          </w:p>
        </w:tc>
        <w:tc>
          <w:tcPr>
            <w:tcW w:w="2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31445"/>
                <wp:effectExtent l="0" t="0" r="0" b="0"/>
                <wp:wrapNone/>
                <wp:docPr id="108" name="Frame10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Note 15 - Accounts Receivable and Credit Losses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Accounts receivable</w:t>
      </w:r>
    </w:p>
    <w:tbl>
      <w:tblPr>
        <w:tblW w:w="4417" w:type="dxa"/>
        <w:jc w:val="left"/>
        <w:tblInd w:w="0" w:type="dxa"/>
        <w:tblLayout w:type="fixed"/>
        <w:tblCellMar>
          <w:top w:w="28" w:type="dxa"/>
          <w:left w:w="28" w:type="dxa"/>
          <w:bottom w:w="28" w:type="dxa"/>
          <w:right w:w="28" w:type="dxa"/>
        </w:tblCellMar>
      </w:tblPr>
      <w:tblGrid>
        <w:gridCol w:w="884"/>
        <w:gridCol w:w="779"/>
        <w:gridCol w:w="782"/>
        <w:gridCol w:w="196"/>
        <w:gridCol w:w="571"/>
        <w:gridCol w:w="109"/>
        <w:gridCol w:w="109"/>
        <w:gridCol w:w="109"/>
        <w:gridCol w:w="109"/>
        <w:gridCol w:w="278"/>
        <w:gridCol w:w="278"/>
        <w:gridCol w:w="213"/>
      </w:tblGrid>
      <w:tr>
        <w:trPr/>
        <w:tc>
          <w:tcPr>
            <w:tcW w:w="88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w:t>
            </w:r>
          </w:p>
        </w:tc>
      </w:tr>
      <w:tr>
        <w:trPr/>
        <w:tc>
          <w:tcPr>
            <w:tcW w:w="24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8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r>
      <w:tr>
        <w:trPr/>
        <w:tc>
          <w:tcPr>
            <w:tcW w:w="24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643.1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603.9 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accounts receivable</w:t>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786.6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758.0 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for doubtful accounts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766.0</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733.5 </w:t>
            </w:r>
          </w:p>
        </w:tc>
        <w:tc>
          <w:tcPr>
            <w:tcW w:w="2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Credit losses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We are exposed to credit losses primarily through sales of our cash and valuable management services and DRS and AMS services to customers with operations in the U.S. as well as customers in more than 100 countries outside the U.S. We typically invoice our customers on a monthly basis and payment terms are generally between 30 and 60 days.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assess currently expected credit losses in our financial assets on a pool basis by aggregating financial assets with similar risk characteristics. We have pooled financial assets by geographic location because of the similarities within each location such as customers, payment terms, and services offered. Loss experience is monitored for each pool and we determine historical loss rates for each pool. These historical loss rates are the main assumption used in estimating expected credit losses over the life of the financial assets. We also considered current and expected economic conditions in determining an appropriate allowance.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We monitor the aging of accounts receivable by country and write off any accounts that are deemed uncollectible. We also monitor any significant economic events to identify any current or expected trends and risks within a pool that could impact the collectability of outstanding accounts receivable balances that were not contemplated or relevant during a previous period.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table is a rollforward of the allowance for doubtful accounts:</w:t>
      </w:r>
    </w:p>
    <w:tbl>
      <w:tblPr>
        <w:tblW w:w="6294" w:type="dxa"/>
        <w:jc w:val="left"/>
        <w:tblInd w:w="0" w:type="dxa"/>
        <w:tblLayout w:type="fixed"/>
        <w:tblCellMar>
          <w:top w:w="28" w:type="dxa"/>
          <w:left w:w="28" w:type="dxa"/>
          <w:bottom w:w="28" w:type="dxa"/>
          <w:right w:w="28" w:type="dxa"/>
        </w:tblCellMar>
      </w:tblPr>
      <w:tblGrid>
        <w:gridCol w:w="1231"/>
        <w:gridCol w:w="1085"/>
        <w:gridCol w:w="1089"/>
        <w:gridCol w:w="196"/>
        <w:gridCol w:w="481"/>
        <w:gridCol w:w="109"/>
        <w:gridCol w:w="109"/>
        <w:gridCol w:w="109"/>
        <w:gridCol w:w="109"/>
        <w:gridCol w:w="269"/>
        <w:gridCol w:w="271"/>
        <w:gridCol w:w="156"/>
        <w:gridCol w:w="109"/>
        <w:gridCol w:w="109"/>
        <w:gridCol w:w="109"/>
        <w:gridCol w:w="269"/>
        <w:gridCol w:w="271"/>
        <w:gridCol w:w="213"/>
      </w:tblGrid>
      <w:tr>
        <w:trPr/>
        <w:tc>
          <w:tcPr>
            <w:tcW w:w="123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Years Ended December 31,</w:t>
            </w:r>
          </w:p>
        </w:tc>
      </w:tr>
      <w:tr>
        <w:trPr/>
        <w:tc>
          <w:tcPr>
            <w:tcW w:w="34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2023</w:t>
            </w:r>
          </w:p>
        </w:tc>
      </w:tr>
      <w:tr>
        <w:trPr/>
        <w:tc>
          <w:tcPr>
            <w:tcW w:w="34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for doubtful accounts:</w:t>
            </w:r>
          </w:p>
        </w:tc>
        <w:tc>
          <w:tcPr>
            <w:tcW w:w="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of year</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uncollectible accounts receivable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Write offs and recoveries</w:t>
            </w:r>
            <w:r>
              <w:rPr>
                <w:color w:val="000000"/>
              </w:rPr>
              <w:t xml:space="preserve"> </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exchange effects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 of year</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20.6</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1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30.4 </w:t>
            </w:r>
          </w:p>
        </w:tc>
        <w:tc>
          <w:tcPr>
            <w:tcW w:w="2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31445"/>
                <wp:effectExtent l="0" t="0" r="0" b="0"/>
                <wp:wrapNone/>
                <wp:docPr id="109" name="Frame10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 xml:space="preserve">Note 16 - Leases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lease facilities, vehicles, certain DRS devices, ATMs, computers and other equipment under long-term operating and financing leases with varying terms. Most of the leases contain renewal and/or purchase options, exercisable at our sole discretion. The renewal periods differ by asset class and by country and are included in our determination of lease term if we determine we are reasonably certain to exercise the option.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We have taken the component election for all material asset categories, except certain DRS devices. This election allows us to account for lease components (e.g., fixed payments or variable payments that depend on a rate that can be determined at commencement, including rent for the right to use the asset) together with non-lease components (e.g., other fixed payments that deliver a good or service including common-area maintenance costs) in the calculation of the right-of-use asset and corresponding liability. Variable costs, such as inflation adjusted payments for facilities, or non-lease components that vary periodically (included as part of the component election), are expensed as incurred.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Our leases do not contain any material residual value guarantees or material restrictive covenants.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components of lease assets and liabilities were as follows:</w:t>
      </w:r>
    </w:p>
    <w:tbl>
      <w:tblPr>
        <w:tblW w:w="6443" w:type="dxa"/>
        <w:jc w:val="center"/>
        <w:tblInd w:w="0" w:type="dxa"/>
        <w:tblLayout w:type="fixed"/>
        <w:tblCellMar>
          <w:top w:w="28" w:type="dxa"/>
          <w:left w:w="28" w:type="dxa"/>
          <w:bottom w:w="28" w:type="dxa"/>
          <w:right w:w="28" w:type="dxa"/>
        </w:tblCellMar>
      </w:tblPr>
      <w:tblGrid>
        <w:gridCol w:w="608"/>
        <w:gridCol w:w="534"/>
        <w:gridCol w:w="537"/>
        <w:gridCol w:w="884"/>
        <w:gridCol w:w="884"/>
        <w:gridCol w:w="887"/>
        <w:gridCol w:w="196"/>
        <w:gridCol w:w="571"/>
        <w:gridCol w:w="109"/>
        <w:gridCol w:w="109"/>
        <w:gridCol w:w="109"/>
        <w:gridCol w:w="109"/>
        <w:gridCol w:w="196"/>
        <w:gridCol w:w="556"/>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w:t>
            </w:r>
          </w:p>
        </w:tc>
      </w:tr>
      <w:tr>
        <w:trPr/>
        <w:tc>
          <w:tcPr>
            <w:tcW w:w="1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 xml:space="preserve">(In millions) </w:t>
            </w:r>
          </w:p>
        </w:tc>
        <w:tc>
          <w:tcPr>
            <w:tcW w:w="26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Balance sheet classification</w:t>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r>
      <w:tr>
        <w:trPr/>
        <w:tc>
          <w:tcPr>
            <w:tcW w:w="16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26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assets</w:t>
            </w:r>
          </w:p>
        </w:tc>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 net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388.7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assets</w:t>
            </w:r>
          </w:p>
        </w:tc>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326.2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leased assets</w:t>
            </w:r>
          </w:p>
        </w:tc>
        <w:tc>
          <w:tcPr>
            <w:tcW w:w="26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714.9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2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w:t>
            </w:r>
          </w:p>
        </w:tc>
        <w:tc>
          <w:tcPr>
            <w:tcW w:w="2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w:t>
            </w:r>
          </w:p>
        </w:tc>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w:t>
            </w:r>
          </w:p>
        </w:tc>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maturities of long-term debt</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w:t>
            </w:r>
          </w:p>
        </w:tc>
        <w:tc>
          <w:tcPr>
            <w:tcW w:w="2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w:t>
            </w:r>
          </w:p>
        </w:tc>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liabilities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w:t>
            </w:r>
          </w:p>
        </w:tc>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lease liabilities</w:t>
            </w:r>
          </w:p>
        </w:tc>
        <w:tc>
          <w:tcPr>
            <w:tcW w:w="2655"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672.8</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591.9 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components of lease expense were as follows:</w:t>
      </w:r>
    </w:p>
    <w:tbl>
      <w:tblPr>
        <w:tblW w:w="5517" w:type="dxa"/>
        <w:jc w:val="center"/>
        <w:tblInd w:w="0" w:type="dxa"/>
        <w:tblLayout w:type="fixed"/>
        <w:tblCellMar>
          <w:top w:w="28" w:type="dxa"/>
          <w:left w:w="28" w:type="dxa"/>
          <w:bottom w:w="28" w:type="dxa"/>
          <w:right w:w="28" w:type="dxa"/>
        </w:tblCellMar>
      </w:tblPr>
      <w:tblGrid>
        <w:gridCol w:w="803"/>
        <w:gridCol w:w="707"/>
        <w:gridCol w:w="710"/>
        <w:gridCol w:w="196"/>
        <w:gridCol w:w="571"/>
        <w:gridCol w:w="109"/>
        <w:gridCol w:w="109"/>
        <w:gridCol w:w="109"/>
        <w:gridCol w:w="109"/>
        <w:gridCol w:w="196"/>
        <w:gridCol w:w="556"/>
        <w:gridCol w:w="109"/>
        <w:gridCol w:w="109"/>
        <w:gridCol w:w="109"/>
        <w:gridCol w:w="109"/>
        <w:gridCol w:w="196"/>
        <w:gridCol w:w="556"/>
        <w:gridCol w:w="154"/>
      </w:tblGrid>
      <w:tr>
        <w:trPr/>
        <w:tc>
          <w:tcPr>
            <w:tcW w:w="803"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Years Ended December 31,</w:t>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2023</w:t>
            </w:r>
          </w:p>
        </w:tc>
      </w:tr>
      <w:tr>
        <w:trPr/>
        <w:tc>
          <w:tcPr>
            <w:tcW w:w="22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Operating lease cost</w:t>
            </w:r>
            <w:r>
              <w:rPr>
                <w:rFonts w:ascii="Times New Roman;serif" w:hAnsi="Times New Roman;serif"/>
                <w:b w:val="false"/>
                <w:color w:val="000000"/>
                <w:sz w:val="12"/>
              </w:rPr>
              <w:t>(a)</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lease cost</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Variable lease cost</w:t>
            </w:r>
            <w:r>
              <w:rPr>
                <w:rFonts w:ascii="Times New Roman;serif" w:hAnsi="Times New Roman;serif"/>
                <w:b w:val="false"/>
                <w:color w:val="000000"/>
                <w:sz w:val="12"/>
              </w:rPr>
              <w:t>(a)</w:t>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cost:</w:t>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related assets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on related liabilities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lease cost</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368.0</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261.8 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237.4 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 xml:space="preserve">(a) Includes expenses related to certain customer contracts in our AMS business, which contain embedded leases where variable lease costs are incurred for the space in which our ATMs reside. Prior periods have been adjusted to conform to the current year presentations. </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31445"/>
                <wp:effectExtent l="0" t="0" r="0" b="0"/>
                <wp:wrapNone/>
                <wp:docPr id="110" name="Frame10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Other information related to leases was as follows:</w:t>
      </w:r>
    </w:p>
    <w:tbl>
      <w:tblPr>
        <w:tblW w:w="8853" w:type="dxa"/>
        <w:jc w:val="center"/>
        <w:tblInd w:w="0" w:type="dxa"/>
        <w:tblLayout w:type="fixed"/>
        <w:tblCellMar>
          <w:top w:w="28" w:type="dxa"/>
          <w:left w:w="28" w:type="dxa"/>
          <w:bottom w:w="28" w:type="dxa"/>
          <w:right w:w="28" w:type="dxa"/>
        </w:tblCellMar>
      </w:tblPr>
      <w:tblGrid>
        <w:gridCol w:w="1838"/>
        <w:gridCol w:w="1616"/>
        <w:gridCol w:w="1631"/>
        <w:gridCol w:w="196"/>
        <w:gridCol w:w="571"/>
        <w:gridCol w:w="286"/>
        <w:gridCol w:w="109"/>
        <w:gridCol w:w="109"/>
        <w:gridCol w:w="109"/>
        <w:gridCol w:w="196"/>
        <w:gridCol w:w="556"/>
        <w:gridCol w:w="256"/>
        <w:gridCol w:w="109"/>
        <w:gridCol w:w="109"/>
        <w:gridCol w:w="109"/>
        <w:gridCol w:w="196"/>
        <w:gridCol w:w="556"/>
        <w:gridCol w:w="301"/>
      </w:tblGrid>
      <w:tr>
        <w:trPr/>
        <w:tc>
          <w:tcPr>
            <w:tcW w:w="1838"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Years Ended December 31,</w:t>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 except for lease term and discount rate)</w:t>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2023</w:t>
            </w:r>
          </w:p>
        </w:tc>
      </w:tr>
      <w:tr>
        <w:trPr/>
        <w:tc>
          <w:tcPr>
            <w:tcW w:w="5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Supplemental Cash Flows Information</w:t>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amounts included in the measurement of lease liabilities:</w:t>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cash flows from operating leases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134.5</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107.9 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cash flows from finance leases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25.7</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cash flows from finance leases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75.9</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 obtained in exchange for lease obligations:</w:t>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156.2</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76.2</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Weighted Average Remaining Lease Term</w:t>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leases</w:t>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6.4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years</w:t>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leases</w:t>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4.4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years</w:t>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Weighted Average Discount Rate</w:t>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7.3</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7.1</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As of December 31, 2025, future minimum lease payments under noncancellable operating leases with initial or remaining lease terms in excess of one year were as follows:</w:t>
      </w:r>
    </w:p>
    <w:tbl>
      <w:tblPr>
        <w:tblW w:w="6652" w:type="dxa"/>
        <w:jc w:val="left"/>
        <w:tblInd w:w="0" w:type="dxa"/>
        <w:tblLayout w:type="fixed"/>
        <w:tblCellMar>
          <w:top w:w="28" w:type="dxa"/>
          <w:left w:w="28" w:type="dxa"/>
          <w:bottom w:w="28" w:type="dxa"/>
          <w:right w:w="28" w:type="dxa"/>
        </w:tblCellMar>
      </w:tblPr>
      <w:tblGrid>
        <w:gridCol w:w="841"/>
        <w:gridCol w:w="741"/>
        <w:gridCol w:w="743"/>
        <w:gridCol w:w="196"/>
        <w:gridCol w:w="556"/>
        <w:gridCol w:w="109"/>
        <w:gridCol w:w="109"/>
        <w:gridCol w:w="109"/>
        <w:gridCol w:w="109"/>
        <w:gridCol w:w="359"/>
        <w:gridCol w:w="359"/>
        <w:gridCol w:w="361"/>
        <w:gridCol w:w="109"/>
        <w:gridCol w:w="109"/>
        <w:gridCol w:w="109"/>
        <w:gridCol w:w="233"/>
        <w:gridCol w:w="233"/>
        <w:gridCol w:w="171"/>
        <w:gridCol w:w="109"/>
        <w:gridCol w:w="109"/>
        <w:gridCol w:w="109"/>
        <w:gridCol w:w="278"/>
        <w:gridCol w:w="278"/>
        <w:gridCol w:w="213"/>
      </w:tblGrid>
      <w:tr>
        <w:trPr/>
        <w:tc>
          <w:tcPr>
            <w:tcW w:w="8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Facilities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DRS Devices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23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Later years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lease payments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85.4 </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504.8 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Interest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Present value of lease liabilities</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293.4 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76.1 </w:t>
            </w:r>
          </w:p>
        </w:tc>
        <w:tc>
          <w:tcPr>
            <w:tcW w:w="3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32.9 </w:t>
            </w:r>
          </w:p>
        </w:tc>
        <w:tc>
          <w:tcPr>
            <w:tcW w:w="1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402.4 </w:t>
            </w:r>
          </w:p>
        </w:tc>
        <w:tc>
          <w:tcPr>
            <w:tcW w:w="2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As of December 31, 2025, minimum repayments of long-term debt under financing leases were as follows:</w:t>
      </w:r>
    </w:p>
    <w:tbl>
      <w:tblPr>
        <w:tblW w:w="3785" w:type="dxa"/>
        <w:jc w:val="left"/>
        <w:tblInd w:w="0" w:type="dxa"/>
        <w:tblLayout w:type="fixed"/>
        <w:tblCellMar>
          <w:top w:w="28" w:type="dxa"/>
          <w:left w:w="28" w:type="dxa"/>
          <w:bottom w:w="28" w:type="dxa"/>
          <w:right w:w="28" w:type="dxa"/>
        </w:tblCellMar>
      </w:tblPr>
      <w:tblGrid>
        <w:gridCol w:w="1041"/>
        <w:gridCol w:w="917"/>
        <w:gridCol w:w="921"/>
        <w:gridCol w:w="196"/>
        <w:gridCol w:w="556"/>
        <w:gridCol w:w="154"/>
      </w:tblGrid>
      <w:tr>
        <w:trPr/>
        <w:tc>
          <w:tcPr>
            <w:tcW w:w="1041"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Later years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finance lease payments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Interest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Present value of finance lease liabilities</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270.4 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31445"/>
                <wp:effectExtent l="0" t="0" r="0" b="0"/>
                <wp:wrapNone/>
                <wp:docPr id="111" name="Frame1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 xml:space="preserve">Note 17 - Share-Based Compensation Plans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have share-based compensation plans to attract and retain employees and non-employee directors and to more closely align their interests with those of our shareholders.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have outstanding share-based awards granted to employees under the 2017 Equity Incentive Plan (the "2017 Plan") and under the 2024 Equity Incentive Plan (the "2024 Plan"). The 2017 Plan and the 2024 Plan permit grants of restricted stock, restricted stock units, performance stock, performance stock units, stock appreciation rights, and stock options, as well as other share-based awards to eligible employees. The 2017 Plan and the 2024 Plan also permit cash awards to eligible employees. The 2017 Plan became effective May 2017. The 2024 Plan became effective May 2024. During the first quarter ended March 31, 2023, the remaining outstanding awards granted under the 2013 Equity Incentive Plan (the "2013 Plan") were fully exercised. No further grants of awards will be made under the 2013 Plan or the 2017 Plan.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We also have outstanding deferred stock units granted to directors under the 2017 Plan and the 2024 Plan. Share-based awards were previously granted to directors and remain outstanding under the Non-Employee Directors’ Equity Plan and the Directors’ Stock Accumulation Plan, each of which has expired.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There are 2.6 million shares underlying share-based plans that are authorized, but not yet granted. Outstanding awards at December 31, 2025, include performance stock units, restricted stock units, deferred stock units, time-based stock options, and certain awards that will be settled in cash.</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Compensation Expense</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Compensation expense is measured using the fair-value-based method. For all share-based awards outstanding at December 31,2025, the retirement eligibility provisions require a minimum of a one year service period in order to meet the retirement eligible conditions. We recognize expense from the grant date to the earlier of the retirement-eligible date (provided it is not less than one year from the grant date) or the vesting date.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For awards considered liability awards, compensation cost is based on the change in the fair value of the instrument for each reporting period and the percentage of the requisite service that has been rendered.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Compensation expenses are classified as selling, general and administrative expenses in the consolidated statements of operations. Compensation expenses for the last three years and the amount of unrecognized expense for awards outstanding at December 31, 2025, were as follows:</w:t>
      </w:r>
    </w:p>
    <w:tbl>
      <w:tblPr>
        <w:tblW w:w="10205" w:type="dxa"/>
        <w:jc w:val="left"/>
        <w:tblInd w:w="0" w:type="dxa"/>
        <w:tblLayout w:type="fixed"/>
        <w:tblCellMar>
          <w:top w:w="28" w:type="dxa"/>
          <w:left w:w="28" w:type="dxa"/>
          <w:bottom w:w="28" w:type="dxa"/>
          <w:right w:w="28" w:type="dxa"/>
        </w:tblCellMar>
      </w:tblPr>
      <w:tblGrid>
        <w:gridCol w:w="801"/>
        <w:gridCol w:w="527"/>
        <w:gridCol w:w="530"/>
        <w:gridCol w:w="196"/>
        <w:gridCol w:w="481"/>
        <w:gridCol w:w="109"/>
        <w:gridCol w:w="109"/>
        <w:gridCol w:w="109"/>
        <w:gridCol w:w="109"/>
        <w:gridCol w:w="233"/>
        <w:gridCol w:w="233"/>
        <w:gridCol w:w="156"/>
        <w:gridCol w:w="109"/>
        <w:gridCol w:w="109"/>
        <w:gridCol w:w="109"/>
        <w:gridCol w:w="233"/>
        <w:gridCol w:w="233"/>
        <w:gridCol w:w="156"/>
        <w:gridCol w:w="109"/>
        <w:gridCol w:w="109"/>
        <w:gridCol w:w="109"/>
        <w:gridCol w:w="523"/>
        <w:gridCol w:w="1245"/>
        <w:gridCol w:w="293"/>
        <w:gridCol w:w="109"/>
        <w:gridCol w:w="109"/>
        <w:gridCol w:w="109"/>
        <w:gridCol w:w="861"/>
        <w:gridCol w:w="861"/>
        <w:gridCol w:w="1226"/>
      </w:tblGrid>
      <w:tr>
        <w:trPr/>
        <w:tc>
          <w:tcPr>
            <w:tcW w:w="801"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r>
      <w:tr>
        <w:trPr/>
        <w:tc>
          <w:tcPr>
            <w:tcW w:w="1858"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684"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Unrecognized Expense for Nonvested Awards at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Weighted-average No. of Years Unrecognized Expense to be Recognized</w:t>
            </w:r>
          </w:p>
        </w:tc>
      </w:tr>
      <w:tr>
        <w:trPr/>
        <w:tc>
          <w:tcPr>
            <w:tcW w:w="1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Years Ended December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 except years)</w:t>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Performance stock units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r>
      <w:tr>
        <w:trPr/>
        <w:tc>
          <w:tcPr>
            <w:tcW w:w="1858"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48" w:type="dxa"/>
            <w:gridSpan w:val="3"/>
            <w:tcBorders/>
            <w:vAlign w:val="center"/>
          </w:tcPr>
          <w:p>
            <w:pPr>
              <w:pStyle w:val="TableContents"/>
              <w:bidi w:val="0"/>
              <w:spacing w:before="0" w:after="283"/>
              <w:jc w:val="left"/>
              <w:rPr>
                <w:sz w:val="4"/>
                <w:szCs w:val="4"/>
              </w:rPr>
            </w:pPr>
            <w:r>
              <w:rPr>
                <w:sz w:val="4"/>
                <w:szCs w:val="4"/>
              </w:rPr>
            </w:r>
          </w:p>
        </w:tc>
      </w:tr>
      <w:tr>
        <w:trPr/>
        <w:tc>
          <w:tcPr>
            <w:tcW w:w="1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units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r>
      <w:tr>
        <w:trPr/>
        <w:tc>
          <w:tcPr>
            <w:tcW w:w="18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Deferred stock units and fees paid in stock </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r>
      <w:tr>
        <w:trPr/>
        <w:tc>
          <w:tcPr>
            <w:tcW w:w="1858"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48" w:type="dxa"/>
            <w:gridSpan w:val="3"/>
            <w:tcBorders/>
            <w:vAlign w:val="center"/>
          </w:tcPr>
          <w:p>
            <w:pPr>
              <w:pStyle w:val="TableContents"/>
              <w:bidi w:val="0"/>
              <w:spacing w:before="0" w:after="283"/>
              <w:jc w:val="left"/>
              <w:rPr>
                <w:sz w:val="4"/>
                <w:szCs w:val="4"/>
              </w:rPr>
            </w:pPr>
            <w:r>
              <w:rPr>
                <w:sz w:val="4"/>
                <w:szCs w:val="4"/>
              </w:rPr>
            </w:r>
          </w:p>
        </w:tc>
      </w:tr>
      <w:tr>
        <w:trPr/>
        <w:tc>
          <w:tcPr>
            <w:tcW w:w="1858"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48" w:type="dxa"/>
            <w:gridSpan w:val="3"/>
            <w:tcBorders/>
            <w:vAlign w:val="center"/>
          </w:tcPr>
          <w:p>
            <w:pPr>
              <w:pStyle w:val="TableContents"/>
              <w:bidi w:val="0"/>
              <w:spacing w:before="0" w:after="283"/>
              <w:jc w:val="left"/>
              <w:rPr>
                <w:sz w:val="4"/>
                <w:szCs w:val="4"/>
              </w:rPr>
            </w:pPr>
            <w:r>
              <w:rPr>
                <w:sz w:val="4"/>
                <w:szCs w:val="4"/>
              </w:rPr>
            </w:r>
          </w:p>
        </w:tc>
      </w:tr>
      <w:tr>
        <w:trPr/>
        <w:tc>
          <w:tcPr>
            <w:tcW w:w="1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based awards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r>
      <w:tr>
        <w:trPr/>
        <w:tc>
          <w:tcPr>
            <w:tcW w:w="18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payment expense</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58"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payment expense, net of tax</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21.7</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29.7 </w:t>
            </w:r>
          </w:p>
        </w:tc>
        <w:tc>
          <w:tcPr>
            <w:tcW w:w="1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27.0 </w:t>
            </w:r>
          </w:p>
        </w:tc>
        <w:tc>
          <w:tcPr>
            <w:tcW w:w="1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31445"/>
                <wp:effectExtent l="0" t="0" r="0" b="0"/>
                <wp:wrapNone/>
                <wp:docPr id="112" name="Frame1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Value of Distributed or Exercised Awards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value of shares distributed or options exercised in the last three years is as follows:</w:t>
      </w:r>
    </w:p>
    <w:tbl>
      <w:tblPr>
        <w:tblW w:w="6617" w:type="dxa"/>
        <w:jc w:val="left"/>
        <w:tblInd w:w="0" w:type="dxa"/>
        <w:tblLayout w:type="fixed"/>
        <w:tblCellMar>
          <w:top w:w="28" w:type="dxa"/>
          <w:left w:w="28" w:type="dxa"/>
          <w:bottom w:w="28" w:type="dxa"/>
          <w:right w:w="28" w:type="dxa"/>
        </w:tblCellMar>
      </w:tblPr>
      <w:tblGrid>
        <w:gridCol w:w="1133"/>
        <w:gridCol w:w="997"/>
        <w:gridCol w:w="1004"/>
        <w:gridCol w:w="294"/>
        <w:gridCol w:w="722"/>
        <w:gridCol w:w="163"/>
        <w:gridCol w:w="163"/>
        <w:gridCol w:w="163"/>
        <w:gridCol w:w="163"/>
        <w:gridCol w:w="233"/>
        <w:gridCol w:w="233"/>
        <w:gridCol w:w="163"/>
        <w:gridCol w:w="163"/>
        <w:gridCol w:w="163"/>
        <w:gridCol w:w="163"/>
        <w:gridCol w:w="233"/>
        <w:gridCol w:w="233"/>
        <w:gridCol w:w="231"/>
      </w:tblGrid>
      <w:tr>
        <w:trPr/>
        <w:tc>
          <w:tcPr>
            <w:tcW w:w="1133"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483" w:type="dxa"/>
            <w:gridSpan w:val="15"/>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Value of Shares Distributed or Exercised</w:t>
            </w:r>
            <w:r>
              <w:rPr>
                <w:rFonts w:ascii="Times New Roman;serif" w:hAnsi="Times New Roman;serif"/>
                <w:b w:val="false"/>
                <w:color w:val="000000"/>
                <w:sz w:val="12"/>
              </w:rPr>
              <w:t>(a)</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3"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Years Ended December 31,</w:t>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2023</w:t>
            </w:r>
          </w:p>
        </w:tc>
      </w:tr>
      <w:tr>
        <w:trPr/>
        <w:tc>
          <w:tcPr>
            <w:tcW w:w="31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Performance stock units</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42.5</w:t>
            </w: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units</w:t>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14.2</w:t>
            </w: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stock units and fees paid in stock</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w:t>
            </w: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Performance-based options</w:t>
            </w:r>
            <w:r>
              <w:rPr>
                <w:rFonts w:ascii="Times New Roman;serif" w:hAnsi="Times New Roman;serif"/>
                <w:b w:val="false"/>
                <w:color w:val="000000"/>
                <w:sz w:val="12"/>
              </w:rPr>
              <w:t>(a)</w:t>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Time-based vesting options</w:t>
            </w:r>
            <w:r>
              <w:rPr>
                <w:rFonts w:ascii="Times New Roman;serif" w:hAnsi="Times New Roman;serif"/>
                <w:b w:val="false"/>
                <w:color w:val="000000"/>
                <w:sz w:val="12"/>
              </w:rPr>
              <w:t>(a)</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0.6</w:t>
            </w: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58.4</w:t>
            </w: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 realized</w:t>
            </w:r>
          </w:p>
        </w:tc>
        <w:tc>
          <w:tcPr>
            <w:tcW w:w="294"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2"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13.9</w:t>
            </w:r>
            <w:r>
              <w:rPr>
                <w:color w:val="000000"/>
              </w:rPr>
              <w:t> </w:t>
            </w:r>
          </w:p>
        </w:tc>
        <w:tc>
          <w:tcPr>
            <w:tcW w:w="163"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163"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23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14"/>
        </w:rPr>
      </w:pPr>
      <w:r>
        <w:rPr>
          <w:rFonts w:ascii="Times New Roman;serif" w:hAnsi="Times New Roman;serif"/>
          <w:b w:val="false"/>
          <w:color w:val="000000"/>
          <w:sz w:val="14"/>
        </w:rPr>
        <w:t xml:space="preserve">(a)Intrinsic value for options.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Restricted Stock Units (“RSUs”)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We granted RSUs, which contain only a service condition as part of our compensation program. RSUs are paid out in shares of Brink’s stock when the awards vest. For RSUs granted during the last three years, the units generally vest ratably in three equal annual installments following the grant date.  </w:t>
        <w:br/>
        <w:br/>
        <w:t>We measure the fair value of RSUs based on the price of Brink’s stock at the grant date, adjusted for a discount for dividends not received or accrued during the vesting period. The weighted-average fair value per share at grant date was $89.26 in 2025, $85.14 in 2024 and $65.77 in 2023. The weighted-average discount was approximately 2% in each of 2025, 2024 and 2023.</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table summarizes RSU activity during 2025:</w:t>
      </w:r>
    </w:p>
    <w:tbl>
      <w:tblPr>
        <w:tblW w:w="8784" w:type="dxa"/>
        <w:jc w:val="left"/>
        <w:tblInd w:w="0" w:type="dxa"/>
        <w:tblLayout w:type="fixed"/>
        <w:tblCellMar>
          <w:top w:w="28" w:type="dxa"/>
          <w:left w:w="28" w:type="dxa"/>
          <w:bottom w:w="28" w:type="dxa"/>
          <w:right w:w="28" w:type="dxa"/>
        </w:tblCellMar>
      </w:tblPr>
      <w:tblGrid>
        <w:gridCol w:w="1261"/>
        <w:gridCol w:w="1107"/>
        <w:gridCol w:w="1111"/>
        <w:gridCol w:w="379"/>
        <w:gridCol w:w="379"/>
        <w:gridCol w:w="381"/>
        <w:gridCol w:w="109"/>
        <w:gridCol w:w="109"/>
        <w:gridCol w:w="109"/>
        <w:gridCol w:w="829"/>
        <w:gridCol w:w="2354"/>
        <w:gridCol w:w="656"/>
      </w:tblGrid>
      <w:tr>
        <w:trPr/>
        <w:tc>
          <w:tcPr>
            <w:tcW w:w="1261"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3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Shares</w:t>
            </w:r>
          </w:p>
          <w:p>
            <w:pPr>
              <w:pStyle w:val="TableContents"/>
              <w:bidi w:val="0"/>
              <w:spacing w:lineRule="auto" w:line="240"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Weighted-Average Grant Date Fair Value Per Share</w:t>
            </w:r>
          </w:p>
        </w:tc>
      </w:tr>
      <w:tr>
        <w:trPr/>
        <w:tc>
          <w:tcPr>
            <w:tcW w:w="34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Nonvested balance as of December 31, 2024</w:t>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290.4 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3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74.24 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Activity from January 1 to December 31, 2025:</w:t>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163.2 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89.26 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82.82 </w:t>
            </w:r>
          </w:p>
        </w:tc>
        <w:tc>
          <w:tcPr>
            <w:tcW w:w="6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39" w:type="dxa"/>
            <w:gridSpan w:val="3"/>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(151.4)</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70.34 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Nonvested balance as of December 31, 2025</w:t>
            </w:r>
          </w:p>
        </w:tc>
        <w:tc>
          <w:tcPr>
            <w:tcW w:w="75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263.7 </w:t>
            </w:r>
          </w:p>
        </w:tc>
        <w:tc>
          <w:tcPr>
            <w:tcW w:w="3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2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3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84.52 </w:t>
            </w:r>
          </w:p>
        </w:tc>
        <w:tc>
          <w:tcPr>
            <w:tcW w:w="6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Performance Stock Units (“PSUs”)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Historically, we have granted Internal Metric PSUs ("IM PSUs") and Relative Total Shareholder Return PSUs ("TSR PSUs") as part of our compensation program.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majority of outstanding IM PSUs contain a performance condition as well as a service condition. We measure the fair value of these PSUs based on the price of Brink’s stock at the grant date, adjusted for a discount for dividends not received or accrued during the vesting period. For IM PSUs granted in 2022, the performance period was from January 1, 2022 to December 31, 2024. For IM PSUs granted in 2023, the performance period was from January 1, 2023 to December 31, 2025. For IM PSUs granted in 2024, the performance period is from January 1, 2024 to December 31, 2026. For IM PSUs granted in 2025, the performance period is from January 1, 2025 to December 31, 2027. In 2023, 2024, and 2025, we also granted IM PSUs to certain employees which contain a market condition (in the form of a relative TSR modifier), a performance condition, and a service condition. We measure the fair value of IM PSUs containing a market condition at the grant date using a Monte Carlo simulation model.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IM PSUs are paid out in shares of Brink’s stock when the awards vest. For the IM PSUs granted in 2025, 2024 and 2023, the number of shares paid out ranges from 0% to 200% of an employee’s award, depending on the achievement of pre-established financial goals over the performance period. Shares are not paid out if the financial results do not meet a pre-established threshold level of performance.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31445"/>
                <wp:effectExtent l="0" t="0" r="0" b="0"/>
                <wp:wrapNone/>
                <wp:docPr id="113" name="Frame1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table summarizes all PSU activity during 2025:</w:t>
      </w:r>
    </w:p>
    <w:tbl>
      <w:tblPr>
        <w:tblW w:w="8784" w:type="dxa"/>
        <w:jc w:val="left"/>
        <w:tblInd w:w="0" w:type="dxa"/>
        <w:tblLayout w:type="fixed"/>
        <w:tblCellMar>
          <w:top w:w="28" w:type="dxa"/>
          <w:left w:w="28" w:type="dxa"/>
          <w:bottom w:w="28" w:type="dxa"/>
          <w:right w:w="28" w:type="dxa"/>
        </w:tblCellMar>
      </w:tblPr>
      <w:tblGrid>
        <w:gridCol w:w="1261"/>
        <w:gridCol w:w="1107"/>
        <w:gridCol w:w="1111"/>
        <w:gridCol w:w="379"/>
        <w:gridCol w:w="379"/>
        <w:gridCol w:w="381"/>
        <w:gridCol w:w="109"/>
        <w:gridCol w:w="109"/>
        <w:gridCol w:w="109"/>
        <w:gridCol w:w="829"/>
        <w:gridCol w:w="2354"/>
        <w:gridCol w:w="656"/>
      </w:tblGrid>
      <w:tr>
        <w:trPr/>
        <w:tc>
          <w:tcPr>
            <w:tcW w:w="1261"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3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Shares</w:t>
              <w:b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Weighted-Average Grant Date Fair Value Per Share</w:t>
            </w:r>
          </w:p>
        </w:tc>
      </w:tr>
      <w:tr>
        <w:trPr/>
        <w:tc>
          <w:tcPr>
            <w:tcW w:w="34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Nonvested balance as of December 31, 2024</w:t>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639.1 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3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72.64 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Activity from January 1 to December 31, 2025:</w:t>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222.1 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89.90 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Forfeited or expired</w:t>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(103.8)</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81.18 </w:t>
            </w:r>
          </w:p>
        </w:tc>
        <w:tc>
          <w:tcPr>
            <w:tcW w:w="6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39" w:type="dxa"/>
            <w:gridSpan w:val="3"/>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Vested</w:t>
            </w:r>
            <w:r>
              <w:rPr>
                <w:rFonts w:ascii="Times New Roman;serif" w:hAnsi="Times New Roman;serif"/>
                <w:b w:val="false"/>
                <w:color w:val="000000"/>
                <w:sz w:val="12"/>
              </w:rPr>
              <w:t>(a)</w:t>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(235.0)</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67.17 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Nonvested balance as of December 31, 2025</w:t>
            </w:r>
          </w:p>
        </w:tc>
        <w:tc>
          <w:tcPr>
            <w:tcW w:w="75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522.4 </w:t>
            </w:r>
          </w:p>
        </w:tc>
        <w:tc>
          <w:tcPr>
            <w:tcW w:w="3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2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3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80.75 </w:t>
            </w:r>
          </w:p>
        </w:tc>
        <w:tc>
          <w:tcPr>
            <w:tcW w:w="6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(a)The vested PSUs presented are based on the target amount of the award. In accordance with the terms of the underlying award agreements, the actual shares earned and distributed for the performance period ended December 31, 2024 were 440.2 thousand, compared to target shares of 235.0 thousand.</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table provides the terms and weighted-average assumptions used in the Monte Carlo simulation model for the IM PSUs with a market condition granted in 2025, 2024, and 2023:</w:t>
      </w:r>
    </w:p>
    <w:tbl>
      <w:tblPr>
        <w:tblW w:w="9594" w:type="dxa"/>
        <w:jc w:val="left"/>
        <w:tblInd w:w="0" w:type="dxa"/>
        <w:tblLayout w:type="fixed"/>
        <w:tblCellMar>
          <w:top w:w="28" w:type="dxa"/>
          <w:left w:w="28" w:type="dxa"/>
          <w:bottom w:w="28" w:type="dxa"/>
          <w:right w:w="28" w:type="dxa"/>
        </w:tblCellMar>
      </w:tblPr>
      <w:tblGrid>
        <w:gridCol w:w="1754"/>
        <w:gridCol w:w="1543"/>
        <w:gridCol w:w="1548"/>
        <w:gridCol w:w="262"/>
        <w:gridCol w:w="745"/>
        <w:gridCol w:w="343"/>
        <w:gridCol w:w="109"/>
        <w:gridCol w:w="109"/>
        <w:gridCol w:w="109"/>
        <w:gridCol w:w="262"/>
        <w:gridCol w:w="745"/>
        <w:gridCol w:w="343"/>
        <w:gridCol w:w="109"/>
        <w:gridCol w:w="109"/>
        <w:gridCol w:w="109"/>
        <w:gridCol w:w="259"/>
        <w:gridCol w:w="737"/>
        <w:gridCol w:w="399"/>
      </w:tblGrid>
      <w:tr>
        <w:trPr/>
        <w:tc>
          <w:tcPr>
            <w:tcW w:w="1754"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 xml:space="preserve">Terms and Assumptions Used to Estimate Grant Date Fair Value </w:t>
            </w:r>
          </w:p>
        </w:tc>
        <w:tc>
          <w:tcPr>
            <w:tcW w:w="135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2025 IM PSUs</w:t>
            </w:r>
            <w:r>
              <w:rPr>
                <w:rFonts w:ascii="Times New Roman;serif" w:hAnsi="Times New Roman;serif"/>
                <w:b w:val="false"/>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2024 IM PSUs</w:t>
            </w:r>
            <w:r>
              <w:rPr>
                <w:rFonts w:ascii="Times New Roman;serif" w:hAnsi="Times New Roman;serif"/>
                <w:b w:val="false"/>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2023 IM PSUs</w:t>
            </w:r>
            <w:r>
              <w:rPr>
                <w:rFonts w:ascii="Times New Roman;serif" w:hAnsi="Times New Roman;serif"/>
                <w:b w:val="false"/>
                <w:color w:val="000000"/>
                <w:sz w:val="12"/>
              </w:rPr>
              <w:t>(a)</w:t>
            </w:r>
          </w:p>
        </w:tc>
      </w:tr>
      <w:tr>
        <w:trPr/>
        <w:tc>
          <w:tcPr>
            <w:tcW w:w="48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Terms of awards:</w:t>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Performance period</w:t>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Jan. 1, 2025 to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Jan. 1, 2024 to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Jan. 1, 2023 to</w:t>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 31,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 31, 2025</w:t>
            </w:r>
          </w:p>
        </w:tc>
      </w:tr>
      <w:tr>
        <w:trPr/>
        <w:tc>
          <w:tcPr>
            <w:tcW w:w="4845"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assumptions used to estimate fair value:</w:t>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Expected dividend yield</w:t>
            </w:r>
            <w:r>
              <w:rPr>
                <w:rFonts w:ascii="Times New Roman;serif" w:hAnsi="Times New Roman;serif"/>
                <w:b w:val="false"/>
                <w:color w:val="000000"/>
                <w:sz w:val="12"/>
              </w:rPr>
              <w:t>(b)</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Expected stock price volatility</w:t>
            </w:r>
            <w:r>
              <w:rPr>
                <w:rFonts w:ascii="Times New Roman;serif" w:hAnsi="Times New Roman;serif"/>
                <w:b w:val="false"/>
                <w:color w:val="000000"/>
                <w:sz w:val="12"/>
              </w:rPr>
              <w:t>(c)</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29.4 </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31.1 </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41.9 </w:t>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Risk-free interest rate</w:t>
            </w:r>
            <w:r>
              <w:rPr>
                <w:rFonts w:ascii="Times New Roman;serif" w:hAnsi="Times New Roman;serif"/>
                <w:b w:val="false"/>
                <w:color w:val="000000"/>
                <w:sz w:val="12"/>
              </w:rPr>
              <w:t>(d)</w:t>
            </w:r>
          </w:p>
        </w:tc>
        <w:tc>
          <w:tcPr>
            <w:tcW w:w="100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343" w:type="dxa"/>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Contractual term in years</w:t>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fair value estimates at grant date:</w:t>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millions</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3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per share</w:t>
            </w:r>
          </w:p>
        </w:tc>
        <w:tc>
          <w:tcPr>
            <w:tcW w:w="262"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5"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92.26 </w:t>
            </w:r>
          </w:p>
        </w:tc>
        <w:tc>
          <w:tcPr>
            <w:tcW w:w="343"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2"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5"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83.81 </w:t>
            </w:r>
          </w:p>
        </w:tc>
        <w:tc>
          <w:tcPr>
            <w:tcW w:w="343"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9"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72.51 </w:t>
            </w:r>
          </w:p>
        </w:tc>
        <w:tc>
          <w:tcPr>
            <w:tcW w:w="39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(a)In 2025, 2024, and 2023, we granted IM PSUs to certain employees which contain a market condition (in the form of a relative TSR modifier).</w:t>
      </w:r>
    </w:p>
    <w:p>
      <w:pPr>
        <w:pStyle w:val="TextBody"/>
        <w:bidi w:val="0"/>
        <w:spacing w:lineRule="auto" w:line="288" w:before="0" w:after="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 xml:space="preserve">(b)The stock price projection in the Monte Carlo simulation model assumed a 0% dividend yield, which is mathematically equivalent to reinvesting dividends over the performance period. For the valuation of these PSUs with market conditions, because the holders of the awards have no rights to any dividend paid during the vesting period, we applied a dividend yield in the Monte Carlo simulation model to reduce the projected stock price as of the grant date. </w:t>
      </w:r>
    </w:p>
    <w:p>
      <w:pPr>
        <w:pStyle w:val="TextBody"/>
        <w:bidi w:val="0"/>
        <w:spacing w:lineRule="auto" w:line="288" w:before="0" w:after="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 xml:space="preserve">(c)The expected stock price volatility was calculated on the grant date for the most recent term equivalent to the contractual term in years. </w:t>
      </w:r>
    </w:p>
    <w:p>
      <w:pPr>
        <w:pStyle w:val="TextBody"/>
        <w:bidi w:val="0"/>
        <w:spacing w:lineRule="auto" w:line="288" w:before="0" w:after="0"/>
        <w:ind w:left="0" w:right="0" w:hanging="360"/>
        <w:jc w:val="both"/>
        <w:rPr>
          <w:rFonts w:ascii="Times New Roman;serif" w:hAnsi="Times New Roman;serif"/>
          <w:b w:val="false"/>
          <w:color w:val="000000"/>
          <w:sz w:val="14"/>
        </w:rPr>
      </w:pPr>
      <w:r>
        <w:rPr>
          <w:rFonts w:ascii="Times New Roman;serif" w:hAnsi="Times New Roman;serif"/>
          <w:b w:val="false"/>
          <w:color w:val="000000"/>
          <w:sz w:val="14"/>
        </w:rPr>
        <w:t xml:space="preserve">(d)The risk-free interest rate on each date of grant is the rate for a zero-coupon U.S. Treasury bill that was commensurate with the grant date contractual term.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31445"/>
                <wp:effectExtent l="0" t="0" r="0" b="0"/>
                <wp:wrapNone/>
                <wp:docPr id="114" name="Frame1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Options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 2020, we granted time-based vesting stock options to certain senior executives. We measure the fair value of these awards at the grant date using the Black-Scholes-Merton option pricing model.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When vested, options entitle the holder to purchase a specified number of shares of Brink’s stock at a price set at the date the options were granted. The option price for Brink’s options was equal to the market price of Brink’s stock on the award date. Options granted to employees have a maximum term of six years.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Time-based Vesting Option Activity</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table below summarizes the activity associated with grants of time-based vesting options:</w:t>
      </w:r>
    </w:p>
    <w:tbl>
      <w:tblPr>
        <w:tblW w:w="10205" w:type="dxa"/>
        <w:jc w:val="left"/>
        <w:tblInd w:w="0" w:type="dxa"/>
        <w:tblLayout w:type="fixed"/>
        <w:tblCellMar>
          <w:top w:w="28" w:type="dxa"/>
          <w:left w:w="28" w:type="dxa"/>
          <w:bottom w:w="28" w:type="dxa"/>
          <w:right w:w="28" w:type="dxa"/>
        </w:tblCellMar>
      </w:tblPr>
      <w:tblGrid>
        <w:gridCol w:w="635"/>
        <w:gridCol w:w="557"/>
        <w:gridCol w:w="561"/>
        <w:gridCol w:w="313"/>
        <w:gridCol w:w="313"/>
        <w:gridCol w:w="314"/>
        <w:gridCol w:w="109"/>
        <w:gridCol w:w="109"/>
        <w:gridCol w:w="109"/>
        <w:gridCol w:w="283"/>
        <w:gridCol w:w="803"/>
        <w:gridCol w:w="157"/>
        <w:gridCol w:w="109"/>
        <w:gridCol w:w="109"/>
        <w:gridCol w:w="109"/>
        <w:gridCol w:w="536"/>
        <w:gridCol w:w="1520"/>
        <w:gridCol w:w="299"/>
        <w:gridCol w:w="109"/>
        <w:gridCol w:w="109"/>
        <w:gridCol w:w="109"/>
        <w:gridCol w:w="409"/>
        <w:gridCol w:w="409"/>
        <w:gridCol w:w="411"/>
        <w:gridCol w:w="109"/>
        <w:gridCol w:w="109"/>
        <w:gridCol w:w="109"/>
        <w:gridCol w:w="353"/>
        <w:gridCol w:w="734"/>
        <w:gridCol w:w="290"/>
      </w:tblGrid>
      <w:tr>
        <w:trPr/>
        <w:tc>
          <w:tcPr>
            <w:tcW w:w="63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753"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Shares</w:t>
              <w:b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Weighted- Average</w:t>
              <w:br/>
              <w:t>Exercise Price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Weighted-Average Grant Date Fair Value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Weighted- Average</w:t>
              <w:br/>
              <w:t>Remaining Contractual</w:t>
              <w:br/>
              <w:t>Term (in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Aggregate Intrinsic Value</w:t>
            </w:r>
            <w:r>
              <w:rPr>
                <w:rFonts w:ascii="Times New Roman;serif" w:hAnsi="Times New Roman;serif"/>
                <w:b w:val="false"/>
                <w:color w:val="000000"/>
                <w:sz w:val="12"/>
              </w:rPr>
              <w:t>(a)</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(in millions)</w:t>
            </w:r>
          </w:p>
        </w:tc>
      </w:tr>
      <w:tr>
        <w:trPr/>
        <w:tc>
          <w:tcPr>
            <w:tcW w:w="17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Outstanding at December 31, 2024</w:t>
            </w:r>
            <w:r>
              <w:rPr>
                <w:rFonts w:ascii="Times New Roman;serif" w:hAnsi="Times New Roman;serif"/>
                <w:b w:val="false"/>
                <w:color w:val="000000"/>
                <w:sz w:val="12"/>
              </w:rPr>
              <w:t>(b)</w:t>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84.17 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20.98 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753"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r>
      <w:tr>
        <w:trPr/>
        <w:tc>
          <w:tcPr>
            <w:tcW w:w="1753"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r>
      <w:tr>
        <w:trPr/>
        <w:tc>
          <w:tcPr>
            <w:tcW w:w="1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Exercised</w:t>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84.52 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21.15 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75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Outstanding at December 31, 2025</w:t>
            </w:r>
          </w:p>
        </w:tc>
        <w:tc>
          <w:tcPr>
            <w:tcW w:w="6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81.69 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19.75 </w:t>
            </w:r>
          </w:p>
        </w:tc>
        <w:tc>
          <w:tcPr>
            <w:tcW w:w="2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Of the above, as of December 31, 2025:</w:t>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Exercisable</w:t>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81.69 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Expected to vest in future periods</w:t>
            </w:r>
            <w:r>
              <w:rPr>
                <w:rFonts w:ascii="Times New Roman;serif" w:hAnsi="Times New Roman;serif"/>
                <w:b w:val="false"/>
                <w:color w:val="000000"/>
                <w:sz w:val="12"/>
              </w:rPr>
              <w:t>(c)</w:t>
            </w:r>
          </w:p>
        </w:tc>
        <w:tc>
          <w:tcPr>
            <w:tcW w:w="62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1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3"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53"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(a)The intrinsic value of a stock option is the difference between the market price of the shares underlying the option and the exercise price of the option. The market price at December 31, 2025 was $116.73.</w:t>
      </w:r>
    </w:p>
    <w:p>
      <w:pPr>
        <w:pStyle w:val="TextBody"/>
        <w:bidi w:val="0"/>
        <w:spacing w:lineRule="auto" w:line="288" w:before="0" w:after="0"/>
        <w:ind w:left="0" w:right="0" w:hanging="360"/>
        <w:jc w:val="left"/>
        <w:rPr/>
      </w:pPr>
      <w:r>
        <w:rPr>
          <w:rFonts w:ascii="Times New Roman;serif" w:hAnsi="Times New Roman;serif"/>
          <w:b w:val="false"/>
          <w:color w:val="000000"/>
          <w:sz w:val="14"/>
          <w:shd w:fill="FFFFFF" w:val="clear"/>
        </w:rPr>
        <w:t>(b)</w:t>
      </w:r>
      <w:r>
        <w:rPr>
          <w:rFonts w:ascii="Times New Roman;serif" w:hAnsi="Times New Roman;serif"/>
          <w:b w:val="false"/>
          <w:color w:val="000000"/>
          <w:sz w:val="14"/>
        </w:rPr>
        <w:t xml:space="preserve">There were 22.5 thousand exercisable options </w:t>
      </w:r>
      <w:r>
        <w:rPr>
          <w:rFonts w:ascii="Times New Roman;serif" w:hAnsi="Times New Roman;serif"/>
          <w:b w:val="false"/>
          <w:color w:val="000000"/>
          <w:sz w:val="14"/>
          <w:shd w:fill="FFFFFF" w:val="clear"/>
        </w:rPr>
        <w:t xml:space="preserve">with a weighted average exercise price of </w:t>
      </w:r>
      <w:r>
        <w:rPr>
          <w:rFonts w:ascii="Times New Roman;serif" w:hAnsi="Times New Roman;serif"/>
          <w:b w:val="false"/>
          <w:color w:val="000000"/>
          <w:sz w:val="14"/>
        </w:rPr>
        <w:t>$84.17</w:t>
      </w:r>
      <w:r>
        <w:rPr>
          <w:color w:val="000000"/>
          <w:shd w:fill="FFFFFF" w:val="clear"/>
        </w:rPr>
        <w:t xml:space="preserve"> </w:t>
      </w:r>
      <w:r>
        <w:rPr>
          <w:rFonts w:ascii="Times New Roman;serif" w:hAnsi="Times New Roman;serif"/>
          <w:b w:val="false"/>
          <w:color w:val="000000"/>
          <w:sz w:val="14"/>
          <w:shd w:fill="FFFFFF" w:val="clear"/>
        </w:rPr>
        <w:t>at December 31, 2024 and</w:t>
      </w:r>
      <w:r>
        <w:rPr>
          <w:color w:val="000000"/>
        </w:rPr>
        <w:t xml:space="preserve"> </w:t>
      </w:r>
      <w:r>
        <w:rPr>
          <w:rFonts w:ascii="Times New Roman;serif" w:hAnsi="Times New Roman;serif"/>
          <w:b w:val="false"/>
          <w:color w:val="000000"/>
          <w:sz w:val="14"/>
        </w:rPr>
        <w:t>115.7 thousand exercisable options with a weighted average exercise price of $80.74 at December 31, 2023.</w:t>
      </w:r>
    </w:p>
    <w:p>
      <w:pPr>
        <w:pStyle w:val="TextBody"/>
        <w:bidi w:val="0"/>
        <w:spacing w:lineRule="auto" w:line="288" w:before="0" w:after="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(c)At December 31, 2025, all outstanding time-based options were vested.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table provides the weighted-average assumptions used in the Black-Scholes-Merton option pricing model for the time-based vesting options granted in 2020:</w:t>
      </w:r>
    </w:p>
    <w:tbl>
      <w:tblPr>
        <w:tblW w:w="6940" w:type="dxa"/>
        <w:jc w:val="left"/>
        <w:tblInd w:w="0" w:type="dxa"/>
        <w:tblLayout w:type="fixed"/>
        <w:tblCellMar>
          <w:top w:w="28" w:type="dxa"/>
          <w:left w:w="28" w:type="dxa"/>
          <w:bottom w:w="28" w:type="dxa"/>
          <w:right w:w="28" w:type="dxa"/>
        </w:tblCellMar>
      </w:tblPr>
      <w:tblGrid>
        <w:gridCol w:w="2052"/>
        <w:gridCol w:w="1806"/>
        <w:gridCol w:w="1811"/>
        <w:gridCol w:w="109"/>
        <w:gridCol w:w="109"/>
        <w:gridCol w:w="196"/>
        <w:gridCol w:w="556"/>
        <w:gridCol w:w="301"/>
      </w:tblGrid>
      <w:tr>
        <w:trPr/>
        <w:tc>
          <w:tcPr>
            <w:tcW w:w="2052" w:type="dxa"/>
            <w:tcBorders/>
            <w:vAlign w:val="center"/>
          </w:tcPr>
          <w:p>
            <w:pPr>
              <w:pStyle w:val="TableContents"/>
              <w:bidi w:val="0"/>
              <w:spacing w:before="0" w:after="283"/>
              <w:jc w:val="left"/>
              <w:rPr>
                <w:sz w:val="4"/>
                <w:szCs w:val="4"/>
              </w:rPr>
            </w:pPr>
            <w:r>
              <w:rPr>
                <w:sz w:val="4"/>
                <w:szCs w:val="4"/>
              </w:rPr>
            </w:r>
          </w:p>
        </w:tc>
        <w:tc>
          <w:tcPr>
            <w:tcW w:w="1806"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5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Assumptions Used to Estimate Grant Date Fair Value of Time-Based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2020</w:t>
            </w:r>
          </w:p>
        </w:tc>
      </w:tr>
      <w:tr>
        <w:trPr/>
        <w:tc>
          <w:tcPr>
            <w:tcW w:w="56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Assumptions used to estimate 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Expected dividend yield</w:t>
            </w:r>
            <w:r>
              <w:rPr>
                <w:rFonts w:ascii="Times New Roman;serif" w:hAnsi="Times New Roman;serif"/>
                <w:b w:val="false"/>
                <w:color w:val="000000"/>
                <w:sz w:val="12"/>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Expected stock price volatility</w:t>
            </w:r>
            <w:r>
              <w:rPr>
                <w:rFonts w:ascii="Times New Roman;serif" w:hAnsi="Times New Roman;serif"/>
                <w:b w:val="false"/>
                <w:color w:val="000000"/>
                <w:sz w:val="12"/>
              </w:rPr>
              <w:t>(b)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Risk-free interest rate</w:t>
            </w:r>
            <w:r>
              <w:rPr>
                <w:rFonts w:ascii="Times New Roman;serif" w:hAnsi="Times New Roman;serif"/>
                <w:b w:val="false"/>
                <w:color w:val="000000"/>
                <w:sz w:val="12"/>
              </w:rPr>
              <w:t>(c)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Expected term in years</w:t>
            </w:r>
            <w:r>
              <w:rPr>
                <w:rFonts w:ascii="Times New Roman;serif" w:hAnsi="Times New Roman;serif"/>
                <w:b w:val="false"/>
                <w:color w:val="000000"/>
                <w:sz w:val="12"/>
              </w:rPr>
              <w:t>(d)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fair value estimates at grant date: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21.10 </w:t>
            </w:r>
          </w:p>
        </w:tc>
        <w:tc>
          <w:tcPr>
            <w:tcW w:w="30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14"/>
        </w:rPr>
      </w:pPr>
      <w:r>
        <w:rPr>
          <w:rFonts w:ascii="Times New Roman;serif" w:hAnsi="Times New Roman;serif"/>
          <w:b w:val="false"/>
          <w:color w:val="000000"/>
          <w:sz w:val="14"/>
        </w:rPr>
        <w:t xml:space="preserve">(a)The expected dividend yield is the calculated annual yield on Brink's stock at the time of the grant. </w:t>
      </w:r>
    </w:p>
    <w:p>
      <w:pPr>
        <w:pStyle w:val="TextBody"/>
        <w:bidi w:val="0"/>
        <w:spacing w:lineRule="auto" w:line="288" w:before="0" w:after="0"/>
        <w:ind w:left="0" w:right="0" w:hanging="360"/>
        <w:jc w:val="both"/>
        <w:rPr>
          <w:rFonts w:ascii="Times New Roman;serif" w:hAnsi="Times New Roman;serif"/>
          <w:b w:val="false"/>
          <w:color w:val="000000"/>
          <w:sz w:val="14"/>
        </w:rPr>
      </w:pPr>
      <w:r>
        <w:rPr>
          <w:rFonts w:ascii="Times New Roman;serif" w:hAnsi="Times New Roman;serif"/>
          <w:b w:val="false"/>
          <w:color w:val="000000"/>
          <w:sz w:val="14"/>
        </w:rPr>
        <w:t xml:space="preserve">(b)The expected stock price volatility was calculated at the time of the grant after reviewing the historic volatility of our stock using daily close prices. </w:t>
      </w:r>
    </w:p>
    <w:p>
      <w:pPr>
        <w:pStyle w:val="TextBody"/>
        <w:bidi w:val="0"/>
        <w:spacing w:lineRule="auto" w:line="288" w:before="0" w:after="0"/>
        <w:ind w:left="0" w:right="0" w:hanging="360"/>
        <w:jc w:val="both"/>
        <w:rPr>
          <w:rFonts w:ascii="Times New Roman;serif" w:hAnsi="Times New Roman;serif"/>
          <w:b w:val="false"/>
          <w:color w:val="000000"/>
          <w:sz w:val="14"/>
        </w:rPr>
      </w:pPr>
      <w:r>
        <w:rPr>
          <w:rFonts w:ascii="Times New Roman;serif" w:hAnsi="Times New Roman;serif"/>
          <w:b w:val="false"/>
          <w:color w:val="000000"/>
          <w:sz w:val="14"/>
        </w:rPr>
        <w:t xml:space="preserve">(c)The risk-free interest rate at each grant date was the rate for a zero-coupon U.S. Treasury bill that was commensurate with the expected life of 4.5 years. </w:t>
      </w:r>
    </w:p>
    <w:p>
      <w:pPr>
        <w:pStyle w:val="TextBody"/>
        <w:bidi w:val="0"/>
        <w:spacing w:lineRule="auto" w:line="288" w:before="0" w:after="0"/>
        <w:ind w:left="0" w:right="0" w:hanging="360"/>
        <w:jc w:val="both"/>
        <w:rPr>
          <w:rFonts w:ascii="Times New Roman;serif" w:hAnsi="Times New Roman;serif"/>
          <w:b w:val="false"/>
          <w:color w:val="000000"/>
          <w:sz w:val="14"/>
        </w:rPr>
      </w:pPr>
      <w:r>
        <w:rPr>
          <w:rFonts w:ascii="Times New Roman;serif" w:hAnsi="Times New Roman;serif"/>
          <w:b w:val="false"/>
          <w:color w:val="000000"/>
          <w:sz w:val="14"/>
        </w:rPr>
        <w:t xml:space="preserve">(d)The expected term of the options was based on historical exercise, expiration and post-cancellation behavior.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Deferred Stock Units (“DSUs”)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granted DSUs to our non-employee directors as part of our compensation program. We measure the fair value of DSUs at the grant date, based on the price of Brink's stock, and, if applicable, adjusted for a discount for dividends not received or accrued during the vesting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DSUs granted after 2014 will be paid out in shares of Brink's stock on the first anniversary of the grant date, provided that the director has not elected to defer the distribution of shares until a later date. DSUs granted prior to 2015, in general, will be paid out in shares of stock following separation from service.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31445"/>
                <wp:effectExtent l="0" t="0" r="0" b="0"/>
                <wp:wrapNone/>
                <wp:docPr id="115" name="Frame1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table summarizes all DSU activity during 2025:</w:t>
      </w:r>
    </w:p>
    <w:tbl>
      <w:tblPr>
        <w:tblW w:w="8065" w:type="dxa"/>
        <w:jc w:val="left"/>
        <w:tblInd w:w="0" w:type="dxa"/>
        <w:tblLayout w:type="fixed"/>
        <w:tblCellMar>
          <w:top w:w="28" w:type="dxa"/>
          <w:left w:w="28" w:type="dxa"/>
          <w:bottom w:w="28" w:type="dxa"/>
          <w:right w:w="28" w:type="dxa"/>
        </w:tblCellMar>
      </w:tblPr>
      <w:tblGrid>
        <w:gridCol w:w="1261"/>
        <w:gridCol w:w="1107"/>
        <w:gridCol w:w="1111"/>
        <w:gridCol w:w="379"/>
        <w:gridCol w:w="379"/>
        <w:gridCol w:w="381"/>
        <w:gridCol w:w="109"/>
        <w:gridCol w:w="109"/>
        <w:gridCol w:w="109"/>
        <w:gridCol w:w="674"/>
        <w:gridCol w:w="1913"/>
        <w:gridCol w:w="533"/>
      </w:tblGrid>
      <w:tr>
        <w:trPr/>
        <w:tc>
          <w:tcPr>
            <w:tcW w:w="1261"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91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Shares</w:t>
            </w:r>
          </w:p>
          <w:p>
            <w:pPr>
              <w:pStyle w:val="TableContents"/>
              <w:bidi w:val="0"/>
              <w:spacing w:lineRule="auto" w:line="240"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Weighted-Average Grant-Date Fair Value</w:t>
            </w:r>
          </w:p>
        </w:tc>
      </w:tr>
      <w:tr>
        <w:trPr/>
        <w:tc>
          <w:tcPr>
            <w:tcW w:w="34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Nonvested balance as of December 31, 2024</w:t>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87.93 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Activity from January 1 to December 31, 2025:</w:t>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92.19 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20" w:type="dxa"/>
            <w:gridSpan w:val="3"/>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87.93 </w:t>
            </w:r>
          </w:p>
        </w:tc>
        <w:tc>
          <w:tcPr>
            <w:tcW w:w="5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Nonvested balance as of December 31, 2025</w:t>
            </w:r>
          </w:p>
        </w:tc>
        <w:tc>
          <w:tcPr>
            <w:tcW w:w="75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3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7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92.19 </w:t>
            </w:r>
          </w:p>
        </w:tc>
        <w:tc>
          <w:tcPr>
            <w:tcW w:w="53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weighted-average grant-date fair value estimate per share for DSUs granted was $92.19 in 2025, $87.93 in 2024 and $62.43 in 2023.</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Other Share-Based Compensation</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We have a deferred compensation plan that allows participants to defer a portion of their compensation into stock units. Units will be redeemed by employees for an equal number of shares of Brink’s stock. Employee deferred compensation accounts held 31,773 units at December 31, 2025, and 77,573 units at December 31, 2024.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have a stock accumulation plan for our non-employee directors that, prior to 2014, provided for awards of stock units. Additionally, some fees paid to our directors are in the form of stock and may be deferred for distribution to a later date. Directors’ deferred compensation accounts held 23,350 units at December 31, 2025, and 21,818 units at December 31, 2024.</w:t>
      </w:r>
    </w:p>
    <w:p>
      <w:pPr>
        <w:pStyle w:val="TextBody"/>
        <w:bidi w:val="0"/>
        <w:spacing w:before="0" w:after="0"/>
        <w:jc w:val="right"/>
        <w:rPr/>
      </w:pPr>
      <w:r>
        <w:rPr/>
      </w:r>
    </w:p>
    <w:p>
      <w:pPr>
        <w:pStyle w:val="TextBody"/>
        <w:bidi w:val="0"/>
        <w:spacing w:before="0" w:after="0"/>
        <w:jc w:val="righ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31445"/>
                <wp:effectExtent l="0" t="0" r="0" b="0"/>
                <wp:wrapNone/>
                <wp:docPr id="116" name="Frame1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i/>
          <w:color w:val="000000"/>
          <w:sz w:val="22"/>
        </w:rPr>
        <w:t>Note 18 - Capital Stock</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Common Stock</w:t>
      </w:r>
    </w:p>
    <w:p>
      <w:pPr>
        <w:pStyle w:val="TextBody"/>
        <w:bidi w:val="0"/>
        <w:spacing w:lineRule="auto" w:line="288" w:before="0" w:after="0"/>
        <w:jc w:val="left"/>
        <w:rPr/>
      </w:pPr>
      <w:r>
        <w:rPr>
          <w:rFonts w:ascii="Times New Roman;serif" w:hAnsi="Times New Roman;serif"/>
          <w:b w:val="false"/>
          <w:color w:val="000000"/>
          <w:sz w:val="18"/>
        </w:rPr>
        <w:t>At December 31, 2025, we had 100 million shares of common stock authorized and 41.1 million shares issued and outstanding.</w:t>
      </w:r>
      <w:r>
        <w:rPr>
          <w:color w:val="000000"/>
        </w:rPr>
        <w:t>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 xml:space="preserve">Dividends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paid regular quarterly dividends on our common stock during the last three years. On September 17, 2025, the Board declared a regular quarterly dividend of 25.50 cents per share payable on December 1, 2025 to shareholders of record on November 3, 2025. The payment of future dividends is at the discretion of the Board and is dependent on our future earnings, financial condition, shareholder equity levels, cash flow, business requirements and other factors.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 xml:space="preserve">Preferred Stock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At December 31, 2025, we had the authority to issue up to 2.0 million shares of preferred stock with a par value of $10 per share.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 xml:space="preserve">Share Repurchase Program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 December 2025, our Board authorized a $750 million share repurchase program that expires on December 31, 2027 (the “2025 Repurchase Program”).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Under the 2025 Repurchase Program, we are not obligated to repurchase any specific dollar amount or number of shares. The timing and volume of share repurchases may be executed at the discretion of management on an opportunistic basis, or pursuant to trading plans or other arrangements. Share repurchases under this program may be made in the open market, in privately negotiated transactions, or otherwise.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 November 2023, our Board authorized a $500 million share repurchase program (the “2023 Repurchase Program”). Under the 2023 Repurchase Program, in 2025, we repurchased a total of 2,210,616 shares of our common stock for an aggregate of $209.4 million and an average price of $94.74 per share. In 2024, we repurchased a total of 2,108,544 shares of our common stock for an aggregate of $203.6 million and an average price of $96.54 per share. These shares were retired upon repurchase. The 2023 Repurchase Program expired on December 31, 2025, with approximately $87 million remaining available.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 October 2021, we announced that our Board authorized a $250 million share repurchase program (the "2021 Repurchase Program"). Under the 2021 Repurchase Program, in 2023, we repurchased a total of 2,297,955 shares of our common stock for an aggregate of $169.9 million and an average price of $73.92 per share. These shares were retired upon repurchase. The 2021 Repurchase Program expired on December 31, 2023 with approximately $28 million remaining available.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Shares Used to Calculate Earnings per Share</w:t>
      </w:r>
    </w:p>
    <w:tbl>
      <w:tblPr>
        <w:tblW w:w="6173" w:type="dxa"/>
        <w:jc w:val="left"/>
        <w:tblInd w:w="0" w:type="dxa"/>
        <w:tblLayout w:type="fixed"/>
        <w:tblCellMar>
          <w:top w:w="28" w:type="dxa"/>
          <w:left w:w="28" w:type="dxa"/>
          <w:bottom w:w="28" w:type="dxa"/>
          <w:right w:w="28" w:type="dxa"/>
        </w:tblCellMar>
      </w:tblPr>
      <w:tblGrid>
        <w:gridCol w:w="1237"/>
        <w:gridCol w:w="1086"/>
        <w:gridCol w:w="1096"/>
        <w:gridCol w:w="240"/>
        <w:gridCol w:w="241"/>
        <w:gridCol w:w="156"/>
        <w:gridCol w:w="136"/>
        <w:gridCol w:w="136"/>
        <w:gridCol w:w="136"/>
        <w:gridCol w:w="233"/>
        <w:gridCol w:w="233"/>
        <w:gridCol w:w="156"/>
        <w:gridCol w:w="136"/>
        <w:gridCol w:w="136"/>
        <w:gridCol w:w="136"/>
        <w:gridCol w:w="233"/>
        <w:gridCol w:w="233"/>
        <w:gridCol w:w="213"/>
      </w:tblGrid>
      <w:tr>
        <w:trPr/>
        <w:tc>
          <w:tcPr>
            <w:tcW w:w="1237"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7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Years Ended December 31,</w:t>
            </w:r>
          </w:p>
        </w:tc>
      </w:tr>
      <w:tr>
        <w:trPr/>
        <w:tc>
          <w:tcPr>
            <w:tcW w:w="34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6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4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2023</w:t>
            </w:r>
          </w:p>
        </w:tc>
      </w:tr>
      <w:tr>
        <w:trPr/>
        <w:tc>
          <w:tcPr>
            <w:tcW w:w="34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Weighted-average shares</w:t>
            </w:r>
          </w:p>
        </w:tc>
        <w:tc>
          <w:tcPr>
            <w:tcW w:w="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Basic</w:t>
            </w:r>
            <w:r>
              <w:rPr>
                <w:rFonts w:ascii="Times New Roman;serif" w:hAnsi="Times New Roman;serif"/>
                <w:b w:val="false"/>
                <w:color w:val="000000"/>
                <w:sz w:val="12"/>
              </w:rPr>
              <w:t>(a)</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42.2</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dilutive stock awards</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0.3</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Diluted</w:t>
            </w:r>
            <w:r>
              <w:rPr>
                <w:rFonts w:ascii="Times New Roman;serif" w:hAnsi="Times New Roman;serif"/>
                <w:b w:val="false"/>
                <w:color w:val="000000"/>
                <w:sz w:val="12"/>
              </w:rPr>
              <w:t>(a)</w:t>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42.5</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Antidilutive stock excluded from denominator </w:t>
            </w:r>
          </w:p>
        </w:tc>
        <w:tc>
          <w:tcPr>
            <w:tcW w:w="48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213"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 xml:space="preserve">(a)We have deferred compensation plans for directors and certain of our employees. Some amounts owed to participants are denominated in common stock units. Each unit represents one share of common stock. The number of shares used to calculate basic earnings per share includes the weighted-average common stock units credited to employees and directors under the deferred compensation plans. Additionally, nonvested units containing only a service requirement are also included in the computation of basic weighted-average shares when the requisite service period has been completed. Accordingly, basic and diluted shares include weighted-average units of 0.2 million in 2025, 0.2 million in 2024 and 0.3 million in 2023. </w:t>
      </w:r>
    </w:p>
    <w:p>
      <w:pPr>
        <w:pStyle w:val="TextBody"/>
        <w:bidi w:val="0"/>
        <w:spacing w:before="0" w:after="0"/>
        <w:jc w:val="left"/>
        <w:rPr/>
      </w:pPr>
      <w:r>
        <w:rPr/>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31445"/>
                <wp:effectExtent l="0" t="0" r="0" b="0"/>
                <wp:wrapNone/>
                <wp:docPr id="117" name="Frame1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 xml:space="preserve">Note 19 - Supplemental Cash Flow Information </w:t>
      </w:r>
    </w:p>
    <w:p>
      <w:pPr>
        <w:pStyle w:val="TextBody"/>
        <w:bidi w:val="0"/>
        <w:spacing w:before="0" w:after="0"/>
        <w:jc w:val="left"/>
        <w:rPr/>
      </w:pPr>
      <w:r>
        <w:rPr/>
      </w:r>
    </w:p>
    <w:tbl>
      <w:tblPr>
        <w:tblW w:w="4360" w:type="dxa"/>
        <w:jc w:val="left"/>
        <w:tblInd w:w="0" w:type="dxa"/>
        <w:tblLayout w:type="fixed"/>
        <w:tblCellMar>
          <w:top w:w="28" w:type="dxa"/>
          <w:left w:w="28" w:type="dxa"/>
          <w:bottom w:w="28" w:type="dxa"/>
          <w:right w:w="28" w:type="dxa"/>
        </w:tblCellMar>
      </w:tblPr>
      <w:tblGrid>
        <w:gridCol w:w="488"/>
        <w:gridCol w:w="429"/>
        <w:gridCol w:w="432"/>
        <w:gridCol w:w="196"/>
        <w:gridCol w:w="571"/>
        <w:gridCol w:w="109"/>
        <w:gridCol w:w="109"/>
        <w:gridCol w:w="109"/>
        <w:gridCol w:w="109"/>
        <w:gridCol w:w="278"/>
        <w:gridCol w:w="278"/>
        <w:gridCol w:w="156"/>
        <w:gridCol w:w="109"/>
        <w:gridCol w:w="109"/>
        <w:gridCol w:w="109"/>
        <w:gridCol w:w="278"/>
        <w:gridCol w:w="278"/>
        <w:gridCol w:w="213"/>
      </w:tblGrid>
      <w:tr>
        <w:trPr/>
        <w:tc>
          <w:tcPr>
            <w:tcW w:w="48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01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Years Ended December 31,</w:t>
            </w:r>
          </w:p>
        </w:tc>
      </w:tr>
      <w:tr>
        <w:trPr/>
        <w:tc>
          <w:tcPr>
            <w:tcW w:w="1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c>
          <w:tcPr>
            <w:tcW w:w="8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2023</w:t>
            </w:r>
          </w:p>
        </w:tc>
      </w:tr>
      <w:tr>
        <w:trPr/>
        <w:tc>
          <w:tcPr>
            <w:tcW w:w="13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w:t>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239.6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net</w:t>
            </w:r>
          </w:p>
        </w:tc>
        <w:tc>
          <w:tcPr>
            <w:tcW w:w="76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135.7</w:t>
            </w: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122.1 </w:t>
            </w:r>
          </w:p>
        </w:tc>
        <w:tc>
          <w:tcPr>
            <w:tcW w:w="1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96.3 </w:t>
            </w:r>
          </w:p>
        </w:tc>
        <w:tc>
          <w:tcPr>
            <w:tcW w:w="213"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Argentina Marketable Securities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 the last three years, we have used available Argentine pesos to purchase equity and available-for-sale debt securities. Cash outflows for the purchase of these financial instruments totaled $67.9 million in 2025, $29.7 million in 2024, and $131.1 million in 2023. Cash inflows for the sale of these financial instruments totaled $73.9 million in 2025, $14.6 million in 2024, and $145.6 million in 2023. At the time of any future sale of these financial instruments, proceeds received will be solely in Argentine pesos. These cash flows are reported in investing activities.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Non-cash Investing and Financing Activities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We acquired armored vehicles, DRS devices and other equipment under financing lease arrangements in the last three years including $76.2 million in 2025, $75.1 million in 2024 and $92.0 million in 2023.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Loans Held for Investment</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 France, as part of an ATM managed services contract for a large customer, we purchase the ATMs at the beginning of the contract. However, since these ATMs are specifically for the benefit of the customer and transfer back to the customer at the end of the contract, this is recorded as a financing transaction. As a result, the loan to the customer, net of payments received, is treated as investing cash flows.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 xml:space="preserve">Cash Paid for Acquisitions Included in Financing Activities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 2025 we did not have any payments related to acquisitions recorded in financing activities. In 2024 we paid $0.8 million in settlements related to acquired business operations in the Europe segment. In 2023 we paid $10.3 million in settlements related to the NoteMachine acquisition and $0.8 million related to the Touchpoint 21 acquisition.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Restricted Cash (Cash Supply Chain Services)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In France, we offer services to certain of our customers where we manage some or all of their cash supply chains. Providing this service requires our French subsidiary to take temporary title to the cash received from the management of our customers' cash supply chains until the cash is returned to the customers. The cash for which we have temporary title is restricted and cannot be used for any other purpose other than to service our customers who participate in this service offering. The corresponding deposit liability is included in Accrued Liabilities on the consolidated balance sheets and these amounts are included in the change in restricted cash held for customers in the consolidated statements of cash flows.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In Malaysia, we offer ATM replenishment services to certain of our financial institution customers. Providing this service requires our Malaysia subsidiary to take temporary title to the cash received in advance of ATM replenishment. The cash for which we have temporary title is restricted and cannot be used for any other purpose other than to service our customers who participate in this service offering.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In accordance with our revolving credit facilities, we are required to maintain restricted cash reserves totaling $45.7 million ($44.0 million at December 31, 2024) and, due to this contractual restriction, we have classified these amounts as restricted cash.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At December 31, 2025, we held $541.0 million of restricted cash ($294.2 million represented restricted cash held for customers and $199.3 million represented accrued liabilities). At December 31, 2024, we held $445.1 million of restricted cash ($232.7 million represented restricted cash held for customers and $166.5 million represented accrued liabilities).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Lessor Debt Financing</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 certain leasing transactions, we acquire assets through capital expenditures that are then sold to lessors in which the cash received is classified as borrowings from financing activities rather than proceeds from investing activities. Cash inflows related to these transactions totaled $43.2 million in 2025 compared to $46.6 million in 2024 and $7.5 million in 2023 and are included in Other long-term debt borrowings within financing activities in the consolidated statements of cash flows.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table provides a reconciliation of cash, cash equivalents, and restricted cash reported within the consolidated balance sheets that sum to the total of the same such amounts shown in the consolidated statements of cash flows.</w:t>
      </w:r>
    </w:p>
    <w:tbl>
      <w:tblPr>
        <w:tblW w:w="9426" w:type="dxa"/>
        <w:jc w:val="center"/>
        <w:tblInd w:w="0" w:type="dxa"/>
        <w:tblLayout w:type="fixed"/>
        <w:tblCellMar>
          <w:top w:w="28" w:type="dxa"/>
          <w:left w:w="28" w:type="dxa"/>
          <w:bottom w:w="28" w:type="dxa"/>
          <w:right w:w="28" w:type="dxa"/>
        </w:tblCellMar>
      </w:tblPr>
      <w:tblGrid>
        <w:gridCol w:w="2603"/>
        <w:gridCol w:w="2294"/>
        <w:gridCol w:w="2302"/>
        <w:gridCol w:w="196"/>
        <w:gridCol w:w="691"/>
        <w:gridCol w:w="109"/>
        <w:gridCol w:w="109"/>
        <w:gridCol w:w="109"/>
        <w:gridCol w:w="109"/>
        <w:gridCol w:w="345"/>
        <w:gridCol w:w="346"/>
        <w:gridCol w:w="213"/>
      </w:tblGrid>
      <w:tr>
        <w:trPr/>
        <w:tc>
          <w:tcPr>
            <w:tcW w:w="2603" w:type="dxa"/>
            <w:tcBorders/>
            <w:vAlign w:val="center"/>
          </w:tcPr>
          <w:p>
            <w:pPr>
              <w:pStyle w:val="TableContents"/>
              <w:bidi w:val="0"/>
              <w:spacing w:before="0" w:after="283"/>
              <w:jc w:val="left"/>
              <w:rPr>
                <w:sz w:val="4"/>
                <w:szCs w:val="4"/>
              </w:rPr>
            </w:pPr>
            <w:r>
              <w:rPr>
                <w:sz w:val="4"/>
                <w:szCs w:val="4"/>
              </w:rPr>
            </w:r>
          </w:p>
        </w:tc>
        <w:tc>
          <w:tcPr>
            <w:tcW w:w="2294" w:type="dxa"/>
            <w:tcBorders/>
            <w:vAlign w:val="center"/>
          </w:tcPr>
          <w:p>
            <w:pPr>
              <w:pStyle w:val="TableContents"/>
              <w:bidi w:val="0"/>
              <w:spacing w:before="0" w:after="283"/>
              <w:jc w:val="left"/>
              <w:rPr>
                <w:sz w:val="4"/>
                <w:szCs w:val="4"/>
              </w:rPr>
            </w:pPr>
            <w:r>
              <w:rPr>
                <w:sz w:val="4"/>
                <w:szCs w:val="4"/>
              </w:rPr>
            </w:r>
          </w:p>
        </w:tc>
        <w:tc>
          <w:tcPr>
            <w:tcW w:w="230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719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2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w:t>
            </w:r>
          </w:p>
        </w:tc>
      </w:tr>
      <w:tr>
        <w:trPr/>
        <w:tc>
          <w:tcPr>
            <w:tcW w:w="7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r>
      <w:tr>
        <w:trPr/>
        <w:tc>
          <w:tcPr>
            <w:tcW w:w="71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1,395.3 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cash equivalents, and restricted cash shown in the consolidated statements of cash flows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1,840.4 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31445"/>
                <wp:effectExtent l="0" t="0" r="0" b="0"/>
                <wp:wrapNone/>
                <wp:docPr id="118" name="Frame11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 xml:space="preserve">Note 20 - Other Operating Income (Expense) </w:t>
      </w:r>
    </w:p>
    <w:p>
      <w:pPr>
        <w:pStyle w:val="TextBody"/>
        <w:bidi w:val="0"/>
        <w:spacing w:lineRule="auto" w:line="288" w:before="0" w:after="0"/>
        <w:jc w:val="left"/>
        <w:rPr>
          <w:color w:val="000000"/>
        </w:rPr>
      </w:pPr>
      <w:r>
        <w:rPr>
          <w:color w:val="000000"/>
        </w:rPr>
        <w:t> </w:t>
      </w:r>
    </w:p>
    <w:tbl>
      <w:tblPr>
        <w:tblW w:w="6578" w:type="dxa"/>
        <w:jc w:val="left"/>
        <w:tblInd w:w="0" w:type="dxa"/>
        <w:tblLayout w:type="fixed"/>
        <w:tblCellMar>
          <w:top w:w="28" w:type="dxa"/>
          <w:left w:w="28" w:type="dxa"/>
          <w:bottom w:w="28" w:type="dxa"/>
          <w:right w:w="28" w:type="dxa"/>
        </w:tblCellMar>
      </w:tblPr>
      <w:tblGrid>
        <w:gridCol w:w="1336"/>
        <w:gridCol w:w="1176"/>
        <w:gridCol w:w="1177"/>
        <w:gridCol w:w="196"/>
        <w:gridCol w:w="481"/>
        <w:gridCol w:w="109"/>
        <w:gridCol w:w="109"/>
        <w:gridCol w:w="109"/>
        <w:gridCol w:w="109"/>
        <w:gridCol w:w="269"/>
        <w:gridCol w:w="271"/>
        <w:gridCol w:w="156"/>
        <w:gridCol w:w="109"/>
        <w:gridCol w:w="109"/>
        <w:gridCol w:w="109"/>
        <w:gridCol w:w="269"/>
        <w:gridCol w:w="271"/>
        <w:gridCol w:w="213"/>
      </w:tblGrid>
      <w:tr>
        <w:trPr/>
        <w:tc>
          <w:tcPr>
            <w:tcW w:w="1336"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88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Years Ended December 31,</w:t>
            </w:r>
          </w:p>
        </w:tc>
      </w:tr>
      <w:tr>
        <w:trPr/>
        <w:tc>
          <w:tcPr>
            <w:tcW w:w="36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2023</w:t>
            </w:r>
          </w:p>
        </w:tc>
      </w:tr>
      <w:tr>
        <w:trPr/>
        <w:tc>
          <w:tcPr>
            <w:tcW w:w="36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items:</w:t>
            </w:r>
          </w:p>
        </w:tc>
        <w:tc>
          <w:tcPr>
            <w:tcW w:w="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Transaction gains (losses)</w:t>
            </w:r>
            <w:r>
              <w:rPr>
                <w:rFonts w:ascii="Times New Roman;serif" w:hAnsi="Times New Roman;serif"/>
                <w:b w:val="false"/>
                <w:color w:val="000000"/>
                <w:sz w:val="12"/>
              </w:rPr>
              <w:t>(a)</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instrument gains (losses)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Royalty income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losses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 in earnings of equity method affiliates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Gains (losses) on sale of property and other assets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Indemnification asset adjustments</w:t>
            </w:r>
            <w:r>
              <w:rPr>
                <w:rFonts w:ascii="Times New Roman;serif" w:hAnsi="Times New Roman;serif"/>
                <w:b w:val="false"/>
                <w:color w:val="000000"/>
                <w:sz w:val="12"/>
              </w:rPr>
              <w:t>(b)</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Contingent consideration liability adjustments</w:t>
            </w:r>
            <w:r>
              <w:rPr>
                <w:rFonts w:ascii="Times New Roman;serif" w:hAnsi="Times New Roman;serif"/>
                <w:b w:val="false"/>
                <w:color w:val="000000"/>
                <w:sz w:val="12"/>
              </w:rPr>
              <w:t>(c)</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income (expense)</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5.5</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w:t>
            </w:r>
          </w:p>
        </w:tc>
        <w:tc>
          <w:tcPr>
            <w:tcW w:w="2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14"/>
        </w:rPr>
      </w:pPr>
      <w:r>
        <w:rPr>
          <w:rFonts w:ascii="Times New Roman;serif" w:hAnsi="Times New Roman;serif"/>
          <w:b w:val="false"/>
          <w:color w:val="000000"/>
          <w:sz w:val="14"/>
        </w:rPr>
        <w:t>(a)Includes remeasurement losses in Argentina of $17.0 million in 2025, $18.4 million in 2024 and $79.1 million in 2023 related to highly inflationary accounting.</w:t>
      </w:r>
    </w:p>
    <w:p>
      <w:pPr>
        <w:pStyle w:val="TextBody"/>
        <w:bidi w:val="0"/>
        <w:spacing w:lineRule="auto" w:line="288" w:before="0" w:after="0"/>
        <w:ind w:left="0" w:right="0" w:hanging="360"/>
        <w:jc w:val="both"/>
        <w:rPr>
          <w:rFonts w:ascii="Times New Roman;serif" w:hAnsi="Times New Roman;serif"/>
          <w:b w:val="false"/>
          <w:color w:val="000000"/>
          <w:sz w:val="14"/>
        </w:rPr>
      </w:pPr>
      <w:r>
        <w:rPr>
          <w:rFonts w:ascii="Times New Roman;serif" w:hAnsi="Times New Roman;serif"/>
          <w:b w:val="false"/>
          <w:color w:val="000000"/>
          <w:sz w:val="14"/>
        </w:rPr>
        <w:t>(b)Post-acquisition adjustments to indemnification assets recognized in previous business acquisitions.</w:t>
      </w:r>
    </w:p>
    <w:p>
      <w:pPr>
        <w:pStyle w:val="TextBody"/>
        <w:bidi w:val="0"/>
        <w:spacing w:lineRule="auto" w:line="288" w:before="0" w:after="0"/>
        <w:ind w:left="0" w:right="0" w:hanging="360"/>
        <w:jc w:val="both"/>
        <w:rPr>
          <w:rFonts w:ascii="Times New Roman;serif" w:hAnsi="Times New Roman;serif"/>
          <w:b w:val="false"/>
          <w:color w:val="000000"/>
          <w:sz w:val="14"/>
        </w:rPr>
      </w:pPr>
      <w:r>
        <w:rPr>
          <w:rFonts w:ascii="Times New Roman;serif" w:hAnsi="Times New Roman;serif"/>
          <w:b w:val="false"/>
          <w:color w:val="000000"/>
          <w:sz w:val="14"/>
        </w:rPr>
        <w:t>(c)In 2023, we derecognized contingent consideration liabilities, primarily related to the NoteMachine business acquisition.</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 xml:space="preserve">Note 21 - Interest and Other Nonoperating Income (Expense) </w:t>
      </w:r>
    </w:p>
    <w:p>
      <w:pPr>
        <w:pStyle w:val="TextBody"/>
        <w:bidi w:val="0"/>
        <w:spacing w:before="0" w:after="0"/>
        <w:jc w:val="left"/>
        <w:rPr/>
      </w:pPr>
      <w:r>
        <w:rPr/>
      </w:r>
    </w:p>
    <w:tbl>
      <w:tblPr>
        <w:tblW w:w="6429" w:type="dxa"/>
        <w:jc w:val="left"/>
        <w:tblInd w:w="0" w:type="dxa"/>
        <w:tblLayout w:type="fixed"/>
        <w:tblCellMar>
          <w:top w:w="28" w:type="dxa"/>
          <w:left w:w="28" w:type="dxa"/>
          <w:bottom w:w="28" w:type="dxa"/>
          <w:right w:w="28" w:type="dxa"/>
        </w:tblCellMar>
      </w:tblPr>
      <w:tblGrid>
        <w:gridCol w:w="1308"/>
        <w:gridCol w:w="1151"/>
        <w:gridCol w:w="1155"/>
        <w:gridCol w:w="196"/>
        <w:gridCol w:w="481"/>
        <w:gridCol w:w="109"/>
        <w:gridCol w:w="109"/>
        <w:gridCol w:w="109"/>
        <w:gridCol w:w="109"/>
        <w:gridCol w:w="233"/>
        <w:gridCol w:w="233"/>
        <w:gridCol w:w="156"/>
        <w:gridCol w:w="109"/>
        <w:gridCol w:w="109"/>
        <w:gridCol w:w="109"/>
        <w:gridCol w:w="269"/>
        <w:gridCol w:w="271"/>
        <w:gridCol w:w="213"/>
      </w:tblGrid>
      <w:tr>
        <w:trPr/>
        <w:tc>
          <w:tcPr>
            <w:tcW w:w="1308"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81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Years Ended December 31,</w:t>
            </w:r>
          </w:p>
        </w:tc>
      </w:tr>
      <w:tr>
        <w:trPr/>
        <w:tc>
          <w:tcPr>
            <w:tcW w:w="36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2023</w:t>
            </w:r>
          </w:p>
        </w:tc>
      </w:tr>
      <w:tr>
        <w:trPr/>
        <w:tc>
          <w:tcPr>
            <w:tcW w:w="36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Gain (loss) on equity and debt securities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Non-income taxes on intercompany billings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Argentina turnover tax</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Retirement benefit cost other than service cost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Foreign currency transaction gains (losses)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and other nonoperating income (expense)</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13.9</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48.7 </w:t>
            </w:r>
          </w:p>
        </w:tc>
        <w:tc>
          <w:tcPr>
            <w:tcW w:w="1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2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31445"/>
                <wp:effectExtent l="0" t="0" r="0" b="0"/>
                <wp:wrapNone/>
                <wp:docPr id="119" name="Frame11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 xml:space="preserve">Note 22 - Other Commitments and Contingencies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At the end of the fourth quarter of 2018, we became aware of an investigation initiated by the Chilean Fiscalía Nacional Económica (the Chilean antitrust agency) (“FNE”) related to potential anti-competitive practices among competitors in the cash logistics industry in Chile. In October 2021, the FNE filed a complaint before the Chilean antitrust court alleging that Brink’s Chile (as well as competitor companies) engaged in collusion in 2017 and 2018 and requested that the court approve a fine of $30.5 million. The Company filed its response to the complaint in November 2022, which signaled the beginning of the evidentiary phase. The Company intends to vigorously defend itself against the FNE's complaint. Based on available information to date, the Company recorded a charge of $9.5 million in the third quarter of 2021 in connection with this matter. After the third quarter of 2021, all adjustments to the contingent liability have resulted primarily from changes in currency rates.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 addition to the matter discussed above, we are involved in various other lawsuits and claims in the ordinary course of business. We are not able to estimate the loss or range of losses for some of these matters. We have recorded accruals for losses that are considered probable and reasonably estimable. Except as otherwise noted, we do not believe that it is reasonably possible the ultimate disposition of any of the legal matters currently pending against the Company could have a material adverse effect on our liquidity, financial position or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At December 31, 2025, we had noncancellable commitments for $29.5 million in equipment purchases, and information technology and other services.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31445"/>
                <wp:effectExtent l="0" t="0" r="0" b="0"/>
                <wp:wrapNone/>
                <wp:docPr id="120" name="Frame11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Note 23 - Subsequent Event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Acquisition of NCR Atleos Corporation ("NCR Atleos")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On February 26, 2026, the Company entered into a definitive agreement to acquire NCR Atleos, in a cash and stock transaction valued at approximately $6.6 billion, comprised of 11.5 million shares of Brink's common stock and $2.2 billion in cash, plus the assumption of approximately $2.6 billion of NCR Atleos' indebtedness. The transaction is expected to close in the first quarter of 2027, subject to regulatory approval and other customary closing conditions. The Company is currently evaluating the accounting impact of the transaction. Accordingly, the financial effects of the acquisition have not been reflected in the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31445"/>
                <wp:effectExtent l="0" t="0" r="0" b="0"/>
                <wp:wrapNone/>
                <wp:docPr id="121" name="Frame12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9. CHANGES IN AND DISAGREEMENTS WITH ACCOUNTANTS ON ACCOUNTING AND FINANCIAL DISCLOSURE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9A. CONTROLS AND PROCEDURES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(a) Evaluation of Disclosure Controls and Procedures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Our management, including our Chief Executive Officer ("CEO") and Executive Vice President and Chief Financial Officer ("CFO"), have conducted an evaluation of the effectiveness of the design and operation of our disclosure controls and procedures (as defined in Rule 13a-15(e) and 15d-15(e) under the Securities Exchange Act of 1934, as amended (the "Exchange Act")) as of the end of the period covered by this report. Based upon that evaluation, our CEO and CFO concluded that our disclosure controls and procedures are effective in ensuring that information required to be disclosed by us in the reports that we file or submit under the Securities Exchange Act of 1934, is recorded, processed, summarized and reported, within the time periods specified in the SEC’s rules and forms, and that such information is accumulated and communicated to our management, including our CEO and CFO, as appropriate, to allow timely decisions regarding required disclosure.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(b) Management's Annual Report on Internal Control over Financial Reporting</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 xml:space="preserve">Management of the Company is responsible for establishing and maintaining adequate internal control over financial reporting as defined in Rule 13a-15(f) and 15d-15(f) of the Exchange Act. </w:t>
      </w:r>
      <w:r>
        <w:rPr>
          <w:rFonts w:ascii="Times New Roman;serif" w:hAnsi="Times New Roman;serif"/>
          <w:b w:val="false"/>
          <w:color w:val="000000"/>
          <w:sz w:val="18"/>
          <w:shd w:fill="FFFFFF" w:val="clear"/>
        </w:rPr>
        <w:t>Our internal control over financial reporting is designed to provide reasonable assurance regarding the reliability of financial reporting and the preparation of consolidated financial statements for external purposes in accordance with generally accepted accounting principles. Our internal control over financial reporting includes those policies and procedures that (i) pertain to the maintenance of records that, in reasonable detail, accurately and fairly reflect transactions and dispositions of assets, (ii) provide reasonable assurance that transactions are recorded as necessary to permit preparation of consolidated financial statements in accordance with U.S. GAAP, (iii) provide reasonable assurance that receipts and expenditures are being made only in accordance with authorizations of management and directors of the Company, and (iv) provide reasonable assurance regarding prevention or timely detection of unauthorized acquisition, use or disposition of assets that could have a material effect on the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 xml:space="preserve">Management, with the participation of the CEO and CFO, and under the oversight of our Board, assessed the effectiveness of our internal control over financial reporting as of December 31, 2025 using the framework in </w:t>
      </w:r>
      <w:r>
        <w:rPr>
          <w:rFonts w:ascii="Times New Roman;serif" w:hAnsi="Times New Roman;serif"/>
          <w:b w:val="false"/>
          <w:i/>
          <w:color w:val="000000"/>
          <w:sz w:val="18"/>
        </w:rPr>
        <w:t>Internal Control – Integrated Framework (2013)</w:t>
      </w:r>
      <w:r>
        <w:rPr>
          <w:color w:val="000000"/>
        </w:rPr>
        <w:t xml:space="preserve"> </w:t>
      </w:r>
      <w:r>
        <w:rPr>
          <w:rFonts w:ascii="Times New Roman;serif" w:hAnsi="Times New Roman;serif"/>
          <w:b w:val="false"/>
          <w:color w:val="000000"/>
          <w:sz w:val="18"/>
        </w:rPr>
        <w:t xml:space="preserve">issued by the Committee of Sponsoring Organizations of the Treadway Commission.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Based on this assessment, management concluded that, as of December 31, 2025, the Company’s internal control over financial reporting was effective.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 xml:space="preserve">Our independent registered public accounting firm, KPMG LLP, who audited the consolidated financial statements included in this Annual Report on Form 10-K, issued an opinion on the effectiveness of internal control over financial reporting. KPMG’s report appears on page </w:t>
      </w:r>
      <w:hyperlink w:anchor="i62f52a34ae9f45d49f46c53c670ebaa2_8200">
        <w:r>
          <w:rPr>
            <w:rStyle w:val="InternetLink"/>
            <w:rFonts w:ascii="Times New Roman;serif" w:hAnsi="Times New Roman;serif"/>
            <w:b w:val="false"/>
            <w:strike w:val="false"/>
            <w:dstrike w:val="false"/>
            <w:color w:val="000000"/>
            <w:sz w:val="18"/>
            <w:u w:val="none"/>
            <w:effect w:val="none"/>
          </w:rPr>
          <w:t>121</w:t>
        </w:r>
      </w:hyperlink>
      <w:r>
        <w:rPr>
          <w:rFonts w:ascii="Times New Roman;serif" w:hAnsi="Times New Roman;serif"/>
          <w:b w:val="false"/>
          <w:color w:val="000000"/>
          <w:sz w:val="18"/>
        </w:rPr>
        <w:t xml:space="preserve"> of this Annual Report on Form 10-K.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(c) Changes in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There has been no change in our internal control over financial reporting during the quarter ended December 31, 2025, that has materially affected, or is reasonably likely to materially affect, our internal control over financial reporting.</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18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31445"/>
                <wp:effectExtent l="0" t="0" r="0" b="0"/>
                <wp:wrapNone/>
                <wp:docPr id="122" name="Frame12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bookmarkStart w:id="17" w:name="i62f52a34ae9f45d49f46c53c670ebaa2_8200"/>
      <w:bookmarkEnd w:id="17"/>
      <w:r>
        <w:rPr>
          <w:rFonts w:ascii="Times New Roman;serif" w:hAnsi="Times New Roman;serif"/>
          <w:b/>
          <w:color w:val="000000"/>
          <w:sz w:val="22"/>
        </w:rPr>
        <w:t xml:space="preserve">Report of Independent Registered Public Accounting Firm </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To the Shareholders and Board of Directors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Brink's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Opinion on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have audited The Brink's Company and subsidiaries' (the Company) internal control over financial reporting as of December 31, 2025, based on criteria established in Internal Control – Integrated Framework (2013) issued by the Committee of Sponsoring Organizations of the Treadway Commission. In our opinion, the Company maintained, in all material respects, effective internal control over financial reporting as of December 31, 2025, based on criteria established in Internal Control – Integrated Framework (2013) issued by the Committee of Sponsoring Organizations of the Treadway Commission.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also have audited, in accordance with the standards of the Public Company Accounting Oversight Board (United States) (PCAOB), the consolidated balance sheets of the Company as of December 31, 2025 and December 31, 2024, the related consolidated statements of operations, comprehensive income (loss), equity, and cash flows for each of the years in the three-year period ended December 31, 2025, and the related notes (collectively, the consolidated financial statements), and our report dated February 26, 2026 expressed an unqualified opinion on those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Basis for Opinion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Definition and Limitations of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18"/>
        </w:rPr>
        <w:t xml:space="preserve">/s/ </w:t>
      </w:r>
      <w:bookmarkStart w:id="18" w:name="i62f52a34ae9f45d49f46c53c670ebaa2_8201"/>
      <w:bookmarkEnd w:id="18"/>
      <w:r>
        <w:rPr>
          <w:rFonts w:ascii="Times New Roman;serif" w:hAnsi="Times New Roman;serif"/>
          <w:b w:val="false"/>
          <w:color w:val="000000"/>
          <w:sz w:val="18"/>
        </w:rPr>
        <w:t>KPMG LLP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Richmond, Virginia</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February 26, 2026</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31445"/>
                <wp:effectExtent l="0" t="0" r="0" b="0"/>
                <wp:wrapNone/>
                <wp:docPr id="123" name="Frame12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9B. OTHER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During the fiscal year ended December 31, 2025, one former officer adopted a Rule 10b5-1 trading arrangement. During the fiscal year ended December 31, 2025, no current directors or officers (as defined in Rule 16a-1(f) of the Exchange Act) adopted, modified, or terminated a Rule 10b5-1 trading arrangement or non-Rule 10b5-1 trading arrangement (as such terms are defined in Item 408 of Regulation S-K of the Securities Act).</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9C. DISCLOSURE REGARDING FOREIGN JURISDICTIONS THAT PREVENT INSPECTIONS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31445"/>
                <wp:effectExtent l="0" t="0" r="0" b="0"/>
                <wp:wrapNone/>
                <wp:docPr id="124" name="Frame12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121</w:t>
                      </w:r>
                    </w:p>
                  </w:txbxContent>
                </v:textbox>
                <w10:wrap type="none"/>
              </v:rect>
            </w:pict>
          </mc:Fallback>
        </mc:AlternateContent>
      </w:r>
    </w:p>
    <w:p>
      <w:pPr>
        <w:pStyle w:val="TextBody"/>
        <w:bidi w:val="0"/>
        <w:spacing w:before="0" w:after="0"/>
        <w:jc w:val="left"/>
        <w:rPr/>
      </w:pPr>
      <w:r>
        <w:rPr/>
      </w:r>
    </w:p>
    <w:tbl>
      <w:tblPr>
        <w:tblW w:w="1169" w:type="dxa"/>
        <w:jc w:val="left"/>
        <w:tblInd w:w="0" w:type="dxa"/>
        <w:tblLayout w:type="fixed"/>
        <w:tblCellMar>
          <w:top w:w="28" w:type="dxa"/>
          <w:left w:w="28" w:type="dxa"/>
          <w:bottom w:w="28" w:type="dxa"/>
          <w:right w:w="28" w:type="dxa"/>
        </w:tblCellMar>
      </w:tblPr>
      <w:tblGrid>
        <w:gridCol w:w="374"/>
        <w:gridCol w:w="328"/>
        <w:gridCol w:w="467"/>
      </w:tblGrid>
      <w:tr>
        <w:trPr/>
        <w:tc>
          <w:tcPr>
            <w:tcW w:w="37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r>
      <w:tr>
        <w:trPr/>
        <w:tc>
          <w:tcPr>
            <w:tcW w:w="1169"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PART III</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erif" w:hAnsi="Times New Roman;serif"/>
          <w:b/>
          <w:color w:val="000000"/>
          <w:sz w:val="22"/>
        </w:rPr>
      </w:pPr>
      <w:r>
        <w:rPr>
          <w:rFonts w:ascii="Times New Roman;serif" w:hAnsi="Times New Roman;serif"/>
          <w:b/>
          <w:color w:val="000000"/>
          <w:sz w:val="22"/>
        </w:rPr>
        <w:t>ITEM 10. DIRECTORS, EXECUTIVE OFFICERS AND CORPORATE GOVERNANCE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 xml:space="preserve">We have adopted a Code of Ethics that applies to all of the directors, officers and employees (including the Chief Executive Officer, Chief Financial Officer and Controller) and have posted the Code of Ethics on our website. We intend to satisfy the disclosure requirement under Item 5.05 of Form 8-K relating to amendments to or waivers from any provision of the Code of Ethics applicable to the Chief Executive Officer, Chief Financial Officer or Controller by posting this information on the website. The internet address is </w:t>
      </w:r>
      <w:r>
        <w:rPr>
          <w:rFonts w:ascii="Times New Roman;serif" w:hAnsi="Times New Roman;serif"/>
          <w:b w:val="false"/>
          <w:color w:val="000000"/>
          <w:sz w:val="18"/>
          <w:u w:val="single"/>
        </w:rPr>
        <w:t>www.brinks.com</w:t>
      </w:r>
      <w:r>
        <w:rPr>
          <w:rFonts w:ascii="Times New Roman;serif" w:hAnsi="Times New Roman;serif"/>
          <w:b w:val="false"/>
          <w:color w:val="000000"/>
          <w:sz w:val="18"/>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information regarding executive officers is included in this report following Item 4, under the caption “Information about Our Executives Officers.” Other information required by Item 10 is incorporated by reference to our definitive proxy statement expected to be filed pursuant to Regulation 14A within 120 days after December 31, 2025.</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We have adopted an Insider Trading Policy that governs the purchase, sale and/or other dispositions of our securities that applies to our directors, officers and employees, that we believe is reasonably designed to promote compliance with insider trading laws, rules and regulations and any applicable listing standards. In addition, with regard to the Company’s trading in its own securities, it is the Company’s policy to comply with the federal securities laws and the applicable exchange listing requirements.</w:t>
      </w:r>
      <w:r>
        <w:rPr>
          <w:color w:val="000000"/>
        </w:rPr>
        <w:t xml:space="preserve"> </w:t>
      </w:r>
      <w:r>
        <w:rPr>
          <w:rFonts w:ascii="Times New Roman;serif" w:hAnsi="Times New Roman;serif"/>
          <w:b w:val="false"/>
          <w:color w:val="000000"/>
          <w:sz w:val="18"/>
        </w:rPr>
        <w:t>A copy of our Insider Trading Policy is filed with this Annual Report on Form 10-K as Exhibit 19.</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11. EXECUTIVE COMPENSATION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information required by Item 11 is incorporated by reference to our definitive proxy statement expected to be filed pursuant to Regulation 14A within 120 days after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12. SECURITY OWNERSHIP OF CERTAIN BENEFICIAL OWNERS AND MANAGEMENT AND RELATED STOCKHOLDER MATTERS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information required by Item 12 is incorporated by reference to our definitive proxy statement expected to be filed pursuant to Regulation 14A within 120 days after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13. CERTAIN RELATIONSHIPS AND RELATED TRANSACTIONS, AND DIRECTOR INDEPENDENCE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information required by Item 13 is incorporated by reference to our definitive proxy statement expected to be filed pursuant to Regulation 14A within 120 days after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14. PRINCIPAL ACCOUNTANT FEES AND SERVICES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information required by Item 14 is incorporated by reference to our definitive proxy statement expected to be filed pursuant to Regulation 14A within 120 days after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31445"/>
                <wp:effectExtent l="0" t="0" r="0" b="0"/>
                <wp:wrapNone/>
                <wp:docPr id="125" name="Frame12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122</w:t>
                      </w:r>
                    </w:p>
                  </w:txbxContent>
                </v:textbox>
                <w10:wrap type="none"/>
              </v:rect>
            </w:pict>
          </mc:Fallback>
        </mc:AlternateContent>
      </w:r>
    </w:p>
    <w:p>
      <w:pPr>
        <w:pStyle w:val="TextBody"/>
        <w:bidi w:val="0"/>
        <w:spacing w:before="0" w:after="0"/>
        <w:jc w:val="left"/>
        <w:rPr/>
      </w:pPr>
      <w:r>
        <w:rPr/>
      </w:r>
    </w:p>
    <w:tbl>
      <w:tblPr>
        <w:tblW w:w="1169" w:type="dxa"/>
        <w:jc w:val="left"/>
        <w:tblInd w:w="0" w:type="dxa"/>
        <w:tblLayout w:type="fixed"/>
        <w:tblCellMar>
          <w:top w:w="28" w:type="dxa"/>
          <w:left w:w="28" w:type="dxa"/>
          <w:bottom w:w="28" w:type="dxa"/>
          <w:right w:w="28" w:type="dxa"/>
        </w:tblCellMar>
      </w:tblPr>
      <w:tblGrid>
        <w:gridCol w:w="374"/>
        <w:gridCol w:w="328"/>
        <w:gridCol w:w="467"/>
      </w:tblGrid>
      <w:tr>
        <w:trPr/>
        <w:tc>
          <w:tcPr>
            <w:tcW w:w="37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r>
      <w:tr>
        <w:trPr/>
        <w:tc>
          <w:tcPr>
            <w:tcW w:w="1169"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PART IV</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erif" w:hAnsi="Times New Roman;serif"/>
          <w:b/>
          <w:color w:val="000000"/>
          <w:sz w:val="22"/>
        </w:rPr>
      </w:pPr>
      <w:r>
        <w:rPr>
          <w:rFonts w:ascii="Times New Roman;serif" w:hAnsi="Times New Roman;serif"/>
          <w:b/>
          <w:color w:val="000000"/>
          <w:sz w:val="22"/>
        </w:rPr>
        <w:t>ITEM 15. EXHIBITS AND FINANCIAL STATEMENT SCHEDULES</w:t>
      </w:r>
    </w:p>
    <w:p>
      <w:pPr>
        <w:pStyle w:val="TextBody"/>
        <w:bidi w:val="0"/>
        <w:spacing w:before="0" w:after="0"/>
        <w:jc w:val="left"/>
        <w:rPr/>
      </w:pPr>
      <w:r>
        <w:rPr/>
      </w:r>
    </w:p>
    <w:tbl>
      <w:tblPr>
        <w:tblW w:w="410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04"/>
        <w:gridCol w:w="1004"/>
        <w:gridCol w:w="14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w:t>
            </w:r>
          </w:p>
        </w:tc>
        <w:tc>
          <w:tcPr>
            <w:tcW w:w="34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All financial statements – see pages </w:t>
            </w:r>
            <w:hyperlink w:anchor="i275bec4631da4b22a64426a3a4f02a78_151">
              <w:r>
                <w:rPr>
                  <w:rStyle w:val="InternetLink"/>
                  <w:rFonts w:ascii="Times New Roman;serif" w:hAnsi="Times New Roman;serif"/>
                  <w:b w:val="false"/>
                  <w:strike w:val="false"/>
                  <w:dstrike w:val="false"/>
                  <w:color w:val="000000"/>
                  <w:sz w:val="18"/>
                  <w:u w:val="none"/>
                  <w:effect w:val="none"/>
                </w:rPr>
                <w:t>59</w:t>
              </w:r>
            </w:hyperlink>
            <w:r>
              <w:rPr>
                <w:rFonts w:ascii="Times New Roman;serif" w:hAnsi="Times New Roman;serif"/>
                <w:b w:val="false"/>
                <w:color w:val="000000"/>
                <w:sz w:val="18"/>
              </w:rPr>
              <w:t>–</w:t>
            </w:r>
            <w:hyperlink w:anchor="i275bec4631da4b22a64426a3a4f02a78_247">
              <w:r>
                <w:rPr>
                  <w:rStyle w:val="InternetLink"/>
                  <w:rFonts w:ascii="Times New Roman;serif" w:hAnsi="Times New Roman;serif"/>
                  <w:b w:val="false"/>
                  <w:strike w:val="false"/>
                  <w:dstrike w:val="false"/>
                  <w:color w:val="000000"/>
                  <w:sz w:val="18"/>
                  <w:u w:val="none"/>
                  <w:effect w:val="none"/>
                </w:rPr>
                <w:t>117</w:t>
              </w:r>
            </w:hyperlink>
            <w:r>
              <w:rPr>
                <w:rFonts w:ascii="Times New Roman;serif" w:hAnsi="Times New Roman;serif"/>
                <w:b w:val="false"/>
                <w:color w:val="000000"/>
                <w:sz w:val="18"/>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w:t>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Financial statement schedules – not applicable.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w:t>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Exhibits – see exhibit index.</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16. FORM 10-K SUMMARY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31445"/>
                <wp:effectExtent l="0" t="0" r="0" b="0"/>
                <wp:wrapNone/>
                <wp:docPr id="126" name="Frame12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Exhibit Index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Each exhibit listed as a previously filed document is hereby incorporated by reference to such document.</w:t>
      </w:r>
    </w:p>
    <w:tbl>
      <w:tblPr>
        <w:tblW w:w="10205" w:type="dxa"/>
        <w:jc w:val="left"/>
        <w:tblInd w:w="0" w:type="dxa"/>
        <w:tblLayout w:type="fixed"/>
        <w:tblCellMar>
          <w:top w:w="28" w:type="dxa"/>
          <w:left w:w="28" w:type="dxa"/>
          <w:bottom w:w="28" w:type="dxa"/>
          <w:right w:w="28" w:type="dxa"/>
        </w:tblCellMar>
      </w:tblPr>
      <w:tblGrid>
        <w:gridCol w:w="277"/>
        <w:gridCol w:w="244"/>
        <w:gridCol w:w="245"/>
        <w:gridCol w:w="1502"/>
        <w:gridCol w:w="1458"/>
        <w:gridCol w:w="1458"/>
        <w:gridCol w:w="1458"/>
        <w:gridCol w:w="1458"/>
        <w:gridCol w:w="2105"/>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Exhibit</w:t>
              <w:br/>
              <w:t>Number</w:t>
            </w:r>
          </w:p>
        </w:tc>
        <w:tc>
          <w:tcPr>
            <w:tcW w:w="9439" w:type="dxa"/>
            <w:gridSpan w:val="6"/>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 xml:space="preserve">Description </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1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2.1†</w:t>
            </w:r>
          </w:p>
        </w:tc>
        <w:tc>
          <w:tcPr>
            <w:tcW w:w="943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18"/>
                  <w:u w:val="single"/>
                </w:rPr>
                <w:t xml:space="preserve">Share Purchase Agreement, dated as of February 26, 2020 between the Company and G4S. Exhibit 2.1 to Registrant's Current Report on Form 8-K filed on July 10, 2020. </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2.2†</w:t>
            </w:r>
          </w:p>
        </w:tc>
        <w:tc>
          <w:tcPr>
            <w:tcW w:w="943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18"/>
                  <w:u w:val="single"/>
                </w:rPr>
                <w:t xml:space="preserve">Second Share Purchase Agreement, dated as of February 26, 2020 between the Company and G4S. Exhibit 2.2 to Registrant's Current Report on Form 8-K filed on July 10, 2020. </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2.3†</w:t>
            </w:r>
          </w:p>
        </w:tc>
        <w:tc>
          <w:tcPr>
            <w:tcW w:w="943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18"/>
                  <w:u w:val="single"/>
                </w:rPr>
                <w:t>First Amendment dated as of March 30, 2020 to the Share Purchase Agreements dated as of February 26, 2020, between the Company and G4S. Exhibit 2.3 to the Registrant's Current Report on Form 8-K filed on July 10, 2020.</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2.4</w:t>
            </w:r>
          </w:p>
        </w:tc>
        <w:tc>
          <w:tcPr>
            <w:tcW w:w="943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80"/>
                  <w:sz w:val="18"/>
                  <w:u w:val="single"/>
                </w:rPr>
                <w:t>Agreement and Plan of Merger, dated February 26, 2026</w:t>
              </w:r>
            </w:hyperlink>
            <w:hyperlink r:id="rId7">
              <w:r>
                <w:rPr>
                  <w:rStyle w:val="InternetLink"/>
                  <w:rFonts w:ascii="Times New Roman;serif" w:hAnsi="Times New Roman;serif"/>
                  <w:b w:val="false"/>
                  <w:color w:val="000080"/>
                  <w:sz w:val="18"/>
                  <w:u w:val="single"/>
                </w:rPr>
                <w:t>, among The Brink's Company, NCR A</w:t>
              </w:r>
            </w:hyperlink>
            <w:hyperlink r:id="rId8">
              <w:r>
                <w:rPr>
                  <w:rStyle w:val="InternetLink"/>
                  <w:rFonts w:ascii="Times New Roman;serif" w:hAnsi="Times New Roman;serif"/>
                  <w:b w:val="false"/>
                  <w:color w:val="000080"/>
                  <w:sz w:val="18"/>
                  <w:u w:val="single"/>
                </w:rPr>
                <w:t>t</w:t>
              </w:r>
            </w:hyperlink>
            <w:hyperlink r:id="rId9">
              <w:r>
                <w:rPr>
                  <w:rStyle w:val="InternetLink"/>
                  <w:rFonts w:ascii="Times New Roman;serif" w:hAnsi="Times New Roman;serif"/>
                  <w:b w:val="false"/>
                  <w:color w:val="000080"/>
                  <w:sz w:val="18"/>
                  <w:u w:val="single"/>
                </w:rPr>
                <w:t>leos Corporation, Novus Merger Sub, Inc. and Novus Merger Sub II, LLC. Exhibit 2.1 to Registr</w:t>
              </w:r>
            </w:hyperlink>
            <w:hyperlink r:id="rId10">
              <w:r>
                <w:rPr>
                  <w:rStyle w:val="InternetLink"/>
                  <w:rFonts w:ascii="Times New Roman;serif" w:hAnsi="Times New Roman;serif"/>
                  <w:b w:val="false"/>
                  <w:color w:val="000080"/>
                  <w:sz w:val="18"/>
                  <w:u w:val="single"/>
                </w:rPr>
                <w:t>ant's Current Report on Form 8-K filed on February 26, 2026.</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w:t>
            </w:r>
          </w:p>
        </w:tc>
        <w:tc>
          <w:tcPr>
            <w:tcW w:w="943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18"/>
                  <w:u w:val="single"/>
                </w:rPr>
                <w:t>Second Amended and Restated Articles of Incorporation of the Registrant. Exhibit 3(i) to the Registrant's Quarterly Report on Form 10-Q for the quarter ended June 30, 2015.</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1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w:t>
            </w:r>
          </w:p>
        </w:tc>
        <w:tc>
          <w:tcPr>
            <w:tcW w:w="943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exhibit32.htm">
              <w:r>
                <w:rPr>
                  <w:rStyle w:val="InternetLink"/>
                  <w:rFonts w:ascii="Times New Roman;serif" w:hAnsi="Times New Roman;serif"/>
                  <w:b w:val="false"/>
                  <w:color w:val="000080"/>
                  <w:sz w:val="18"/>
                  <w:u w:val="single"/>
                </w:rPr>
                <w:t xml:space="preserve">Amended and Restated Bylaws of the Registrant, effective </w:t>
              </w:r>
            </w:hyperlink>
            <w:hyperlink w:anchor="exhibit32.htm">
              <w:r>
                <w:rPr>
                  <w:rStyle w:val="InternetLink"/>
                  <w:rFonts w:ascii="Times New Roman;serif" w:hAnsi="Times New Roman;serif"/>
                  <w:b w:val="false"/>
                  <w:color w:val="000080"/>
                  <w:sz w:val="18"/>
                  <w:u w:val="single"/>
                </w:rPr>
                <w:t>December 11, 202</w:t>
              </w:r>
            </w:hyperlink>
            <w:hyperlink w:anchor="exhibit32.htm">
              <w:r>
                <w:rPr>
                  <w:rStyle w:val="InternetLink"/>
                  <w:rFonts w:ascii="Times New Roman;serif" w:hAnsi="Times New Roman;serif"/>
                  <w:b w:val="false"/>
                  <w:color w:val="000080"/>
                  <w:sz w:val="18"/>
                  <w:u w:val="single"/>
                </w:rPr>
                <w:t>5</w:t>
              </w:r>
            </w:hyperlink>
            <w:hyperlink w:anchor="exhibit32.htm">
              <w:r>
                <w:rPr>
                  <w:rStyle w:val="InternetLink"/>
                  <w:rFonts w:ascii="Times New Roman;serif" w:hAnsi="Times New Roman;serif"/>
                  <w:b w:val="false"/>
                  <w:color w:val="000080"/>
                  <w:sz w:val="18"/>
                  <w:u w:val="single"/>
                </w:rPr>
                <w:t>.  </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4.1</w:t>
            </w:r>
          </w:p>
        </w:tc>
        <w:tc>
          <w:tcPr>
            <w:tcW w:w="943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18"/>
                  <w:u w:val="single"/>
                </w:rPr>
                <w:t>Description of Registrant's Securities Pursuant to Section 12 of the Securities Exchange Act of 1934, as amended. Exhibit 4.1 to the Registrant's Annual Report on Form 10-K for the year ended December 31, 2019.</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4.2</w:t>
            </w:r>
          </w:p>
        </w:tc>
        <w:tc>
          <w:tcPr>
            <w:tcW w:w="943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18"/>
                  <w:u w:val="single"/>
                </w:rPr>
                <w:t>Senior Notes Indenture dated as of October 20, 2017 among The Brink's Company, the Subsidiary Guarantors named therein, and U.S. Bank National Association, as trustee, relating to the Senior Notes due 2027. Exhibit 4.1 to the Registrant's Current Report on Form 8-K filed October 20, 2017.</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4.3</w:t>
            </w:r>
          </w:p>
        </w:tc>
        <w:tc>
          <w:tcPr>
            <w:tcW w:w="943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18"/>
                  <w:u w:val="single"/>
                </w:rPr>
                <w:t>Senior Notes Indenture dated as of June 22, 2020 among The Brink's Company, the Subsidiary Guarantors named therein, and the U.S. Bank National Association, as trustee, relating to the Senior Notes due 2025. Exhibit 4.1 to the Registrant's Current Report on Form 8-K filed on June 23, 2020.</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1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4.4</w:t>
            </w:r>
          </w:p>
        </w:tc>
        <w:tc>
          <w:tcPr>
            <w:tcW w:w="943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18"/>
                  <w:u w:val="single"/>
                </w:rPr>
                <w:t xml:space="preserve">Indenture dated as of June 12, 2024 among The Brink's Company, the Subsidiary Guarantors named therein, and Wilmington Trust, National Association, as trustee, relating to the Notes due 2029 and 2032. Exhibit 4.1 to the Registrant's Current Report on Form 8-K filed on June 12, 2024. </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w:t>
            </w:r>
          </w:p>
        </w:tc>
        <w:tc>
          <w:tcPr>
            <w:tcW w:w="943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18"/>
                  <w:u w:val="single"/>
                </w:rPr>
                <w:t>Brink's Incentive Plan, effective as of February 17, 2017. Exhibit 10.2 to the Registrant's Quarterly Report on Form 10-Q for the quarter ended March 31, 2017.</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10.2*</w:t>
            </w:r>
          </w:p>
        </w:tc>
        <w:tc>
          <w:tcPr>
            <w:tcW w:w="943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FF"/>
                  <w:sz w:val="18"/>
                  <w:u w:val="single"/>
                </w:rPr>
                <w:t>Brink's 2024 Equity Incentive Plan. Appendix C to the Registrant's Definitive Proxy Statement on Schedule 14A filed with the Commission on March 18, 2024 and approved by shareholders on May 2, 2024.</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10.3*</w:t>
            </w:r>
          </w:p>
        </w:tc>
        <w:tc>
          <w:tcPr>
            <w:tcW w:w="943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FF"/>
                  <w:sz w:val="18"/>
                  <w:u w:val="single"/>
                </w:rPr>
                <w:t>Amended and Restated Executive Salary Continuation Plan, effective as of December 31, 2020. Exhibit 10.4 to the Registrant's Annual Report on Form 10-K for the year ended December 31, 2020.</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1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943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FF"/>
                  <w:sz w:val="18"/>
                  <w:u w:val="single"/>
                </w:rPr>
                <w:t>2017 Equity Incentive Plan, effective as of May 5, 2017 and amended and restated effective May 2, 2019. Exhibit 10.2 to the Registrant's Quarterly Report on Form 10-Q for the quarter ended June 30, 2019.</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10.5*</w:t>
            </w:r>
          </w:p>
        </w:tc>
        <w:tc>
          <w:tcPr>
            <w:tcW w:w="943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00FF"/>
                  <w:sz w:val="18"/>
                  <w:u w:val="single"/>
                </w:rPr>
                <w:t>Form of 2017 Award Agreement for deferred stock units granted under the 2017 Equity Incentive Plan. Exhibit 10.3 to the Registrant's Quarterly Report on Form 10-Q for the quarter ended June 30, 2017.</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1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10.6*</w:t>
            </w:r>
          </w:p>
        </w:tc>
        <w:tc>
          <w:tcPr>
            <w:tcW w:w="943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erif" w:hAnsi="Times New Roman;serif"/>
                  <w:b w:val="false"/>
                  <w:color w:val="0000FF"/>
                  <w:sz w:val="18"/>
                  <w:u w:val="single"/>
                </w:rPr>
                <w:t>Form of Stock Option Award Agreement, effective February 22, 2018. Exhibit 10.6 to the Registrant's Current Report on Form 8-K filed February 26, 2018.</w:t>
              </w:r>
            </w:hyperlink>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31445"/>
                <wp:effectExtent l="0" t="0" r="0" b="0"/>
                <wp:wrapNone/>
                <wp:docPr id="127" name="Frame12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124</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38"/>
        <w:gridCol w:w="208"/>
        <w:gridCol w:w="215"/>
        <w:gridCol w:w="1509"/>
        <w:gridCol w:w="1475"/>
        <w:gridCol w:w="1475"/>
        <w:gridCol w:w="1475"/>
        <w:gridCol w:w="1475"/>
        <w:gridCol w:w="2135"/>
      </w:tblGrid>
      <w:tr>
        <w:trPr/>
        <w:tc>
          <w:tcPr>
            <w:tcW w:w="2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10.7*</w:t>
            </w:r>
          </w:p>
        </w:tc>
        <w:tc>
          <w:tcPr>
            <w:tcW w:w="954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erif" w:hAnsi="Times New Roman;serif"/>
                  <w:b w:val="false"/>
                  <w:color w:val="0000FF"/>
                  <w:sz w:val="18"/>
                  <w:u w:val="single"/>
                </w:rPr>
                <w:t>Amended and Restated Non-Employee Directors’ Equity Plan, as of July 12, 2012.  Exhibit 10.9 to the Registrant’s Quarterly Report on Form 10-Q for the quarter ended June 30, 2012.</w:t>
              </w:r>
            </w:hyperlink>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10.8*</w:t>
            </w:r>
          </w:p>
        </w:tc>
        <w:tc>
          <w:tcPr>
            <w:tcW w:w="954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erif" w:hAnsi="Times New Roman;serif"/>
                  <w:b w:val="false"/>
                  <w:color w:val="0000FF"/>
                  <w:sz w:val="18"/>
                  <w:u w:val="single"/>
                </w:rPr>
                <w:t>Form of Award Agreement for deferred stock units granted in 2009, 2010, 2011, 2012, 2013 and 2014 under the Non-Employee Directors’ Equity Plan.  Exhibit 10.5 to the Registrant’s Quarterly Report on Form 10-Q for the quarter ended June 30, 2009.</w:t>
              </w:r>
            </w:hyperlink>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10.9*</w:t>
            </w:r>
          </w:p>
        </w:tc>
        <w:tc>
          <w:tcPr>
            <w:tcW w:w="954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erif" w:hAnsi="Times New Roman;serif"/>
                  <w:b w:val="false"/>
                  <w:color w:val="0000FF"/>
                  <w:sz w:val="18"/>
                  <w:u w:val="single"/>
                </w:rPr>
                <w:t>Form of Award Agreement for deferred stock units granted in 2014 and 2015 to be distributed upon vesting under the Non-Employee Directors’ Equity Plan.  Exhibit 10.2 to the Registrant’s Quarterly Report on Form 10-Q for the quarter ended June 30, 2014.</w:t>
              </w:r>
            </w:hyperlink>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10.10</w:t>
            </w:r>
          </w:p>
        </w:tc>
        <w:tc>
          <w:tcPr>
            <w:tcW w:w="954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erif" w:hAnsi="Times New Roman;serif"/>
                  <w:b w:val="false"/>
                  <w:color w:val="0000FF"/>
                  <w:sz w:val="18"/>
                  <w:u w:val="single"/>
                </w:rPr>
                <w:t>Amendment and Restatement of The Brink’s Company Employee Welfare Benefit Trust.  Exhibit 10.1 to the Registrant’s Quarterly Report on Form 10-Q for the quarter ended September 30, 2013.</w:t>
              </w:r>
            </w:hyperlink>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10.11</w:t>
            </w:r>
          </w:p>
        </w:tc>
        <w:tc>
          <w:tcPr>
            <w:tcW w:w="954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erif" w:hAnsi="Times New Roman;serif"/>
                  <w:b w:val="false"/>
                  <w:color w:val="0000FF"/>
                  <w:sz w:val="18"/>
                  <w:u w:val="single"/>
                </w:rPr>
                <w:t>$1,500,000,000 Senior Secured Credit Facility, dated as of October 17, 2017, among The Brink’s Company, as Parent Borrower and a Guarantor, the subsidiary borrowers referred to therein, as Subsidiary Borrowers, certain of Parent Borrower’s subsidiaries, as Guarantors, Wells Fargo Bank, National Association, as Administrative Agent, an Issuing Lender and Swingline Lender, and various other Lenders named therein. Exhibit 10.1 to the Registrant's Current Report on Form 8-K filed on October 20, 2017.</w:t>
              </w:r>
            </w:hyperlink>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10.11.1</w:t>
            </w:r>
          </w:p>
        </w:tc>
        <w:tc>
          <w:tcPr>
            <w:tcW w:w="954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erif" w:hAnsi="Times New Roman;serif"/>
                  <w:b w:val="false"/>
                  <w:color w:val="0000FF"/>
                  <w:sz w:val="18"/>
                  <w:u w:val="single"/>
                </w:rPr>
                <w:t>First Amendment to Loan Documents, dated as of February 8, 2019, with Wells Fargo Bank, National Association, as existing administrative agent, Bank of America, N.A., as successor administrative agent, and the lenders party thereto. Exhibit 10.1 to the Registrant's Current Report on Form 8-K filed on February 14, 2019.</w:t>
              </w:r>
            </w:hyperlink>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10.11.2</w:t>
            </w:r>
          </w:p>
        </w:tc>
        <w:tc>
          <w:tcPr>
            <w:tcW w:w="954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erif" w:hAnsi="Times New Roman;serif"/>
                  <w:b w:val="false"/>
                  <w:color w:val="0000FF"/>
                  <w:sz w:val="18"/>
                  <w:u w:val="single"/>
                </w:rPr>
                <w:t>Incremental Amendment to Credit Agreement, dated as of April 1, 2020, by and among the Company, the subsidiaries of the Company party thereto, Bank of America, National Association, as administrative agent, and the lenders party thereto. Exhibit 10.1 to the Registrant's Current Report on Form 8-K filed on April 2, 2020.</w:t>
              </w:r>
            </w:hyperlink>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10.11.3</w:t>
            </w:r>
          </w:p>
        </w:tc>
        <w:tc>
          <w:tcPr>
            <w:tcW w:w="954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erif" w:hAnsi="Times New Roman;serif"/>
                  <w:b w:val="false"/>
                  <w:color w:val="0000FF"/>
                  <w:sz w:val="18"/>
                  <w:u w:val="single"/>
                </w:rPr>
                <w:t xml:space="preserve">Third Amendment to Credit Agreement, dated as of June 9, 2020, by and among the Company, the subsidiaries of the Company party thereto, with Bank of America, N.A. as administrative agent and the lenders party there. Exhibit 10.1 to the Registrant's Current Report on Form 8-K filed on June 12, 2020. </w:t>
              </w:r>
            </w:hyperlink>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10.11.4</w:t>
            </w:r>
          </w:p>
        </w:tc>
        <w:tc>
          <w:tcPr>
            <w:tcW w:w="954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erif" w:hAnsi="Times New Roman;serif"/>
                  <w:b w:val="false"/>
                  <w:color w:val="0000FF"/>
                  <w:sz w:val="18"/>
                  <w:u w:val="single"/>
                </w:rPr>
                <w:t>Fourth Amendment to Credit Agreement (LIBOR Transition), dated as of December 27, 2021, by and among the Company and Bank of America, N.A. as administrative agent. Exhibit 10.16 to the Registrant’s Annual Report on Form 10-K for the year ended December 31, 2022.</w:t>
              </w:r>
            </w:hyperlink>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10.11.5</w:t>
            </w:r>
          </w:p>
        </w:tc>
        <w:tc>
          <w:tcPr>
            <w:tcW w:w="954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erif" w:hAnsi="Times New Roman;serif"/>
                  <w:b w:val="false"/>
                  <w:color w:val="0000FF"/>
                  <w:sz w:val="18"/>
                  <w:u w:val="single"/>
                </w:rPr>
                <w:t>Fifth Amendment to Loan Documents, dated as of June 23, 2022, by and among the Company, the subsidiaries of the Company party thereto, with Bank of America, N.A. as administrative agent and the lenders part thereto. Exhibit 10.1 to the Registrant’s Current Report on Form 8-K filed on June 28, 2022.</w:t>
              </w:r>
            </w:hyperlink>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10.12*</w:t>
            </w:r>
          </w:p>
        </w:tc>
        <w:tc>
          <w:tcPr>
            <w:tcW w:w="954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erif" w:hAnsi="Times New Roman;serif"/>
                  <w:b w:val="false"/>
                  <w:color w:val="000080"/>
                  <w:sz w:val="18"/>
                  <w:u w:val="single"/>
                </w:rPr>
                <w:t>Severance Pay Plan of The Brink's Company effective November 13, 2015, as amended</w:t>
              </w:r>
            </w:hyperlink>
            <w:hyperlink r:id="rId33">
              <w:r>
                <w:rPr>
                  <w:rStyle w:val="InternetLink"/>
                  <w:rFonts w:ascii="Times New Roman;serif" w:hAnsi="Times New Roman;serif"/>
                  <w:b w:val="false"/>
                  <w:color w:val="000080"/>
                  <w:sz w:val="18"/>
                  <w:u w:val="single"/>
                </w:rPr>
                <w:t xml:space="preserve"> and restated on</w:t>
              </w:r>
            </w:hyperlink>
            <w:hyperlink r:id="rId34">
              <w:r>
                <w:rPr>
                  <w:rStyle w:val="InternetLink"/>
                  <w:rFonts w:ascii="Times New Roman;serif" w:hAnsi="Times New Roman;serif"/>
                  <w:b w:val="false"/>
                  <w:color w:val="000080"/>
                  <w:sz w:val="18"/>
                  <w:u w:val="single"/>
                </w:rPr>
                <w:t xml:space="preserve"> </w:t>
              </w:r>
            </w:hyperlink>
            <w:hyperlink r:id="rId35">
              <w:r>
                <w:rPr>
                  <w:rStyle w:val="InternetLink"/>
                  <w:rFonts w:ascii="Times New Roman;serif" w:hAnsi="Times New Roman;serif"/>
                  <w:b w:val="false"/>
                  <w:color w:val="000080"/>
                  <w:sz w:val="18"/>
                  <w:u w:val="single"/>
                </w:rPr>
                <w:t>July 1</w:t>
              </w:r>
            </w:hyperlink>
            <w:hyperlink r:id="rId36">
              <w:r>
                <w:rPr>
                  <w:rStyle w:val="InternetLink"/>
                  <w:rFonts w:ascii="Times New Roman;serif" w:hAnsi="Times New Roman;serif"/>
                  <w:b w:val="false"/>
                  <w:color w:val="000080"/>
                  <w:sz w:val="18"/>
                  <w:u w:val="single"/>
                </w:rPr>
                <w:t>6</w:t>
              </w:r>
            </w:hyperlink>
            <w:hyperlink r:id="rId37">
              <w:r>
                <w:rPr>
                  <w:rStyle w:val="InternetLink"/>
                  <w:rFonts w:ascii="Times New Roman;serif" w:hAnsi="Times New Roman;serif"/>
                  <w:b w:val="false"/>
                  <w:color w:val="000080"/>
                  <w:sz w:val="18"/>
                  <w:u w:val="single"/>
                </w:rPr>
                <w:t xml:space="preserve">, 2025, </w:t>
              </w:r>
            </w:hyperlink>
            <w:hyperlink r:id="rId38">
              <w:r>
                <w:rPr>
                  <w:rStyle w:val="InternetLink"/>
                  <w:rFonts w:ascii="Times New Roman;serif" w:hAnsi="Times New Roman;serif"/>
                  <w:b w:val="false"/>
                  <w:color w:val="000080"/>
                  <w:sz w:val="18"/>
                  <w:u w:val="single"/>
                </w:rPr>
                <w:t>incorporated</w:t>
              </w:r>
            </w:hyperlink>
            <w:hyperlink r:id="rId39">
              <w:r>
                <w:rPr>
                  <w:rStyle w:val="InternetLink"/>
                  <w:rFonts w:ascii="Times New Roman;serif" w:hAnsi="Times New Roman;serif"/>
                  <w:b w:val="false"/>
                  <w:color w:val="000080"/>
                  <w:sz w:val="18"/>
                  <w:u w:val="single"/>
                </w:rPr>
                <w:t xml:space="preserve"> by reference to Exhibit 10.2 </w:t>
              </w:r>
            </w:hyperlink>
            <w:hyperlink r:id="rId40">
              <w:r>
                <w:rPr>
                  <w:rStyle w:val="InternetLink"/>
                  <w:rFonts w:ascii="Times New Roman;serif" w:hAnsi="Times New Roman;serif"/>
                  <w:b w:val="false"/>
                  <w:color w:val="000080"/>
                  <w:sz w:val="18"/>
                  <w:u w:val="single"/>
                </w:rPr>
                <w:t xml:space="preserve">to the </w:t>
              </w:r>
            </w:hyperlink>
            <w:hyperlink r:id="rId41">
              <w:r>
                <w:rPr>
                  <w:rStyle w:val="InternetLink"/>
                  <w:rFonts w:ascii="Times New Roman;serif" w:hAnsi="Times New Roman;serif"/>
                  <w:b w:val="false"/>
                  <w:color w:val="000080"/>
                  <w:sz w:val="18"/>
                  <w:u w:val="single"/>
                </w:rPr>
                <w:t>Registra</w:t>
              </w:r>
            </w:hyperlink>
            <w:hyperlink r:id="rId42">
              <w:r>
                <w:rPr>
                  <w:rStyle w:val="InternetLink"/>
                  <w:rFonts w:ascii="Times New Roman;serif" w:hAnsi="Times New Roman;serif"/>
                  <w:b w:val="false"/>
                  <w:color w:val="000080"/>
                  <w:sz w:val="18"/>
                  <w:u w:val="single"/>
                </w:rPr>
                <w:t xml:space="preserve">nt's </w:t>
              </w:r>
            </w:hyperlink>
            <w:hyperlink r:id="rId43">
              <w:r>
                <w:rPr>
                  <w:rStyle w:val="InternetLink"/>
                  <w:rFonts w:ascii="Times New Roman;serif" w:hAnsi="Times New Roman;serif"/>
                  <w:b w:val="false"/>
                  <w:color w:val="000080"/>
                  <w:sz w:val="18"/>
                  <w:u w:val="single"/>
                </w:rPr>
                <w:t xml:space="preserve">Quarterly </w:t>
              </w:r>
            </w:hyperlink>
            <w:hyperlink r:id="rId44">
              <w:r>
                <w:rPr>
                  <w:rStyle w:val="InternetLink"/>
                  <w:rFonts w:ascii="Times New Roman;serif" w:hAnsi="Times New Roman;serif"/>
                  <w:b w:val="false"/>
                  <w:color w:val="000080"/>
                  <w:sz w:val="18"/>
                  <w:u w:val="single"/>
                </w:rPr>
                <w:t xml:space="preserve">Report on Form </w:t>
              </w:r>
            </w:hyperlink>
            <w:hyperlink r:id="rId45">
              <w:r>
                <w:rPr>
                  <w:rStyle w:val="InternetLink"/>
                  <w:rFonts w:ascii="Times New Roman;serif" w:hAnsi="Times New Roman;serif"/>
                  <w:b w:val="false"/>
                  <w:color w:val="000080"/>
                  <w:sz w:val="18"/>
                  <w:u w:val="single"/>
                </w:rPr>
                <w:t>10</w:t>
              </w:r>
            </w:hyperlink>
            <w:hyperlink r:id="rId46">
              <w:r>
                <w:rPr>
                  <w:rStyle w:val="InternetLink"/>
                  <w:rFonts w:ascii="Times New Roman;serif" w:hAnsi="Times New Roman;serif"/>
                  <w:b w:val="false"/>
                  <w:color w:val="000080"/>
                  <w:sz w:val="18"/>
                  <w:u w:val="single"/>
                </w:rPr>
                <w:t>-</w:t>
              </w:r>
            </w:hyperlink>
            <w:hyperlink r:id="rId47">
              <w:r>
                <w:rPr>
                  <w:rStyle w:val="InternetLink"/>
                  <w:rFonts w:ascii="Times New Roman;serif" w:hAnsi="Times New Roman;serif"/>
                  <w:b w:val="false"/>
                  <w:color w:val="000080"/>
                  <w:sz w:val="18"/>
                  <w:u w:val="single"/>
                </w:rPr>
                <w:t>Q</w:t>
              </w:r>
            </w:hyperlink>
            <w:hyperlink r:id="rId48">
              <w:r>
                <w:rPr>
                  <w:rStyle w:val="InternetLink"/>
                  <w:rFonts w:ascii="Times New Roman;serif" w:hAnsi="Times New Roman;serif"/>
                  <w:b w:val="false"/>
                  <w:color w:val="000080"/>
                  <w:sz w:val="18"/>
                  <w:u w:val="single"/>
                </w:rPr>
                <w:t xml:space="preserve"> f</w:t>
              </w:r>
            </w:hyperlink>
            <w:hyperlink r:id="rId49">
              <w:r>
                <w:rPr>
                  <w:rStyle w:val="InternetLink"/>
                  <w:rFonts w:ascii="Times New Roman;serif" w:hAnsi="Times New Roman;serif"/>
                  <w:b w:val="false"/>
                  <w:color w:val="000080"/>
                  <w:sz w:val="18"/>
                  <w:u w:val="single"/>
                </w:rPr>
                <w:t>or the quarter ended June 30, 202</w:t>
              </w:r>
            </w:hyperlink>
            <w:hyperlink r:id="rId50">
              <w:r>
                <w:rPr>
                  <w:rStyle w:val="InternetLink"/>
                  <w:rFonts w:ascii="Times New Roman;serif" w:hAnsi="Times New Roman;serif"/>
                  <w:b w:val="false"/>
                  <w:color w:val="000080"/>
                  <w:sz w:val="18"/>
                  <w:u w:val="single"/>
                </w:rPr>
                <w:t>5</w:t>
              </w:r>
            </w:hyperlink>
            <w:hyperlink r:id="rId51">
              <w:r>
                <w:rPr>
                  <w:rStyle w:val="InternetLink"/>
                  <w:rFonts w:ascii="Times New Roman;serif" w:hAnsi="Times New Roman;serif"/>
                  <w:b w:val="false"/>
                  <w:color w:val="000080"/>
                  <w:sz w:val="18"/>
                  <w:u w:val="single"/>
                </w:rPr>
                <w:t xml:space="preserve">. </w:t>
              </w:r>
            </w:hyperlink>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10.13*</w:t>
            </w:r>
          </w:p>
        </w:tc>
        <w:tc>
          <w:tcPr>
            <w:tcW w:w="954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r:id="rId52">
              <w:r>
                <w:rPr>
                  <w:rStyle w:val="InternetLink"/>
                  <w:rFonts w:ascii="Times New Roman;serif" w:hAnsi="Times New Roman;serif"/>
                  <w:b w:val="false"/>
                  <w:color w:val="0000FF"/>
                  <w:sz w:val="18"/>
                  <w:u w:val="single"/>
                </w:rPr>
                <w:t>Form of 2021 Performance Share Units Award Agreement (Total Shareholder Return), effective for awards made on or after February 24, 2021. Exhibit 10.1 to the Registrant’s Quarterly Report on Form 10-Q for the quarter ended June 30, 2021.</w:t>
              </w:r>
            </w:hyperlink>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10.14*</w:t>
            </w:r>
          </w:p>
        </w:tc>
        <w:tc>
          <w:tcPr>
            <w:tcW w:w="954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r:id="rId53">
              <w:r>
                <w:rPr>
                  <w:rStyle w:val="InternetLink"/>
                  <w:rFonts w:ascii="Times New Roman;serif" w:hAnsi="Times New Roman;serif"/>
                  <w:b w:val="false"/>
                  <w:color w:val="0000FF"/>
                  <w:sz w:val="18"/>
                  <w:u w:val="single"/>
                </w:rPr>
                <w:t>Form of 2021 Performance Share Units Award Agreement (Internal Metric), effective for awards made on or after February 24, 2021. Exhibit 10.2 to the Registrant’s Quarterly Report on Form 10-Q for the quarter ended June 30, 2021.</w:t>
              </w:r>
            </w:hyperlink>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10.15*</w:t>
            </w:r>
          </w:p>
        </w:tc>
        <w:tc>
          <w:tcPr>
            <w:tcW w:w="954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r:id="rId54">
              <w:r>
                <w:rPr>
                  <w:rStyle w:val="InternetLink"/>
                  <w:rFonts w:ascii="Times New Roman;serif" w:hAnsi="Times New Roman;serif"/>
                  <w:b w:val="false"/>
                  <w:color w:val="0000FF"/>
                  <w:sz w:val="18"/>
                  <w:u w:val="single"/>
                </w:rPr>
                <w:t>Form of 2021 Restricted Stock Unit (RSU) Award Agreement, effective for awards made on or after February 24, 2021. Exhibit 10.3 to the Registrant’s Quarterly Report on Form 10-Q for the quarter ended June 30, 2021.</w:t>
              </w:r>
            </w:hyperlink>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10.16*</w:t>
            </w:r>
          </w:p>
        </w:tc>
        <w:tc>
          <w:tcPr>
            <w:tcW w:w="954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r:id="rId55">
              <w:r>
                <w:rPr>
                  <w:rStyle w:val="InternetLink"/>
                  <w:rFonts w:ascii="Times New Roman;serif" w:hAnsi="Times New Roman;serif"/>
                  <w:b w:val="false"/>
                  <w:color w:val="0000FF"/>
                  <w:sz w:val="18"/>
                  <w:u w:val="single"/>
                </w:rPr>
                <w:t>Amended and Restated Directors’ Stock Accumulation Plan, effective May 1, 2021. Exhibit 10.4 to the Registrant’s Quarterly Report on Form 10-Q for the quarter ended June 30, 2021.</w:t>
              </w:r>
            </w:hyperlink>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10.17*</w:t>
            </w:r>
          </w:p>
        </w:tc>
        <w:tc>
          <w:tcPr>
            <w:tcW w:w="9544"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r:id="rId56">
              <w:r>
                <w:rPr>
                  <w:rStyle w:val="InternetLink"/>
                  <w:rFonts w:ascii="Times New Roman;serif" w:hAnsi="Times New Roman;serif"/>
                  <w:b w:val="false"/>
                  <w:color w:val="0000FF"/>
                  <w:sz w:val="18"/>
                  <w:u w:val="single"/>
                </w:rPr>
                <w:t>Form of Indemnification Agreement entered into by The Brink’s Company with each of its directors, officers and certain employees, approved for use on December 9, 2021. Exhibit 10.30 to the Registrant's Annual Report on Form 10-K for the year ended December 31, 2021.</w:t>
              </w:r>
            </w:hyperlink>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31445"/>
                <wp:effectExtent l="0" t="0" r="0" b="0"/>
                <wp:wrapNone/>
                <wp:docPr id="128" name="Frame12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125</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07"/>
        <w:gridCol w:w="182"/>
        <w:gridCol w:w="184"/>
        <w:gridCol w:w="1643"/>
        <w:gridCol w:w="1469"/>
        <w:gridCol w:w="1469"/>
        <w:gridCol w:w="1469"/>
        <w:gridCol w:w="1469"/>
        <w:gridCol w:w="2113"/>
      </w:tblGrid>
      <w:tr>
        <w:trPr/>
        <w:tc>
          <w:tcPr>
            <w:tcW w:w="20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10.18*</w:t>
            </w:r>
          </w:p>
        </w:tc>
        <w:tc>
          <w:tcPr>
            <w:tcW w:w="963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r:id="rId57">
              <w:r>
                <w:rPr>
                  <w:rStyle w:val="InternetLink"/>
                  <w:rFonts w:ascii="Times New Roman;serif" w:hAnsi="Times New Roman;serif"/>
                  <w:b w:val="false"/>
                  <w:color w:val="000080"/>
                  <w:sz w:val="18"/>
                  <w:u w:val="single"/>
                </w:rPr>
                <w:t>Key Employees' Deferred Compensation Program, as amended December 3, 2024</w:t>
              </w:r>
            </w:hyperlink>
            <w:hyperlink r:id="rId58">
              <w:r>
                <w:rPr>
                  <w:rStyle w:val="InternetLink"/>
                  <w:rFonts w:ascii="Times New Roman;serif" w:hAnsi="Times New Roman;serif"/>
                  <w:b w:val="false"/>
                  <w:color w:val="000080"/>
                  <w:sz w:val="18"/>
                  <w:u w:val="single"/>
                </w:rPr>
                <w:t>. Exhibit 10.18 to the Registrant's Annual Report on Form 10-K for the year ended December 31, 2024</w:t>
              </w:r>
            </w:hyperlink>
            <w:hyperlink r:id="rId59">
              <w:r>
                <w:rPr>
                  <w:rStyle w:val="InternetLink"/>
                  <w:rFonts w:ascii="Times New Roman;serif" w:hAnsi="Times New Roman;serif"/>
                  <w:b w:val="false"/>
                  <w:color w:val="000080"/>
                  <w:sz w:val="18"/>
                  <w:u w:val="single"/>
                </w:rPr>
                <w:t>.</w:t>
              </w:r>
            </w:hyperlink>
          </w:p>
        </w:tc>
      </w:tr>
      <w:tr>
        <w:trPr/>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10.19</w:t>
            </w:r>
          </w:p>
        </w:tc>
        <w:tc>
          <w:tcPr>
            <w:tcW w:w="963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r:id="rId60">
              <w:r>
                <w:rPr>
                  <w:rStyle w:val="InternetLink"/>
                  <w:rFonts w:ascii="Times New Roman;serif" w:hAnsi="Times New Roman;serif"/>
                  <w:b w:val="false"/>
                  <w:color w:val="000080"/>
                  <w:sz w:val="18"/>
                  <w:u w:val="single"/>
                </w:rPr>
                <w:t xml:space="preserve">Change in Control Plan, effective March 1, 2022, as amended </w:t>
              </w:r>
            </w:hyperlink>
            <w:hyperlink r:id="rId61">
              <w:r>
                <w:rPr>
                  <w:rStyle w:val="InternetLink"/>
                  <w:rFonts w:ascii="Times New Roman;serif" w:hAnsi="Times New Roman;serif"/>
                  <w:b w:val="false"/>
                  <w:color w:val="000080"/>
                  <w:sz w:val="18"/>
                  <w:u w:val="single"/>
                </w:rPr>
                <w:t>and restated July 16, 2025, incorporated by reference to Exhibit 10.3</w:t>
              </w:r>
            </w:hyperlink>
            <w:hyperlink r:id="rId62">
              <w:r>
                <w:rPr>
                  <w:rStyle w:val="InternetLink"/>
                  <w:rFonts w:ascii="Times New Roman;serif" w:hAnsi="Times New Roman;serif"/>
                  <w:b w:val="false"/>
                  <w:color w:val="000080"/>
                  <w:sz w:val="18"/>
                  <w:u w:val="single"/>
                </w:rPr>
                <w:t xml:space="preserve"> to </w:t>
              </w:r>
            </w:hyperlink>
            <w:hyperlink r:id="rId63">
              <w:r>
                <w:rPr>
                  <w:rStyle w:val="InternetLink"/>
                  <w:rFonts w:ascii="Times New Roman;serif" w:hAnsi="Times New Roman;serif"/>
                  <w:b w:val="false"/>
                  <w:color w:val="000080"/>
                  <w:sz w:val="18"/>
                  <w:u w:val="single"/>
                </w:rPr>
                <w:t>the</w:t>
              </w:r>
            </w:hyperlink>
            <w:hyperlink r:id="rId64">
              <w:r>
                <w:rPr>
                  <w:rStyle w:val="InternetLink"/>
                  <w:rFonts w:ascii="Times New Roman;serif" w:hAnsi="Times New Roman;serif"/>
                  <w:b w:val="false"/>
                  <w:color w:val="000080"/>
                  <w:sz w:val="18"/>
                  <w:u w:val="single"/>
                </w:rPr>
                <w:t xml:space="preserve"> Registrant's Quart</w:t>
              </w:r>
            </w:hyperlink>
            <w:hyperlink r:id="rId65">
              <w:r>
                <w:rPr>
                  <w:rStyle w:val="InternetLink"/>
                  <w:rFonts w:ascii="Times New Roman;serif" w:hAnsi="Times New Roman;serif"/>
                  <w:b w:val="false"/>
                  <w:color w:val="000080"/>
                  <w:sz w:val="18"/>
                  <w:u w:val="single"/>
                </w:rPr>
                <w:t xml:space="preserve">erly Report on Form 10-Q for the quarter ended June </w:t>
              </w:r>
            </w:hyperlink>
            <w:hyperlink r:id="rId66">
              <w:r>
                <w:rPr>
                  <w:rStyle w:val="InternetLink"/>
                  <w:rFonts w:ascii="Times New Roman;serif" w:hAnsi="Times New Roman;serif"/>
                  <w:b w:val="false"/>
                  <w:color w:val="000080"/>
                  <w:sz w:val="18"/>
                  <w:u w:val="single"/>
                </w:rPr>
                <w:t>30, 2025</w:t>
              </w:r>
            </w:hyperlink>
            <w:hyperlink r:id="rId67">
              <w:r>
                <w:rPr>
                  <w:rStyle w:val="InternetLink"/>
                  <w:rFonts w:ascii="Times New Roman;serif" w:hAnsi="Times New Roman;serif"/>
                  <w:b w:val="false"/>
                  <w:color w:val="000080"/>
                  <w:sz w:val="18"/>
                  <w:u w:val="single"/>
                </w:rPr>
                <w:t>.</w:t>
              </w:r>
            </w:hyperlink>
          </w:p>
        </w:tc>
      </w:tr>
      <w:tr>
        <w:trPr/>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10.20*</w:t>
            </w:r>
          </w:p>
        </w:tc>
        <w:tc>
          <w:tcPr>
            <w:tcW w:w="963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r:id="rId68">
              <w:r>
                <w:rPr>
                  <w:rStyle w:val="InternetLink"/>
                  <w:rFonts w:ascii="Times New Roman;serif" w:hAnsi="Times New Roman;serif"/>
                  <w:b w:val="false"/>
                  <w:color w:val="0000FF"/>
                  <w:sz w:val="18"/>
                  <w:u w:val="single"/>
                </w:rPr>
                <w:t xml:space="preserve">Amended and Restated Plan for Deferral of Directors’ Fees, effective February 16, 2023. Exhibit 10.1 to the Registrant's Quarterly Report on Form 10-Q for the quarter ended March 31, 2023. </w:t>
              </w:r>
            </w:hyperlink>
          </w:p>
        </w:tc>
      </w:tr>
      <w:tr>
        <w:trPr/>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2" w:type="dxa"/>
            <w:gridSpan w:val="6"/>
            <w:tcBorders/>
            <w:tcMar>
              <w:top w:w="0" w:type="dxa"/>
              <w:left w:w="0" w:type="dxa"/>
              <w:bottom w:w="0" w:type="dxa"/>
              <w:right w:w="0" w:type="dxa"/>
            </w:tcMar>
            <w:vAlign w:val="center"/>
          </w:tcPr>
          <w:p>
            <w:pPr>
              <w:pStyle w:val="TableContents"/>
              <w:bidi w:val="0"/>
              <w:spacing w:before="0" w:after="0"/>
              <w:jc w:val="left"/>
              <w:rPr/>
            </w:pPr>
            <w:r>
              <w:rPr/>
            </w:r>
          </w:p>
        </w:tc>
      </w:tr>
      <w:tr>
        <w:trPr/>
        <w:tc>
          <w:tcPr>
            <w:tcW w:w="57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10.21*</w:t>
            </w:r>
          </w:p>
        </w:tc>
        <w:tc>
          <w:tcPr>
            <w:tcW w:w="963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r:id="rId69">
              <w:r>
                <w:rPr>
                  <w:rStyle w:val="InternetLink"/>
                  <w:rFonts w:ascii="Times New Roman;serif" w:hAnsi="Times New Roman;serif"/>
                  <w:b w:val="false"/>
                  <w:color w:val="0000FF"/>
                  <w:sz w:val="18"/>
                  <w:u w:val="single"/>
                </w:rPr>
                <w:t>Offer Letter, dated July 2, 2021, for Mark Eubanks. Exhibit 10.27 to the Registrant’s Annual Report on Form 10-K for the year ended December 31, 2022.</w:t>
              </w:r>
            </w:hyperlink>
          </w:p>
        </w:tc>
      </w:tr>
      <w:tr>
        <w:trPr/>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10.22*</w:t>
            </w:r>
          </w:p>
        </w:tc>
        <w:tc>
          <w:tcPr>
            <w:tcW w:w="963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r:id="rId70">
              <w:r>
                <w:rPr>
                  <w:rStyle w:val="InternetLink"/>
                  <w:rFonts w:ascii="Times New Roman;serif" w:hAnsi="Times New Roman;serif"/>
                  <w:b w:val="false"/>
                  <w:color w:val="0000FF"/>
                  <w:sz w:val="18"/>
                  <w:u w:val="single"/>
                </w:rPr>
                <w:t>Offer Letter, dated July 20, 2022, for Kurt McMaken. Exhibit 10.29 to the Registrant’s Annual Report on Form 10-K for the year ended December 31, 2022.</w:t>
              </w:r>
            </w:hyperlink>
          </w:p>
        </w:tc>
      </w:tr>
      <w:tr>
        <w:trPr/>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10.23*</w:t>
            </w:r>
          </w:p>
        </w:tc>
        <w:tc>
          <w:tcPr>
            <w:tcW w:w="963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r:id="rId71">
              <w:r>
                <w:rPr>
                  <w:rStyle w:val="InternetLink"/>
                  <w:rFonts w:ascii="Times New Roman;serif" w:hAnsi="Times New Roman;serif"/>
                  <w:b w:val="false"/>
                  <w:color w:val="0000FF"/>
                  <w:sz w:val="18"/>
                  <w:u w:val="single"/>
                </w:rPr>
                <w:t>Offer Letter, dated April 16, 2023, for Elizabeth Galloway. Exhibit 10.1 to the Registrant's Quarterly Report on Form 10-Q for the quarter ended March 31, 2024.</w:t>
              </w:r>
            </w:hyperlink>
          </w:p>
        </w:tc>
      </w:tr>
      <w:tr>
        <w:trPr/>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10.24*</w:t>
            </w:r>
          </w:p>
        </w:tc>
        <w:tc>
          <w:tcPr>
            <w:tcW w:w="963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r:id="rId72">
              <w:r>
                <w:rPr>
                  <w:rStyle w:val="InternetLink"/>
                  <w:rFonts w:ascii="Times New Roman;serif" w:hAnsi="Times New Roman;serif"/>
                  <w:b w:val="false"/>
                  <w:color w:val="0000FF"/>
                  <w:sz w:val="18"/>
                  <w:u w:val="single"/>
                </w:rPr>
                <w:t>Expatriate Offer Letter dated March 1, 2023, for James K. Parks. Exhibit 10.2 to the Registrant's Quarterly Report on Form 10-Q for the quarter ended March 31, 2024.</w:t>
              </w:r>
            </w:hyperlink>
          </w:p>
        </w:tc>
      </w:tr>
      <w:tr>
        <w:trPr/>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10.25*</w:t>
            </w:r>
          </w:p>
        </w:tc>
        <w:tc>
          <w:tcPr>
            <w:tcW w:w="963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r:id="rId73">
              <w:r>
                <w:rPr>
                  <w:rStyle w:val="InternetLink"/>
                  <w:rFonts w:ascii="Times New Roman;serif" w:hAnsi="Times New Roman;serif"/>
                  <w:b w:val="false"/>
                  <w:color w:val="000080"/>
                  <w:sz w:val="18"/>
                  <w:u w:val="single"/>
                </w:rPr>
                <w:t>L</w:t>
              </w:r>
            </w:hyperlink>
            <w:hyperlink r:id="rId74">
              <w:r>
                <w:rPr>
                  <w:rStyle w:val="InternetLink"/>
                  <w:rFonts w:ascii="Times New Roman;serif" w:hAnsi="Times New Roman;serif"/>
                  <w:b w:val="false"/>
                  <w:color w:val="000080"/>
                  <w:sz w:val="18"/>
                  <w:u w:val="single"/>
                </w:rPr>
                <w:t xml:space="preserve">etter </w:t>
              </w:r>
            </w:hyperlink>
            <w:hyperlink r:id="rId75">
              <w:r>
                <w:rPr>
                  <w:rStyle w:val="InternetLink"/>
                  <w:rFonts w:ascii="Times New Roman;serif" w:hAnsi="Times New Roman;serif"/>
                  <w:b w:val="false"/>
                  <w:color w:val="000080"/>
                  <w:sz w:val="18"/>
                  <w:u w:val="single"/>
                </w:rPr>
                <w:t>Agreement</w:t>
              </w:r>
            </w:hyperlink>
            <w:hyperlink r:id="rId76">
              <w:r>
                <w:rPr>
                  <w:rStyle w:val="InternetLink"/>
                  <w:rFonts w:ascii="Times New Roman;serif" w:hAnsi="Times New Roman;serif"/>
                  <w:b w:val="false"/>
                  <w:color w:val="000080"/>
                  <w:sz w:val="18"/>
                  <w:u w:val="single"/>
                </w:rPr>
                <w:t xml:space="preserve">, signed July 17, </w:t>
              </w:r>
            </w:hyperlink>
            <w:hyperlink r:id="rId77">
              <w:r>
                <w:rPr>
                  <w:rStyle w:val="InternetLink"/>
                  <w:rFonts w:ascii="Times New Roman;serif" w:hAnsi="Times New Roman;serif"/>
                  <w:b w:val="false"/>
                  <w:color w:val="000080"/>
                  <w:sz w:val="18"/>
                  <w:u w:val="single"/>
                </w:rPr>
                <w:t>2025, between The Brink's Company and Mark Eubanks, incorporated by reference to Exhibit 10.1 to t</w:t>
              </w:r>
            </w:hyperlink>
            <w:hyperlink r:id="rId78">
              <w:r>
                <w:rPr>
                  <w:rStyle w:val="InternetLink"/>
                  <w:rFonts w:ascii="Times New Roman;serif" w:hAnsi="Times New Roman;serif"/>
                  <w:b w:val="false"/>
                  <w:color w:val="000080"/>
                  <w:sz w:val="18"/>
                  <w:u w:val="single"/>
                </w:rPr>
                <w:t>he Registrant</w:t>
              </w:r>
            </w:hyperlink>
            <w:hyperlink r:id="rId79">
              <w:r>
                <w:rPr>
                  <w:rStyle w:val="InternetLink"/>
                  <w:rFonts w:ascii="Times New Roman;serif" w:hAnsi="Times New Roman;serif"/>
                  <w:b w:val="false"/>
                  <w:color w:val="000080"/>
                  <w:sz w:val="18"/>
                  <w:u w:val="single"/>
                </w:rPr>
                <w:t>'s Quarterly Report on Form 10-Q for the quarter ended June 30, 2025.</w:t>
              </w:r>
            </w:hyperlink>
          </w:p>
        </w:tc>
      </w:tr>
      <w:tr>
        <w:trPr/>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19.1</w:t>
            </w:r>
          </w:p>
        </w:tc>
        <w:tc>
          <w:tcPr>
            <w:tcW w:w="963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exhibit191.htm">
              <w:r>
                <w:rPr>
                  <w:rStyle w:val="InternetLink"/>
                  <w:rFonts w:ascii="Times New Roman;serif" w:hAnsi="Times New Roman;serif"/>
                  <w:b w:val="false"/>
                  <w:color w:val="000080"/>
                  <w:sz w:val="18"/>
                  <w:u w:val="single"/>
                </w:rPr>
                <w:t>The Brink's Company Insider Trading Policy</w:t>
              </w:r>
            </w:hyperlink>
            <w:hyperlink w:anchor="exhibit191.htm">
              <w:r>
                <w:rPr>
                  <w:rStyle w:val="InternetLink"/>
                  <w:rFonts w:ascii="Times New Roman;serif" w:hAnsi="Times New Roman;serif"/>
                  <w:b w:val="false"/>
                  <w:color w:val="000080"/>
                  <w:sz w:val="18"/>
                  <w:u w:val="single"/>
                </w:rPr>
                <w:t>, a</w:t>
              </w:r>
            </w:hyperlink>
            <w:hyperlink w:anchor="exhibit191.htm">
              <w:r>
                <w:rPr>
                  <w:rStyle w:val="InternetLink"/>
                  <w:rFonts w:ascii="Times New Roman;serif" w:hAnsi="Times New Roman;serif"/>
                  <w:b w:val="false"/>
                  <w:color w:val="000080"/>
                  <w:sz w:val="18"/>
                  <w:u w:val="single"/>
                </w:rPr>
                <w:t>mended as of December 11, 2025</w:t>
              </w:r>
            </w:hyperlink>
            <w:hyperlink w:anchor="exhibit191.htm">
              <w:r>
                <w:rPr>
                  <w:rStyle w:val="InternetLink"/>
                  <w:rFonts w:ascii="Times New Roman;serif" w:hAnsi="Times New Roman;serif"/>
                  <w:b w:val="false"/>
                  <w:color w:val="000080"/>
                  <w:sz w:val="18"/>
                  <w:u w:val="single"/>
                </w:rPr>
                <w:t>.</w:t>
              </w:r>
            </w:hyperlink>
          </w:p>
        </w:tc>
      </w:tr>
      <w:tr>
        <w:trPr/>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21</w:t>
            </w:r>
          </w:p>
        </w:tc>
        <w:tc>
          <w:tcPr>
            <w:tcW w:w="963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a2025q4subsidiarylistvf.htm">
              <w:r>
                <w:rPr>
                  <w:rStyle w:val="InternetLink"/>
                  <w:rFonts w:ascii="Times New Roman;serif" w:hAnsi="Times New Roman;serif"/>
                  <w:b w:val="false"/>
                  <w:color w:val="0000FF"/>
                  <w:sz w:val="18"/>
                  <w:u w:val="single"/>
                </w:rPr>
                <w:t>Subsidiaries of the Registrant.</w:t>
              </w:r>
            </w:hyperlink>
          </w:p>
        </w:tc>
      </w:tr>
      <w:tr>
        <w:trPr/>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23</w:t>
            </w:r>
          </w:p>
        </w:tc>
        <w:tc>
          <w:tcPr>
            <w:tcW w:w="963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a202510-kexhibit23.htm">
              <w:r>
                <w:rPr>
                  <w:rStyle w:val="InternetLink"/>
                  <w:rFonts w:ascii="Times New Roman;serif" w:hAnsi="Times New Roman;serif"/>
                  <w:b w:val="false"/>
                  <w:color w:val="0000FF"/>
                  <w:sz w:val="18"/>
                  <w:u w:val="single"/>
                </w:rPr>
                <w:t>Consent of Independent Registered Public Accounting Firm.</w:t>
              </w:r>
            </w:hyperlink>
          </w:p>
        </w:tc>
      </w:tr>
      <w:tr>
        <w:trPr/>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31.1</w:t>
            </w:r>
          </w:p>
        </w:tc>
        <w:tc>
          <w:tcPr>
            <w:tcW w:w="963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a202510-kexhibit311.htm">
              <w:r>
                <w:rPr>
                  <w:rStyle w:val="InternetLink"/>
                  <w:rFonts w:ascii="Times New Roman;serif" w:hAnsi="Times New Roman;serif"/>
                  <w:b w:val="false"/>
                  <w:color w:val="0000FF"/>
                  <w:sz w:val="18"/>
                  <w:u w:val="single"/>
                </w:rPr>
                <w:t>Certification of Chief Executive Officer of the Brink's Company pursuant to Rule 13a-14(a) of the Securities Exchange Act of 1934.</w:t>
              </w:r>
            </w:hyperlink>
          </w:p>
        </w:tc>
      </w:tr>
      <w:tr>
        <w:trPr/>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31.2</w:t>
            </w:r>
          </w:p>
        </w:tc>
        <w:tc>
          <w:tcPr>
            <w:tcW w:w="963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a202510-kexhibit312.htm">
              <w:r>
                <w:rPr>
                  <w:rStyle w:val="InternetLink"/>
                  <w:rFonts w:ascii="Times New Roman;serif" w:hAnsi="Times New Roman;serif"/>
                  <w:b w:val="false"/>
                  <w:color w:val="0000FF"/>
                  <w:sz w:val="18"/>
                  <w:u w:val="single"/>
                </w:rPr>
                <w:t>Certification of Chief Financial Officer of the Brink's Company pursuant to Rule 13a-14(a) of the Securities Exchange Act of 1934.</w:t>
              </w:r>
            </w:hyperlink>
          </w:p>
        </w:tc>
      </w:tr>
      <w:tr>
        <w:trPr/>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32.1</w:t>
            </w:r>
          </w:p>
        </w:tc>
        <w:tc>
          <w:tcPr>
            <w:tcW w:w="963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a202510-kexhibit321.htm">
              <w:r>
                <w:rPr>
                  <w:rStyle w:val="InternetLink"/>
                  <w:rFonts w:ascii="Times New Roman;serif" w:hAnsi="Times New Roman;serif"/>
                  <w:b w:val="false"/>
                  <w:color w:val="0000FF"/>
                  <w:sz w:val="18"/>
                  <w:u w:val="single"/>
                </w:rPr>
                <w:t>Certification of Chief Executive Officer of the Brink's Company pursuant to Rule 13a-14(a) or Rule 15d-14(b) and 18 U.S.C. 1350.</w:t>
              </w:r>
            </w:hyperlink>
          </w:p>
        </w:tc>
      </w:tr>
      <w:tr>
        <w:trPr/>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32.2</w:t>
            </w:r>
          </w:p>
        </w:tc>
        <w:tc>
          <w:tcPr>
            <w:tcW w:w="963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a202510-kexhibit322.htm">
              <w:r>
                <w:rPr>
                  <w:rStyle w:val="InternetLink"/>
                  <w:rFonts w:ascii="Times New Roman;serif" w:hAnsi="Times New Roman;serif"/>
                  <w:b w:val="false"/>
                  <w:color w:val="0000FF"/>
                  <w:sz w:val="18"/>
                  <w:u w:val="single"/>
                </w:rPr>
                <w:t>Certification of Chief Financial Officer of the Brink's Company pursuant to Rule 13a-14(a) or Rule 15d-14(b) and 18 U.S.C. 1350.</w:t>
              </w:r>
            </w:hyperlink>
          </w:p>
        </w:tc>
      </w:tr>
      <w:tr>
        <w:trPr/>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97.1</w:t>
            </w:r>
          </w:p>
        </w:tc>
        <w:tc>
          <w:tcPr>
            <w:tcW w:w="963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r:id="rId80">
              <w:r>
                <w:rPr>
                  <w:rStyle w:val="InternetLink"/>
                  <w:rFonts w:ascii="Times New Roman;serif" w:hAnsi="Times New Roman;serif"/>
                  <w:b w:val="false"/>
                  <w:color w:val="0000FF"/>
                  <w:sz w:val="18"/>
                  <w:u w:val="single"/>
                </w:rPr>
                <w:t xml:space="preserve">Brink's Dodd-Frank Clawback Policy, effective as of October 2, 2023. Exhibit 97.1 to the Registrant's Annual Report on Form 10-K for the year ended December 31, 2023. </w:t>
              </w:r>
            </w:hyperlink>
          </w:p>
        </w:tc>
      </w:tr>
      <w:tr>
        <w:trPr/>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99.1*</w:t>
            </w:r>
          </w:p>
        </w:tc>
        <w:tc>
          <w:tcPr>
            <w:tcW w:w="963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r:id="rId81">
              <w:r>
                <w:rPr>
                  <w:rStyle w:val="InternetLink"/>
                  <w:rFonts w:ascii="Times New Roman;serif" w:hAnsi="Times New Roman;serif"/>
                  <w:b w:val="false"/>
                  <w:color w:val="0000FF"/>
                  <w:sz w:val="18"/>
                  <w:u w:val="single"/>
                </w:rPr>
                <w:t>Excerpt from Pension-Retirement Plan relating to preservation of assets of the Pension-Retirement Plan upon a change in control.  Exhibit 99(a) to the Registrant’s Annual Report on Form 10-K for the year ended December 31, 2008.</w:t>
              </w:r>
            </w:hyperlink>
          </w:p>
        </w:tc>
      </w:tr>
      <w:tr>
        <w:trPr/>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31445"/>
                <wp:effectExtent l="0" t="0" r="0" b="0"/>
                <wp:wrapNone/>
                <wp:docPr id="129" name="Frame12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126</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1"/>
        <w:gridCol w:w="124"/>
        <w:gridCol w:w="126"/>
        <w:gridCol w:w="1525"/>
        <w:gridCol w:w="1525"/>
        <w:gridCol w:w="1525"/>
        <w:gridCol w:w="1525"/>
        <w:gridCol w:w="1525"/>
        <w:gridCol w:w="2189"/>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2189"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w:t>
            </w:r>
          </w:p>
        </w:tc>
        <w:tc>
          <w:tcPr>
            <w:tcW w:w="9814"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Interactive Data File (Annual Report on Form 10-K for the year ended December 31, 2025, formatted in iXBRL (Inline Extensible Business Reporting Language)).</w:t>
            </w:r>
          </w:p>
          <w:p>
            <w:pPr>
              <w:pStyle w:val="TableContents"/>
              <w:bidi w:val="0"/>
              <w:spacing w:lineRule="auto" w:line="240" w:before="0" w:after="0"/>
              <w:jc w:val="left"/>
              <w:rPr>
                <w:color w:val="000000"/>
              </w:rPr>
            </w:pPr>
            <w:r>
              <w:rPr>
                <w:color w:val="000000"/>
              </w:rPr>
              <w:t> </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Attached as Exhibit 101 to this report are the following documents formatted in XBRL:  (i) the Consolidated Balance Sheets at December 31, 2025, and December 31, 2024, (ii)  the Consolidated Statements of Operations for the years ended December 31, 2025, 2024 and 2023, (iii) the Consolidated Statements of Comprehensive Income (Loss) for the years ended December 31, 2025, 2024 and 2023, (iv) the Consolidated Statements of Equity for the years ended December 31, 2025, 2024 and 2023, (v) the Consolidated Statements of Cash Flows for the years ended December 31, 2025, 2024 and 2023, and (vi) the Notes to Consolidated Financial Statements, tagged as blocks of text. Users of this data are advised pursuant to Rule 406T of Regulation S-T that this interactive data file is deemed not filed or part of a registration statement or prospectus for purposes of sections 11 or 12 of the Securities Act of 1933, is deemed not filed for purposes of section 18 of the Securities Exchange Act of 1934, and otherwise is not subject to liability under these sections.</w:t>
            </w:r>
          </w:p>
        </w:tc>
      </w:tr>
      <w:tr>
        <w:trPr/>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981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formatted in iXBRL (included within Exhibit 101)</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*Management contract or compensatory plan or arrangement.</w:t>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18"/>
        </w:rPr>
        <w:t>Certain schedules attached to the Stock Purchase Agreements and Stock Purchase Agreement Amendment have been omitted pursuant to Item 601(b)(2) of Regulation S-K. The Company will furnish the omitted schedules to the Securities and Exchange Commission upon request by the Commission.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31445"/>
                <wp:effectExtent l="0" t="0" r="0" b="0"/>
                <wp:wrapNone/>
                <wp:docPr id="130" name="Frame12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Signatures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Pursuant to the requirements of Section 13 or 15(d) of the Securities Exchange Act of 1934, the Registrant has duly caused this report to be signed on its behalf by the undersigned, thereunto duly authorized, on February 26, 2026.</w:t>
      </w:r>
    </w:p>
    <w:tbl>
      <w:tblPr>
        <w:tblW w:w="255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553"/>
        <w:gridCol w:w="553"/>
        <w:gridCol w:w="7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Brink’s Company</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(Registrant)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/s/ Mark Eubanks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Mark Eubanks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(President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Chief Executive Officer)</w:t>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Pursuant to the requirements of the Securities Exchange Act of 1934, this report has been signed below by the following persons on behalf of the Registrant and in the capacities indicated, on February 26, 2026.</w:t>
      </w:r>
    </w:p>
    <w:tbl>
      <w:tblPr>
        <w:tblW w:w="5010" w:type="dxa"/>
        <w:jc w:val="left"/>
        <w:tblInd w:w="0" w:type="dxa"/>
        <w:tblLayout w:type="fixed"/>
        <w:tblCellMar>
          <w:top w:w="28" w:type="dxa"/>
          <w:left w:w="28" w:type="dxa"/>
          <w:bottom w:w="28" w:type="dxa"/>
          <w:right w:w="28" w:type="dxa"/>
        </w:tblCellMar>
      </w:tblPr>
      <w:tblGrid>
        <w:gridCol w:w="613"/>
        <w:gridCol w:w="539"/>
        <w:gridCol w:w="543"/>
        <w:gridCol w:w="966"/>
        <w:gridCol w:w="966"/>
        <w:gridCol w:w="1383"/>
      </w:tblGrid>
      <w:tr>
        <w:trPr/>
        <w:tc>
          <w:tcPr>
            <w:tcW w:w="61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Signature</w:t>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Title</w:t>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/s/ Mark Eubanks</w:t>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President</w:t>
              <w:br/>
              <w:t>and Chief Executive Officer</w:t>
              <w:br/>
              <w:t>(Principal Executive Officer)</w:t>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Mark Eubanks</w:t>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/s/  Kurt B. McMaken</w:t>
            </w:r>
          </w:p>
        </w:tc>
        <w:tc>
          <w:tcPr>
            <w:tcW w:w="33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Executive Vice President</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and Chief Financial Officer</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(Principal Financial and Accounting Officer)</w:t>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Kurt B. McMaken</w:t>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/s/ Kathie J. Andrade</w:t>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Director</w:t>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Kathie J. Andrade</w:t>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/s/ Paul G. Boynton</w:t>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Director</w:t>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Paul G. Boynton</w:t>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/s/ Ian D. Clough</w:t>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Director</w:t>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Ian D. Clough</w:t>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/s/ Susan E. Docherty</w:t>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Director</w:t>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Susan E. Docherty</w:t>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/s/ Michael J. Herling</w:t>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Director</w:t>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Michael J. Herling</w:t>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/s/ A. Louis Parker</w:t>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Director</w:t>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 Louis Parker</w:t>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/s/ Timothy J. Tynan</w:t>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Director</w:t>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Timothy J. Tynan</w:t>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/s/ Keith R. Wyche</w:t>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Director</w:t>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Keith R. Wyche</w:t>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3.2</w:t>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31445"/>
                <wp:effectExtent l="0" t="0" r="0" b="0"/>
                <wp:wrapNone/>
                <wp:docPr id="131" name="Frame13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37.5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128</w:t>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THE BRINK’S COMPANY</w:t>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AMENDED AND RESTATED BYLAWS</w:t>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color w:val="000000"/>
          <w:sz w:val="24"/>
          <w:u w:val="single"/>
        </w:rPr>
      </w:pPr>
      <w:r>
        <w:rPr>
          <w:rFonts w:ascii="Times New Roman;serif" w:hAnsi="Times New Roman;serif"/>
          <w:b/>
          <w:color w:val="000000"/>
          <w:sz w:val="24"/>
          <w:u w:val="single"/>
        </w:rPr>
        <w:t>ARTICLE I</w:t>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color w:val="000000"/>
          <w:sz w:val="24"/>
          <w:u w:val="single"/>
        </w:rPr>
      </w:pPr>
      <w:r>
        <w:rPr>
          <w:rFonts w:ascii="Times New Roman;serif" w:hAnsi="Times New Roman;serif"/>
          <w:b/>
          <w:color w:val="000000"/>
          <w:sz w:val="24"/>
          <w:u w:val="single"/>
        </w:rPr>
        <w:t>NAME</w:t>
      </w:r>
    </w:p>
    <w:p>
      <w:pPr>
        <w:pStyle w:val="TextBody"/>
        <w:bidi w:val="0"/>
        <w:spacing w:before="0" w:after="0"/>
        <w:jc w:val="center"/>
        <w:rPr/>
      </w:pPr>
      <w:r>
        <w:rPr/>
      </w:r>
    </w:p>
    <w:p>
      <w:pPr>
        <w:pStyle w:val="TextBody"/>
        <w:bidi w:val="0"/>
        <w:spacing w:lineRule="auto" w:line="333"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name of the corporation is The Brink’s Company.</w:t>
      </w:r>
    </w:p>
    <w:p>
      <w:pPr>
        <w:pStyle w:val="TextBody"/>
        <w:bidi w:val="0"/>
        <w:spacing w:before="0" w:after="0"/>
        <w:ind w:left="0" w:right="0" w:firstLine="720"/>
        <w:jc w:val="left"/>
        <w:rPr/>
      </w:pPr>
      <w:r>
        <w:rPr/>
      </w:r>
    </w:p>
    <w:p>
      <w:pPr>
        <w:pStyle w:val="TextBody"/>
        <w:bidi w:val="0"/>
        <w:spacing w:lineRule="auto" w:line="333" w:before="0" w:after="0"/>
        <w:jc w:val="center"/>
        <w:rPr/>
      </w:pPr>
      <w:r>
        <w:rPr>
          <w:rFonts w:ascii="Times New Roman;serif" w:hAnsi="Times New Roman;serif"/>
          <w:b/>
          <w:color w:val="000000"/>
          <w:sz w:val="24"/>
          <w:u w:val="single"/>
        </w:rPr>
        <w:t>ARTICLE II</w:t>
        <w:br/>
      </w:r>
      <w:r>
        <w:rPr>
          <w:color w:val="000000"/>
        </w:rPr>
        <w:t>     </w:t>
      </w:r>
      <w:r>
        <w:rPr>
          <w:rFonts w:ascii="Times New Roman;serif" w:hAnsi="Times New Roman;serif"/>
          <w:b/>
          <w:color w:val="000000"/>
          <w:sz w:val="24"/>
          <w:u w:val="single"/>
        </w:rPr>
        <w:br/>
        <w:t>OFFICES</w:t>
      </w:r>
    </w:p>
    <w:p>
      <w:pPr>
        <w:pStyle w:val="TextBody"/>
        <w:bidi w:val="0"/>
        <w:spacing w:before="0" w:after="0"/>
        <w:jc w:val="center"/>
        <w:rPr/>
      </w:pPr>
      <w:r>
        <w:rPr/>
      </w:r>
    </w:p>
    <w:p>
      <w:pPr>
        <w:pStyle w:val="TextBody"/>
        <w:bidi w:val="0"/>
        <w:spacing w:lineRule="auto" w:line="333" w:before="0" w:after="0"/>
        <w:ind w:left="0" w:right="0" w:firstLine="720"/>
        <w:jc w:val="left"/>
        <w:rPr/>
      </w:pPr>
      <w:r>
        <w:rPr>
          <w:rFonts w:ascii="Times New Roman;serif" w:hAnsi="Times New Roman;serif"/>
          <w:b w:val="false"/>
          <w:color w:val="000000"/>
          <w:sz w:val="24"/>
        </w:rPr>
        <w:t>1.    </w:t>
      </w:r>
      <w:r>
        <w:rPr>
          <w:rFonts w:ascii="Times New Roman;serif" w:hAnsi="Times New Roman;serif"/>
          <w:b/>
          <w:color w:val="000000"/>
          <w:sz w:val="24"/>
          <w:u w:val="single"/>
        </w:rPr>
        <w:t>Registered Office and Registered Agent</w:t>
      </w:r>
      <w:r>
        <w:rPr>
          <w:rFonts w:ascii="Times New Roman;serif" w:hAnsi="Times New Roman;serif"/>
          <w:b/>
          <w:color w:val="000000"/>
          <w:sz w:val="24"/>
        </w:rPr>
        <w:t>. </w:t>
      </w:r>
      <w:r>
        <w:rPr>
          <w:rFonts w:ascii="Times New Roman;serif" w:hAnsi="Times New Roman;serif"/>
          <w:b w:val="false"/>
          <w:color w:val="000000"/>
          <w:sz w:val="24"/>
        </w:rPr>
        <w:t>The corporation shall maintain a registered office and a registered agent in the Commonwealth of Virginia as required by the laws of said Commonwealth.</w:t>
      </w:r>
    </w:p>
    <w:p>
      <w:pPr>
        <w:pStyle w:val="TextBody"/>
        <w:bidi w:val="0"/>
        <w:spacing w:before="0" w:after="0"/>
        <w:ind w:left="0" w:right="0" w:firstLine="720"/>
        <w:jc w:val="left"/>
        <w:rPr/>
      </w:pPr>
      <w:r>
        <w:rPr/>
      </w:r>
    </w:p>
    <w:p>
      <w:pPr>
        <w:pStyle w:val="TextBody"/>
        <w:bidi w:val="0"/>
        <w:spacing w:lineRule="auto" w:line="333" w:before="0" w:after="0"/>
        <w:ind w:left="0" w:right="0" w:firstLine="720"/>
        <w:jc w:val="left"/>
        <w:rPr/>
      </w:pPr>
      <w:r>
        <w:rPr>
          <w:rFonts w:ascii="Times New Roman;serif" w:hAnsi="Times New Roman;serif"/>
          <w:b w:val="false"/>
          <w:color w:val="000000"/>
          <w:sz w:val="24"/>
        </w:rPr>
        <w:t>2.    </w:t>
      </w:r>
      <w:r>
        <w:rPr>
          <w:rFonts w:ascii="Times New Roman;serif" w:hAnsi="Times New Roman;serif"/>
          <w:b/>
          <w:color w:val="000000"/>
          <w:sz w:val="24"/>
          <w:u w:val="single"/>
        </w:rPr>
        <w:t>Other Offices</w:t>
      </w:r>
      <w:r>
        <w:rPr>
          <w:rFonts w:ascii="Times New Roman;serif" w:hAnsi="Times New Roman;serif"/>
          <w:b/>
          <w:color w:val="000000"/>
          <w:sz w:val="24"/>
        </w:rPr>
        <w:t>.</w:t>
      </w:r>
      <w:r>
        <w:rPr>
          <w:color w:val="000000"/>
        </w:rPr>
        <w:t> </w:t>
      </w:r>
      <w:r>
        <w:rPr>
          <w:rFonts w:ascii="Times New Roman;serif" w:hAnsi="Times New Roman;serif"/>
          <w:b w:val="false"/>
          <w:color w:val="000000"/>
          <w:sz w:val="24"/>
        </w:rPr>
        <w:t>The corporation shall in addition to its registered office in the Commonwealth of Virginia establish and maintain an office or offices at such place or places as the Board of Directors may from time to time find necessary or desirable.</w:t>
      </w:r>
    </w:p>
    <w:p>
      <w:pPr>
        <w:pStyle w:val="TextBody"/>
        <w:bidi w:val="0"/>
        <w:spacing w:before="0" w:after="0"/>
        <w:ind w:left="0" w:right="0" w:firstLine="720"/>
        <w:jc w:val="left"/>
        <w:rPr/>
      </w:pPr>
      <w:r>
        <w:rPr/>
      </w:r>
    </w:p>
    <w:p>
      <w:pPr>
        <w:pStyle w:val="TextBody"/>
        <w:bidi w:val="0"/>
        <w:spacing w:lineRule="auto" w:line="333" w:before="0" w:after="0"/>
        <w:jc w:val="center"/>
        <w:rPr>
          <w:rFonts w:ascii="Times New Roman;serif" w:hAnsi="Times New Roman;serif"/>
          <w:b/>
          <w:color w:val="000000"/>
          <w:sz w:val="24"/>
          <w:u w:val="single"/>
        </w:rPr>
      </w:pPr>
      <w:r>
        <w:rPr>
          <w:rFonts w:ascii="Times New Roman;serif" w:hAnsi="Times New Roman;serif"/>
          <w:b/>
          <w:color w:val="000000"/>
          <w:sz w:val="24"/>
          <w:u w:val="single"/>
        </w:rPr>
        <w:t>ARTICLE III</w:t>
        <w:br/>
        <w:br/>
        <w:t>CORPORATE SEAL</w:t>
      </w:r>
    </w:p>
    <w:p>
      <w:pPr>
        <w:pStyle w:val="TextBody"/>
        <w:bidi w:val="0"/>
        <w:spacing w:before="0" w:after="0"/>
        <w:jc w:val="center"/>
        <w:rPr/>
      </w:pPr>
      <w:r>
        <w:rPr/>
      </w:r>
    </w:p>
    <w:p>
      <w:pPr>
        <w:pStyle w:val="TextBody"/>
        <w:bidi w:val="0"/>
        <w:spacing w:lineRule="auto" w:line="333"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corporate seal of the corporation shall have inscribed thereon the name of the corporation, the fact of its establishment in the Commonwealth of Virginia and the words “Corporate Seal.” Such seal may be used by causing it or a facsimile thereof to be impressed, affixed, printed or otherwise reproduced.</w:t>
      </w:r>
    </w:p>
    <w:p>
      <w:pPr>
        <w:pStyle w:val="TextBody"/>
        <w:bidi w:val="0"/>
        <w:spacing w:before="0" w:after="0"/>
        <w:ind w:left="0" w:right="0" w:firstLine="720"/>
        <w:jc w:val="left"/>
        <w:rPr/>
      </w:pPr>
      <w:r>
        <w:rPr/>
      </w:r>
    </w:p>
    <w:p>
      <w:pPr>
        <w:pStyle w:val="TextBody"/>
        <w:bidi w:val="0"/>
        <w:spacing w:lineRule="auto" w:line="333" w:before="0" w:after="0"/>
        <w:jc w:val="center"/>
        <w:rPr/>
      </w:pPr>
      <w:r>
        <w:rPr>
          <w:rFonts w:ascii="Times New Roman;serif" w:hAnsi="Times New Roman;serif"/>
          <w:b/>
          <w:color w:val="000000"/>
          <w:sz w:val="24"/>
          <w:u w:val="single"/>
        </w:rPr>
        <w:t>ARTICLE IV</w:t>
        <w:br/>
      </w:r>
      <w:r>
        <w:rPr>
          <w:color w:val="000000"/>
        </w:rPr>
        <w:t>     </w:t>
      </w:r>
      <w:r>
        <w:rPr>
          <w:rFonts w:ascii="Times New Roman;serif" w:hAnsi="Times New Roman;serif"/>
          <w:b w:val="false"/>
          <w:color w:val="000000"/>
          <w:sz w:val="24"/>
        </w:rPr>
        <w:br/>
      </w:r>
      <w:r>
        <w:rPr>
          <w:rFonts w:ascii="Times New Roman;serif" w:hAnsi="Times New Roman;serif"/>
          <w:b/>
          <w:color w:val="000000"/>
          <w:sz w:val="24"/>
          <w:u w:val="single"/>
        </w:rPr>
        <w:t>MEETINGS OF SHAREHOLDERS</w:t>
      </w:r>
    </w:p>
    <w:p>
      <w:pPr>
        <w:pStyle w:val="TextBody"/>
        <w:bidi w:val="0"/>
        <w:spacing w:before="0" w:after="0"/>
        <w:jc w:val="center"/>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1.    </w:t>
      </w:r>
      <w:r>
        <w:rPr>
          <w:rFonts w:ascii="Times New Roman;serif" w:hAnsi="Times New Roman;serif"/>
          <w:b/>
          <w:color w:val="000000"/>
          <w:sz w:val="24"/>
          <w:u w:val="single"/>
        </w:rPr>
        <w:t>Places of Meetings</w:t>
      </w:r>
      <w:r>
        <w:rPr>
          <w:rFonts w:ascii="Times New Roman;serif" w:hAnsi="Times New Roman;serif"/>
          <w:b w:val="false"/>
          <w:color w:val="000000"/>
          <w:sz w:val="24"/>
        </w:rPr>
        <w:t>. Meetings of the shareholders shall be held at such place, within or without the Commonwealth of Virginia, or at no physical place but solely by means of remote communication, in each case, as the Board of Directors may in its discretion determine.</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385445"/>
                <wp:effectExtent l="0" t="0" r="0" b="0"/>
                <wp:wrapNone/>
                <wp:docPr id="132" name="Frame13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ind w:left="0" w:right="0" w:firstLine="720"/>
        <w:jc w:val="left"/>
        <w:rPr/>
      </w:pPr>
      <w:r>
        <w:rPr>
          <w:rFonts w:ascii="Times New Roman;serif" w:hAnsi="Times New Roman;serif"/>
          <w:b w:val="false"/>
          <w:color w:val="000000"/>
          <w:sz w:val="24"/>
        </w:rPr>
        <w:t>2.    </w:t>
      </w:r>
      <w:r>
        <w:rPr>
          <w:rFonts w:ascii="Times New Roman;serif" w:hAnsi="Times New Roman;serif"/>
          <w:b/>
          <w:color w:val="000000"/>
          <w:sz w:val="24"/>
          <w:u w:val="single"/>
        </w:rPr>
        <w:t>Quorum</w:t>
      </w:r>
      <w:r>
        <w:rPr>
          <w:rFonts w:ascii="Times New Roman;serif" w:hAnsi="Times New Roman;serif"/>
          <w:b/>
          <w:color w:val="000000"/>
          <w:sz w:val="24"/>
        </w:rPr>
        <w:t>.</w:t>
      </w:r>
      <w:r>
        <w:rPr>
          <w:color w:val="000000"/>
        </w:rPr>
        <w:t> </w:t>
      </w:r>
      <w:r>
        <w:rPr>
          <w:rFonts w:ascii="Times New Roman;serif" w:hAnsi="Times New Roman;serif"/>
          <w:b w:val="false"/>
          <w:color w:val="000000"/>
          <w:sz w:val="24"/>
        </w:rPr>
        <w:t>A majority of the votes entitled to be cast by a voting group on a matter shall constitute a quorum of the voting group for action on that matter at any meeting of the shareholders, except as otherwise provided by statute, the Articles of Incorporation or these bylaws. The shareholders entitled to vote thereat, present in person or by proxy, or the chairman of the meeting shall have power to adjourn or postpone any meeting of the shareholders from time to time, without notice other than announcement at the meeting before adjournment and without notice before postponement (except as otherwise provided by statute). At such adjourned or postponed meeting any business may be transacted that might have been transacted at the meeting as originally notified.</w:t>
      </w:r>
    </w:p>
    <w:p>
      <w:pPr>
        <w:pStyle w:val="TextBody"/>
        <w:bidi w:val="0"/>
        <w:spacing w:before="0" w:after="0"/>
        <w:ind w:left="0" w:right="0" w:firstLine="720"/>
        <w:jc w:val="left"/>
        <w:rPr/>
      </w:pPr>
      <w:r>
        <w:rPr/>
      </w:r>
    </w:p>
    <w:p>
      <w:pPr>
        <w:pStyle w:val="TextBody"/>
        <w:bidi w:val="0"/>
        <w:spacing w:lineRule="auto" w:line="333" w:before="0" w:after="0"/>
        <w:ind w:left="0" w:right="0" w:firstLine="720"/>
        <w:jc w:val="left"/>
        <w:rPr/>
      </w:pPr>
      <w:r>
        <w:rPr>
          <w:rFonts w:ascii="Times New Roman;serif" w:hAnsi="Times New Roman;serif"/>
          <w:b w:val="false"/>
          <w:color w:val="000000"/>
          <w:sz w:val="24"/>
        </w:rPr>
        <w:t>3.    </w:t>
      </w:r>
      <w:r>
        <w:rPr>
          <w:rFonts w:ascii="Times New Roman;serif" w:hAnsi="Times New Roman;serif"/>
          <w:b/>
          <w:color w:val="000000"/>
          <w:sz w:val="24"/>
          <w:u w:val="single"/>
        </w:rPr>
        <w:t>Right to Vote; Written Authorization</w:t>
      </w:r>
      <w:r>
        <w:rPr>
          <w:rFonts w:ascii="Times New Roman;serif" w:hAnsi="Times New Roman;serif"/>
          <w:b/>
          <w:color w:val="000000"/>
          <w:sz w:val="24"/>
        </w:rPr>
        <w:t>.</w:t>
      </w:r>
      <w:r>
        <w:rPr>
          <w:color w:val="000000"/>
        </w:rPr>
        <w:t> </w:t>
      </w:r>
      <w:r>
        <w:rPr>
          <w:rFonts w:ascii="Times New Roman;serif" w:hAnsi="Times New Roman;serif"/>
          <w:b w:val="false"/>
          <w:color w:val="000000"/>
          <w:sz w:val="24"/>
        </w:rPr>
        <w:t>At any meeting of the shareholders each shareholder having the right to vote shall be entitled to vote in person, or by proxy. Appointment of a proxy may be accomplished by the shareholder or such shareholder’s duly authorized attorney-in-fact or authorized officer, director, employee or agent signing an appointment form authorizing another person or persons to act for the shareholder as proxy or causing such shareholder’s signature to be affixed to such appointment form by any reasonable means, including, but not limited to, by facsimile signature. Any such appointment form shall bear a date not more than eleven months prior to said meeting, unless such appointment form provides for a longer period. All appointment forms shall be effective when received by the Secretary or other officer or agent of the corporation authorized to tabulate votes.</w:t>
      </w:r>
    </w:p>
    <w:p>
      <w:pPr>
        <w:pStyle w:val="TextBody"/>
        <w:bidi w:val="0"/>
        <w:spacing w:before="0" w:after="0"/>
        <w:ind w:left="0" w:right="0" w:firstLine="720"/>
        <w:jc w:val="left"/>
        <w:rPr/>
      </w:pPr>
      <w:r>
        <w:rPr/>
      </w:r>
    </w:p>
    <w:p>
      <w:pPr>
        <w:pStyle w:val="TextBody"/>
        <w:bidi w:val="0"/>
        <w:spacing w:lineRule="auto" w:line="333" w:before="0" w:after="0"/>
        <w:ind w:left="0" w:right="0" w:firstLine="720"/>
        <w:jc w:val="left"/>
        <w:rPr/>
      </w:pPr>
      <w:r>
        <w:rPr>
          <w:rFonts w:ascii="Times New Roman;serif" w:hAnsi="Times New Roman;serif"/>
          <w:b w:val="false"/>
          <w:color w:val="000000"/>
          <w:sz w:val="24"/>
        </w:rPr>
        <w:t>4.    </w:t>
      </w:r>
      <w:r>
        <w:rPr>
          <w:rFonts w:ascii="Times New Roman;serif" w:hAnsi="Times New Roman;serif"/>
          <w:b/>
          <w:color w:val="000000"/>
          <w:sz w:val="24"/>
          <w:u w:val="single"/>
        </w:rPr>
        <w:t>Electronic Authorization</w:t>
      </w:r>
      <w:r>
        <w:rPr>
          <w:rFonts w:ascii="Times New Roman;serif" w:hAnsi="Times New Roman;serif"/>
          <w:b/>
          <w:color w:val="000000"/>
          <w:sz w:val="24"/>
        </w:rPr>
        <w:t>.</w:t>
      </w:r>
      <w:r>
        <w:rPr>
          <w:color w:val="000000"/>
        </w:rPr>
        <w:t> </w:t>
      </w:r>
      <w:r>
        <w:rPr>
          <w:rFonts w:ascii="Times New Roman;serif" w:hAnsi="Times New Roman;serif"/>
          <w:b w:val="false"/>
          <w:color w:val="000000"/>
          <w:sz w:val="24"/>
        </w:rPr>
        <w:t>The Chief Executive Officer or the Secretary may approve procedures to enable a shareholder or a shareholder’s duly authorized attorney-in-fact to authorize another person or persons to act for him or her as proxy by transmitting or authorizing the transmission of a telegram, cablegram, internet transmission, telephone transmission or other means of electronic transmission to the person who will be the holder of the proxy or to a proxy solicitation firm, proxy support service organization or like agent duly authorized by the person who will be the holder of the proxy to receive such transmission, provided that any such transmission must either set forth or be submitted with information from which the inspectors of election can determine that the transmission was authorized by the shareholder or the shareholder’s duly authorized attorney-in-fact. If it is determined that such transmissions are valid, the inspectors shall specify the information upon which they relied. Any copy, facsimile telecommunication or other reliable reproduction of the writing or transmission created pursuant to this Section may be substituted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385445"/>
                <wp:effectExtent l="0" t="0" r="0" b="0"/>
                <wp:wrapNone/>
                <wp:docPr id="133" name="Frame13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ind w:left="0" w:right="0" w:firstLine="720"/>
        <w:jc w:val="left"/>
        <w:rPr/>
      </w:pPr>
      <w:r>
        <w:rPr>
          <w:rFonts w:ascii="Times New Roman;serif" w:hAnsi="Times New Roman;serif"/>
          <w:b w:val="false"/>
          <w:color w:val="000000"/>
          <w:sz w:val="24"/>
        </w:rPr>
        <w:t>5.    </w:t>
      </w:r>
      <w:r>
        <w:rPr>
          <w:rFonts w:ascii="Times New Roman;serif" w:hAnsi="Times New Roman;serif"/>
          <w:b/>
          <w:color w:val="000000"/>
          <w:sz w:val="24"/>
          <w:u w:val="single"/>
        </w:rPr>
        <w:t>Voting</w:t>
      </w:r>
      <w:r>
        <w:rPr>
          <w:rFonts w:ascii="Times New Roman;serif" w:hAnsi="Times New Roman;serif"/>
          <w:b/>
          <w:color w:val="000000"/>
          <w:sz w:val="24"/>
        </w:rPr>
        <w:t>.</w:t>
      </w:r>
      <w:r>
        <w:rPr>
          <w:color w:val="000000"/>
        </w:rPr>
        <w:t> </w:t>
      </w:r>
      <w:r>
        <w:rPr>
          <w:rFonts w:ascii="Times New Roman;serif" w:hAnsi="Times New Roman;serif"/>
          <w:b w:val="false"/>
          <w:color w:val="000000"/>
          <w:sz w:val="24"/>
        </w:rPr>
        <w:t>Except as otherwise provided in the Articles of Incorporation, at each meeting of the shareholders each shareholder shall have one vote for each share having voting power, registered in the shareholder’s name on the share transfer books of the corporation at the record date fixed in accordance with these bylaws, or otherwise determined, with respect to such meeting. Except as otherwise expressly provided by statute, the Articles of Incorporation or these bylaws, any proposed action, other than the election of directors, by a voting group is approved if a quorum of the voting group exists and the votes cast within the voting group favoring the action exceed the votes cast opposing the action.</w:t>
      </w:r>
    </w:p>
    <w:p>
      <w:pPr>
        <w:pStyle w:val="TextBody"/>
        <w:bidi w:val="0"/>
        <w:spacing w:before="0" w:after="0"/>
        <w:ind w:left="0" w:right="0" w:firstLine="720"/>
        <w:jc w:val="left"/>
        <w:rPr/>
      </w:pPr>
      <w:r>
        <w:rPr/>
      </w:r>
    </w:p>
    <w:p>
      <w:pPr>
        <w:pStyle w:val="TextBody"/>
        <w:bidi w:val="0"/>
        <w:spacing w:lineRule="auto" w:line="333" w:before="0" w:after="0"/>
        <w:ind w:left="0" w:right="0" w:firstLine="720"/>
        <w:jc w:val="left"/>
        <w:rPr/>
      </w:pPr>
      <w:r>
        <w:rPr>
          <w:rFonts w:ascii="Times New Roman;serif" w:hAnsi="Times New Roman;serif"/>
          <w:b w:val="false"/>
          <w:color w:val="000000"/>
          <w:sz w:val="24"/>
        </w:rPr>
        <w:t>6.    </w:t>
      </w:r>
      <w:r>
        <w:rPr>
          <w:rFonts w:ascii="Times New Roman;serif" w:hAnsi="Times New Roman;serif"/>
          <w:b/>
          <w:color w:val="000000"/>
          <w:sz w:val="24"/>
          <w:u w:val="single"/>
        </w:rPr>
        <w:t>Notice of Meetings</w:t>
      </w:r>
      <w:r>
        <w:rPr>
          <w:rFonts w:ascii="Times New Roman;serif" w:hAnsi="Times New Roman;serif"/>
          <w:b/>
          <w:color w:val="000000"/>
          <w:sz w:val="24"/>
        </w:rPr>
        <w:t>.</w:t>
      </w:r>
      <w:r>
        <w:rPr>
          <w:color w:val="000000"/>
        </w:rPr>
        <w:t> </w:t>
      </w:r>
      <w:r>
        <w:rPr>
          <w:rFonts w:ascii="Times New Roman;serif" w:hAnsi="Times New Roman;serif"/>
          <w:b w:val="false"/>
          <w:color w:val="000000"/>
          <w:sz w:val="24"/>
        </w:rPr>
        <w:t>Except as otherwise prescribed by statute, notice of any meeting of the shareholders shall be given to each shareholder entitled to vote thereat not less than 10 nor more than 60 days before the meeting. Such notice shall state the date, time and place or means of remote communication, if authorized by the Board of Directors, of the meeting and, in the case of a special meeting, the purpose or purposes for which the meeting is called.</w:t>
      </w:r>
    </w:p>
    <w:p>
      <w:pPr>
        <w:pStyle w:val="TextBody"/>
        <w:bidi w:val="0"/>
        <w:spacing w:before="0" w:after="0"/>
        <w:ind w:left="0" w:right="0" w:firstLine="720"/>
        <w:jc w:val="left"/>
        <w:rPr/>
      </w:pPr>
      <w:r>
        <w:rPr/>
      </w:r>
    </w:p>
    <w:p>
      <w:pPr>
        <w:pStyle w:val="TextBody"/>
        <w:bidi w:val="0"/>
        <w:spacing w:lineRule="auto" w:line="333" w:before="0" w:after="0"/>
        <w:ind w:left="0" w:right="0" w:firstLine="720"/>
        <w:jc w:val="left"/>
        <w:rPr/>
      </w:pPr>
      <w:r>
        <w:rPr>
          <w:rFonts w:ascii="Times New Roman;serif" w:hAnsi="Times New Roman;serif"/>
          <w:b w:val="false"/>
          <w:color w:val="000000"/>
          <w:sz w:val="24"/>
        </w:rPr>
        <w:t>7.    </w:t>
      </w:r>
      <w:r>
        <w:rPr>
          <w:rFonts w:ascii="Times New Roman;serif" w:hAnsi="Times New Roman;serif"/>
          <w:b/>
          <w:color w:val="000000"/>
          <w:sz w:val="24"/>
          <w:u w:val="single"/>
        </w:rPr>
        <w:t>Electronic Transmission of Notice</w:t>
      </w:r>
      <w:r>
        <w:rPr>
          <w:rFonts w:ascii="Times New Roman;serif" w:hAnsi="Times New Roman;serif"/>
          <w:b/>
          <w:color w:val="000000"/>
          <w:sz w:val="24"/>
        </w:rPr>
        <w:t>.</w:t>
      </w:r>
      <w:r>
        <w:rPr>
          <w:color w:val="000000"/>
        </w:rPr>
        <w:t> </w:t>
      </w:r>
      <w:r>
        <w:rPr>
          <w:rFonts w:ascii="Times New Roman;serif" w:hAnsi="Times New Roman;serif"/>
          <w:b w:val="false"/>
          <w:color w:val="000000"/>
          <w:sz w:val="24"/>
        </w:rPr>
        <w:t>Without limiting the manner by which notice otherwise may be given effectively to shareholders, any notice to shareholders given by the corporation, under any provision of the Virginia Stock Corporation Act, the Articles of Incorporation or these bylaws, shall be effective if given by a form of electronic transmission consented to by the shareholder to whom the notice is given. Any such consent shall be revocable by the shareholder by written notice to the corporation. Any such consent shall be deemed revoked if (i) the corporation is unable to deliver by electronic transmission two consecutive notices given by the corporation in accordance with such consent and (ii) such inability becomes known to the Secretary or an Assistant Secretary of the corporation or to the transfer agent, or other person responsible for the giving of notice; </w:t>
      </w:r>
      <w:r>
        <w:rPr>
          <w:rFonts w:ascii="Times New Roman;serif" w:hAnsi="Times New Roman;serif"/>
          <w:b w:val="false"/>
          <w:i/>
          <w:color w:val="000000"/>
          <w:sz w:val="24"/>
        </w:rPr>
        <w:t>provided, however,</w:t>
      </w:r>
      <w:r>
        <w:rPr>
          <w:color w:val="000000"/>
        </w:rPr>
        <w:t> </w:t>
      </w:r>
      <w:r>
        <w:rPr>
          <w:rFonts w:ascii="Times New Roman;serif" w:hAnsi="Times New Roman;serif"/>
          <w:b w:val="false"/>
          <w:color w:val="000000"/>
          <w:sz w:val="24"/>
        </w:rPr>
        <w:t>the inadvertent failure to treat such inability as a revocation shall not invalidate any meeting or other action. Notice given pursuant to this Section shall be deemed given: (1) if by facsimile telecommunication, when directed to a number at which the shareholder has consented to receive notice; (2) if by electronic mail, when directed to an electronic mail address at which the shareholder has consented to receive notice; (3) if by a posting on an electronic network together with separate notice to the shareholder of such specific posting when such notice is directed to the record address of the shareholder or to such other address at which the shareholder has consented to receive notice, upon the later of such posting or the giving of such separate notice; and (4) if by any other form of electronic transmission, when consented to by the shareholder.</w:t>
      </w:r>
    </w:p>
    <w:p>
      <w:pPr>
        <w:pStyle w:val="TextBody"/>
        <w:bidi w:val="0"/>
        <w:spacing w:before="0" w:after="0"/>
        <w:ind w:left="0" w:right="0" w:firstLine="720"/>
        <w:jc w:val="left"/>
        <w:rPr/>
      </w:pPr>
      <w:r>
        <w:rPr/>
      </w:r>
    </w:p>
    <w:p>
      <w:pPr>
        <w:pStyle w:val="TextBody"/>
        <w:bidi w:val="0"/>
        <w:spacing w:lineRule="auto" w:line="333"/>
        <w:ind w:left="0" w:right="0" w:firstLine="720"/>
        <w:jc w:val="left"/>
        <w:rPr/>
      </w:pPr>
      <w:r>
        <w:rPr>
          <w:rFonts w:ascii="Times New Roman;serif" w:hAnsi="Times New Roman;serif"/>
          <w:b w:val="false"/>
          <w:color w:val="000000"/>
          <w:sz w:val="24"/>
        </w:rPr>
        <w:t>8.    </w:t>
      </w:r>
      <w:r>
        <w:rPr>
          <w:rFonts w:ascii="Times New Roman;serif" w:hAnsi="Times New Roman;serif"/>
          <w:b/>
          <w:color w:val="000000"/>
          <w:sz w:val="24"/>
          <w:u w:val="single"/>
        </w:rPr>
        <w:t>Chairman of the Meeting</w:t>
      </w:r>
      <w:r>
        <w:rPr>
          <w:rFonts w:ascii="Times New Roman;serif" w:hAnsi="Times New Roman;serif"/>
          <w:b/>
          <w:color w:val="000000"/>
          <w:sz w:val="24"/>
        </w:rPr>
        <w:t>.</w:t>
      </w:r>
      <w:r>
        <w:rPr>
          <w:color w:val="000000"/>
        </w:rPr>
        <w:t> </w:t>
      </w:r>
      <w:r>
        <w:rPr>
          <w:rFonts w:ascii="Times New Roman;serif" w:hAnsi="Times New Roman;serif"/>
          <w:b w:val="false"/>
          <w:color w:val="000000"/>
          <w:sz w:val="24"/>
        </w:rPr>
        <w:t xml:space="preserve">The Chairman of the Board or, if the Chairman of the Board is not independent, the Lead Director, shall preside over all meetings of the shareholders. If the Lead Director (if one is in office) is not present, then the Chairman of the Board shall preside and, if the Lead Director and the Chairman of the Board are not present, or if there is </w:t>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385445"/>
                <wp:effectExtent l="0" t="0" r="0" b="0"/>
                <wp:wrapNone/>
                <wp:docPr id="134" name="Frame13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none in office, the Chief Executive Officer shall preside. If the Chairman of the Board, the Lead Director (if one is in office) and the Chief Executive Officer are not present, a Vice President shall preside, or, if none be present, a chairman shall be elected by the meeting. The Secretary shall act as secretary of the meeting, if he or she is present. If he or she is not present, the chairman of the meeting shall appoint a secretary of the meeting. The chairman of the meeting, at his or her discretion, may adjourn or postpone the meeting from time to time, whether or not there is a quorum, and may determine the date, time and place or means of remote communication, if authorized by the Board of Directors, that a meeting so adjourned or postponed is to reconvene. The chairman of the meeting shall prescribe rules of procedure for the meeting, including the order of business, and shall determine the time reasonably allotted to each speaker at the meeting.</w:t>
      </w:r>
    </w:p>
    <w:p>
      <w:pPr>
        <w:pStyle w:val="TextBody"/>
        <w:bidi w:val="0"/>
        <w:spacing w:before="0" w:after="0"/>
        <w:ind w:left="0" w:right="0" w:firstLine="720"/>
        <w:jc w:val="left"/>
        <w:rPr/>
      </w:pPr>
      <w:r>
        <w:rPr/>
      </w:r>
    </w:p>
    <w:p>
      <w:pPr>
        <w:pStyle w:val="TextBody"/>
        <w:bidi w:val="0"/>
        <w:spacing w:lineRule="auto" w:line="333" w:before="0" w:after="0"/>
        <w:ind w:left="0" w:right="0" w:firstLine="720"/>
        <w:jc w:val="left"/>
        <w:rPr/>
      </w:pPr>
      <w:r>
        <w:rPr>
          <w:rFonts w:ascii="Times New Roman;serif" w:hAnsi="Times New Roman;serif"/>
          <w:b w:val="false"/>
          <w:color w:val="000000"/>
          <w:sz w:val="24"/>
        </w:rPr>
        <w:t>9.    </w:t>
      </w:r>
      <w:r>
        <w:rPr>
          <w:rFonts w:ascii="Times New Roman;serif" w:hAnsi="Times New Roman;serif"/>
          <w:b/>
          <w:color w:val="000000"/>
          <w:sz w:val="24"/>
          <w:u w:val="single"/>
        </w:rPr>
        <w:t>Inspectors</w:t>
      </w:r>
      <w:r>
        <w:rPr>
          <w:rFonts w:ascii="Times New Roman;serif" w:hAnsi="Times New Roman;serif"/>
          <w:b/>
          <w:color w:val="000000"/>
          <w:sz w:val="24"/>
        </w:rPr>
        <w:t>.</w:t>
      </w:r>
      <w:r>
        <w:rPr>
          <w:color w:val="000000"/>
        </w:rPr>
        <w:t> </w:t>
      </w:r>
      <w:r>
        <w:rPr>
          <w:rFonts w:ascii="Times New Roman;serif" w:hAnsi="Times New Roman;serif"/>
          <w:b w:val="false"/>
          <w:color w:val="000000"/>
          <w:sz w:val="24"/>
        </w:rPr>
        <w:t>One or more inspectors for any meeting of shareholders shall be appointed by the chairman of such meeting. Inspectors so appointed, shall receive and take charge of proxies and ballots, and shall decide all questions as to the qualifications of voters, validity of proxies and ballots, and the number of votes properly cast.</w:t>
      </w:r>
    </w:p>
    <w:p>
      <w:pPr>
        <w:pStyle w:val="TextBody"/>
        <w:bidi w:val="0"/>
        <w:spacing w:before="0" w:after="0"/>
        <w:ind w:left="0" w:right="0" w:firstLine="720"/>
        <w:jc w:val="left"/>
        <w:rPr/>
      </w:pPr>
      <w:r>
        <w:rPr/>
      </w:r>
    </w:p>
    <w:p>
      <w:pPr>
        <w:pStyle w:val="TextBody"/>
        <w:bidi w:val="0"/>
        <w:spacing w:lineRule="auto" w:line="333"/>
        <w:ind w:left="0" w:right="0" w:firstLine="720"/>
        <w:jc w:val="left"/>
        <w:rPr/>
      </w:pPr>
      <w:r>
        <w:rPr>
          <w:rFonts w:ascii="Times New Roman;serif" w:hAnsi="Times New Roman;serif"/>
          <w:b w:val="false"/>
          <w:color w:val="000000"/>
          <w:sz w:val="24"/>
        </w:rPr>
        <w:t>10.    </w:t>
      </w:r>
      <w:r>
        <w:rPr>
          <w:rFonts w:ascii="Times New Roman;serif" w:hAnsi="Times New Roman;serif"/>
          <w:b/>
          <w:color w:val="000000"/>
          <w:sz w:val="24"/>
          <w:u w:val="single"/>
        </w:rPr>
        <w:t>Annual Meeting of Shareholders</w:t>
      </w:r>
      <w:r>
        <w:rPr>
          <w:rFonts w:ascii="Times New Roman;serif" w:hAnsi="Times New Roman;serif"/>
          <w:b/>
          <w:color w:val="000000"/>
          <w:sz w:val="24"/>
        </w:rPr>
        <w:t>.</w:t>
      </w:r>
      <w:r>
        <w:rPr>
          <w:color w:val="000000"/>
        </w:rPr>
        <w:t> </w:t>
      </w:r>
      <w:r>
        <w:rPr>
          <w:rFonts w:ascii="Times New Roman;serif" w:hAnsi="Times New Roman;serif"/>
          <w:b w:val="false"/>
          <w:color w:val="000000"/>
          <w:sz w:val="24"/>
        </w:rPr>
        <w:t xml:space="preserve">The annual meeting of the shareholders shall be held on such day and at such time as the Board of Directors may determine. At each annual meeting of the shareholders, a nominee for director shall be elected to the Board of Directors if the votes cast for such nominee’s election exceed the votes cast against such nominee’s election; provided, however, that directors shall be elected by a plurality of the votes cast at any meeting of the shareholders for which (i) the Secretary receives a notice that a shareholder has nominated a person for election to the Board in compliance with the advance notice requirements for shareholder nominees for director set forth in Article IV, Section 12 and (ii) such nomination has not been withdrawn by such shareholder on or prior to the 10th day preceding the date the corporation first mails its notice of meeting for such meeting to the shareholders (a “contested election”). If directors are to be elected by a plurality of the votes cast, the shareholders shall not be permitted to vote against a nominee. The Board of Directors has established procedures set forth in the Corporate Governance Guidelines under which in any non-contested election of directors, any incumbent director nominee who receives a greater number of votes cast against his or her election than in favor of his or her election shall tender his or her resignation, and the Board of Directors shall decide, through a process managed by the Committee (as defined in the Corporate Governance Guidelines) whether to accept or reject the resignation, or whether other action should be taken. Any vacancy resulting from the non-election of a director under this Section 10 may be filled by the Board of Directors as provided in Article V. Any other proper business brought in accordance with these Bylaws may be transacted at the annual meeting. The chairman of the meeting shall be authorized to declare whether any business is properly brought before the meeting, and, if he or she shall declare that it is not so brought, such business shall not </w:t>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385445"/>
                <wp:effectExtent l="0" t="0" r="0" b="0"/>
                <wp:wrapNone/>
                <wp:docPr id="135" name="Frame13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be transacted. Without limiting the generality of the foregoing, the chairman of the meeting may declare that matters relating to the conduct of the ordinary business operations of the corporation are not properly brought before the meeting.</w:t>
      </w:r>
    </w:p>
    <w:p>
      <w:pPr>
        <w:pStyle w:val="TextBody"/>
        <w:bidi w:val="0"/>
        <w:spacing w:before="0" w:after="0"/>
        <w:jc w:val="left"/>
        <w:rPr/>
      </w:pPr>
      <w:r>
        <w:rPr/>
      </w:r>
    </w:p>
    <w:p>
      <w:pPr>
        <w:pStyle w:val="TextBody"/>
        <w:bidi w:val="0"/>
        <w:spacing w:lineRule="auto" w:line="333" w:before="0" w:after="0"/>
        <w:ind w:left="0" w:right="0" w:firstLine="720"/>
        <w:jc w:val="left"/>
        <w:rPr/>
      </w:pPr>
      <w:r>
        <w:rPr>
          <w:rFonts w:ascii="Times New Roman;serif" w:hAnsi="Times New Roman;serif"/>
          <w:b w:val="false"/>
          <w:color w:val="000000"/>
          <w:sz w:val="24"/>
        </w:rPr>
        <w:t>11.    </w:t>
      </w:r>
      <w:r>
        <w:rPr>
          <w:rFonts w:ascii="Times New Roman;serif" w:hAnsi="Times New Roman;serif"/>
          <w:b/>
          <w:color w:val="000000"/>
          <w:sz w:val="24"/>
          <w:u w:val="single"/>
        </w:rPr>
        <w:t>Special Meeting of Shareholders</w:t>
      </w:r>
      <w:r>
        <w:rPr>
          <w:rFonts w:ascii="Times New Roman;serif" w:hAnsi="Times New Roman;serif"/>
          <w:b/>
          <w:color w:val="000000"/>
          <w:sz w:val="24"/>
        </w:rPr>
        <w:t>.</w:t>
      </w:r>
      <w:r>
        <w:rPr>
          <w:color w:val="000000"/>
        </w:rPr>
        <w:t> </w:t>
      </w:r>
    </w:p>
    <w:p>
      <w:pPr>
        <w:pStyle w:val="TextBody"/>
        <w:bidi w:val="0"/>
        <w:spacing w:before="0" w:after="0"/>
        <w:ind w:left="0" w:right="0" w:firstLine="720"/>
        <w:jc w:val="left"/>
        <w:rPr/>
      </w:pPr>
      <w:r>
        <w:rPr/>
      </w:r>
    </w:p>
    <w:p>
      <w:pPr>
        <w:pStyle w:val="TextBody"/>
        <w:bidi w:val="0"/>
        <w:spacing w:lineRule="auto" w:line="333"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     A special meeting of the shareholders for any purpose or purposes may be called by the Chairman of the Board, by the Lead Director (if one is in office), by the Board of Directors or by the Chief Executive Officer. Business transacted at any special meeting of the shareholders shall be confined to the purpose or purposes stated in the notice of the meeting.</w:t>
      </w:r>
    </w:p>
    <w:p>
      <w:pPr>
        <w:pStyle w:val="TextBody"/>
        <w:bidi w:val="0"/>
        <w:spacing w:before="0" w:after="0"/>
        <w:ind w:left="0" w:right="0" w:firstLine="720"/>
        <w:jc w:val="left"/>
        <w:rPr/>
      </w:pPr>
      <w:r>
        <w:rPr/>
      </w:r>
    </w:p>
    <w:p>
      <w:pPr>
        <w:pStyle w:val="TextBody"/>
        <w:bidi w:val="0"/>
        <w:spacing w:lineRule="auto" w:line="33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(b)    In addition, a special meeting of the shareholders shall be called by the Secretary following the receipt by the Secretary of a written request for a special meeting of the shareholders (a “Special Meeting Request”) from one or more record holders representing ownership of at least 20% (the “Requisite Percentage”) of the outstanding shares of the corporation’s stock entitled to vote (the “Requisite Holders”) if such Special Meeting Request complies with the requirements set forth in this Section 11. For the purposes of this Section 11, a shareholder shall be deemed to “own” only those outstanding shares of the corporation’s stock as to which such shareholder possesses both (A) the full voting and investment rights pertaining to the shares and (B) the full economic interest in (including the opportunity for profit and risk of loss on) such shares; provided that the number of shares calculated in accordance with clauses (A) and (B) shall not include any shares (1) sold by or on behalf of such shareholder in any transaction that has not been settled or closed, (2) borrowed by or on behalf of such shareholder for any purpose or purchased by such shareholder pursuant to an agreement to resell or (3) subject to any option, warrant, forward contract, swap, contract of sale, other derivative or similar agreement entered into by or on behalf of such shareholder whether any such instrument or agreement is to be settled with shares or with cash based on the notional amount or value of outstanding shares of the corporation’s stock, in any such case which instrument or agreement has, or is intended to have, the purpose or effect of (x) reducing in any manner, to any extent or at any time in the future, such shareholder’s full right to vote or direct the voting of any such shares, and/or (y) hedging, offsetting or altering to any degree gain or loss arising from the full economic ownership of such shares by such shareholder. A shareholder’s ownership of shares shall be deemed to continue during (A) any period in which the shareholder has delegated any voting power by means of a proxy, power of attorney or other instrument or arrangement that is revocable at any time by the shareholder, or (B) has loaned such shares, provided that the person has the power to recall such loaned shares on not more than three business days’ notice. Whether outstanding shares of the corporation’s stock are “owned” for these purposes shall be determined by the Board of Directors, which determination shall be conclusive and binding on the corporation and its shareholders. </w:t>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385445"/>
                <wp:effectExtent l="0" t="0" r="0" b="0"/>
                <wp:wrapNone/>
                <wp:docPr id="136" name="Frame13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(c)    If a Special Meeting Request complies with this Section 11, the Board of Directors shall determine the record date (in accordance with Article XIX herein), place (if any), date and time of the special meeting of shareholders requested in such Special Meeting Request. The date of any such special meeting shall not be more than 90 days after the Secretary’s receipt of the properly submitted Special Meeting Request; provided however, that in the event that a Special Meeting Request is received after the expiration of the advance notice period set forth in Section 12(b), but before the annual meeting of shareholders, the Board of Directors may use its discretion to set the date of a special meeting no more than 10 days following the annual meeting of shareholders. </w:t>
      </w:r>
    </w:p>
    <w:p>
      <w:pPr>
        <w:pStyle w:val="TextBody"/>
        <w:bidi w:val="0"/>
        <w:spacing w:before="0" w:after="0"/>
        <w:ind w:left="0" w:right="0" w:firstLine="720"/>
        <w:jc w:val="left"/>
        <w:rPr/>
      </w:pPr>
      <w:r>
        <w:rPr/>
      </w:r>
    </w:p>
    <w:p>
      <w:pPr>
        <w:pStyle w:val="TextBody"/>
        <w:bidi w:val="0"/>
        <w:spacing w:lineRule="auto" w:line="288"/>
        <w:ind w:left="0" w:right="0" w:firstLine="720"/>
        <w:jc w:val="left"/>
        <w:rPr/>
      </w:pPr>
      <w:r>
        <w:rPr>
          <w:rFonts w:ascii="Times New Roman;serif" w:hAnsi="Times New Roman;serif"/>
          <w:b w:val="false"/>
          <w:color w:val="000000"/>
          <w:sz w:val="24"/>
        </w:rPr>
        <w:t>(d)    A Special Meeting Request must be delivered by hand, by registered U.S. mail (return receipt requested), or by courier service to the attention of the Secretary at the principal office of the corporation (“Proper Delivery”). A Special Meeting Request shall only be valid if it is signed and dated by each of the Requisite Holders (or their duly authorized agents) and if such request includes:</w:t>
      </w:r>
      <w:r>
        <w:rPr>
          <w:color w:val="000000"/>
        </w:rPr>
        <w:t xml:space="preserve"> </w:t>
      </w:r>
      <w:r>
        <w:rPr>
          <w:rFonts w:ascii="Times New Roman;serif" w:hAnsi="Times New Roman;serif"/>
          <w:b w:val="false"/>
          <w:color w:val="000000"/>
          <w:sz w:val="24"/>
        </w:rPr>
        <w:t>(i) if a purpose of the special meeting of shareholders is the election of one or more directors, as to each person who is proposed as a nominee for election as a director, all information relating to such person that is required to be disclosed in solicitations of proxies for election of directors in an election contest, or is otherwise required, in each case pursuant to and in accordance with Regulation 14A under the Securities Exchange Act of 1934, as amended (the “Exchange Act”), regardless of the application of the Exchange Act to such nomination, and such person’s written consent to being named in the proxy statement as nominee and to serving as such a director if elected;</w:t>
      </w:r>
      <w:r>
        <w:rPr>
          <w:color w:val="000000"/>
        </w:rPr>
        <w:t xml:space="preserve"> </w:t>
      </w:r>
      <w:r>
        <w:rPr>
          <w:rFonts w:ascii="Times New Roman;serif" w:hAnsi="Times New Roman;serif"/>
          <w:b w:val="false"/>
          <w:color w:val="000000"/>
          <w:sz w:val="24"/>
        </w:rPr>
        <w:t xml:space="preserve">(ii) as to any other business desired to be brought at the special meeting of shareholders, a brief description of the business desired to be brought before the special meeting of shareholders, the text of the proposal or business (including the text of any resolutions proposed for consideration and in the event that such business includes a proposal to amend the bylaws of the corporation, the language of the proposed amendment), the reasons for conducting such business at the special meeting of shareholders and any material interest in such business of each such Requisite Holder; (iii) the name and address of each Requisite Holder, as they appear on the corporation’s books; (iv) the class and number of shares of capital stock of the corporation that are owned of record by each such Requisite Holder; (v) a representation that one or more of the Requisite Holders intends to appear in person or by proxy at the special meeting of shareholders to propose the business to be conducted at the special meeting of shareholders; (vi) a representation as to whether one or more of the Requisite Holders intend to solicit proxies with respect to any business to be conducted at the special meeting of shareholders; (vii) one or more written statements from the Requisite Holders verifying that, as of a date within seven calendar days prior to the date the Special Meeting Request is delivered to or mailed and received by the corporation, the Requisite Holders own the Requisite Percentage and the Requisite Holders agree to provide, within five business days after the record date for the meeting, written statements verifying the Requisite Holders’ continuous ownership of the Requisite Percentage through the record date for the special meeting of shareholders; (viii) any other information that may be required pursuant to these bylaws, including but not limited to such information, if applicable, which shall be set forth in a shareholder’s notice required by </w:t>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385445"/>
                <wp:effectExtent l="0" t="0" r="0" b="0"/>
                <wp:wrapNone/>
                <wp:docPr id="137" name="Frame13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Article IV, Section 12, or which may be required to be disclosed under the Virginia Stock Corporation Act; (ix) a representation that will update and supplement, if necessary, the Special Meeting Request if there is a material change in the information set forth therein and deliver such update or supplement to the Secretary by Proper Delivery and (x) any other information reasonably requested by the corporation.</w:t>
      </w:r>
    </w:p>
    <w:p>
      <w:pPr>
        <w:pStyle w:val="TextBody"/>
        <w:bidi w:val="0"/>
        <w:spacing w:before="0" w:after="0"/>
        <w:ind w:left="0" w:right="0" w:firstLine="720"/>
        <w:jc w:val="left"/>
        <w:rPr/>
      </w:pPr>
      <w:r>
        <w:rPr/>
      </w:r>
    </w:p>
    <w:p>
      <w:pPr>
        <w:pStyle w:val="TextBody"/>
        <w:bidi w:val="0"/>
        <w:spacing w:lineRule="auto" w:line="333"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(e)    A Special Meeting Request shall not be valid (and thus the special meeting of shareholders requested pursuant to the Special Meeting Request will not be held) if (i) the Special Meeting Request relates to an item of business that is not a proper subject for shareholder action under applicable law; or (ii) the Special Meeting Request was made in a manner that involved a violation of Regulation 14A under the Exchange Act. For purposes of this paragraph, the date of delivery of the Special Meeting Request shall be the first date on which a valid Special Meeting Request in which Requisite Holders representing at least the Requisite Percentage has been delivered to or mailed and received by the corporation by Proper Delivery.</w:t>
      </w:r>
    </w:p>
    <w:p>
      <w:pPr>
        <w:pStyle w:val="TextBody"/>
        <w:bidi w:val="0"/>
        <w:spacing w:before="0" w:after="0"/>
        <w:ind w:left="0" w:right="0" w:firstLine="720"/>
        <w:jc w:val="left"/>
        <w:rPr/>
      </w:pPr>
      <w:r>
        <w:rPr/>
      </w:r>
    </w:p>
    <w:p>
      <w:pPr>
        <w:pStyle w:val="TextBody"/>
        <w:bidi w:val="0"/>
        <w:spacing w:lineRule="auto" w:line="333" w:before="0" w:after="0"/>
        <w:ind w:left="0" w:right="0" w:firstLine="720"/>
        <w:jc w:val="left"/>
        <w:rPr/>
      </w:pPr>
      <w:r>
        <w:rPr>
          <w:rFonts w:ascii="Times New Roman;serif" w:hAnsi="Times New Roman;serif"/>
          <w:b w:val="false"/>
          <w:color w:val="000000"/>
          <w:sz w:val="24"/>
        </w:rPr>
        <w:t xml:space="preserve">(f)    Only matters that are stated in the Special Meeting Request shall be brought before and acted upon during the special meeting of shareholders called according to the Special Meeting Request; </w:t>
      </w:r>
      <w:r>
        <w:rPr>
          <w:rFonts w:ascii="Times New Roman;serif" w:hAnsi="Times New Roman;serif"/>
          <w:b w:val="false"/>
          <w:i/>
          <w:color w:val="000000"/>
          <w:sz w:val="24"/>
        </w:rPr>
        <w:t>provided, however</w:t>
      </w:r>
      <w:r>
        <w:rPr>
          <w:rFonts w:ascii="Times New Roman;serif" w:hAnsi="Times New Roman;serif"/>
          <w:b w:val="false"/>
          <w:color w:val="000000"/>
          <w:sz w:val="24"/>
        </w:rPr>
        <w:t xml:space="preserve">, that nothing herein shall prohibit the Board of Directors from submitting any matters to the shareholders at any special meeting of shareholders called by the shareholders pursuant to this Section 11. </w:t>
      </w:r>
    </w:p>
    <w:p>
      <w:pPr>
        <w:pStyle w:val="TextBody"/>
        <w:bidi w:val="0"/>
        <w:spacing w:before="0" w:after="0"/>
        <w:ind w:left="0" w:right="0" w:firstLine="720"/>
        <w:jc w:val="left"/>
        <w:rPr/>
      </w:pPr>
      <w:r>
        <w:rPr/>
      </w:r>
    </w:p>
    <w:p>
      <w:pPr>
        <w:pStyle w:val="TextBody"/>
        <w:bidi w:val="0"/>
        <w:spacing w:lineRule="auto" w:line="333" w:before="0" w:after="0"/>
        <w:ind w:left="0" w:right="0" w:firstLine="720"/>
        <w:jc w:val="left"/>
        <w:rPr/>
      </w:pPr>
      <w:r>
        <w:rPr>
          <w:rFonts w:ascii="Times New Roman;serif" w:hAnsi="Times New Roman;serif"/>
          <w:b w:val="false"/>
          <w:color w:val="000000"/>
          <w:sz w:val="24"/>
        </w:rPr>
        <w:t xml:space="preserve">(g)    Requisite Holders may revoke a Special Meeting Request by written revocation delivered to the corporation at any time prior to the special meeting of shareholders; </w:t>
      </w:r>
      <w:r>
        <w:rPr>
          <w:rFonts w:ascii="Times New Roman;serif" w:hAnsi="Times New Roman;serif"/>
          <w:b w:val="false"/>
          <w:i/>
          <w:color w:val="000000"/>
          <w:sz w:val="24"/>
        </w:rPr>
        <w:t>provided, however</w:t>
      </w:r>
      <w:r>
        <w:rPr>
          <w:rFonts w:ascii="Times New Roman;serif" w:hAnsi="Times New Roman;serif"/>
          <w:b w:val="false"/>
          <w:color w:val="000000"/>
          <w:sz w:val="24"/>
        </w:rPr>
        <w:t>, the Board of Directors shall have the sole discretion to determine whether to proceed with the special meeting of shareholders following such written revocation. Additionally, a Requisite Holder whose signature (or authorized agent’s signature) appears on a Special Meeting Request may revoke such Requisite Holder’s participation in a Special Meeting Request at any time by written revocation delivered to the Secretary in the same manner as the Special Meeting Request and if, following any such revocation, the remaining Requisite Holders participating in the Special Meeting Request do not represent at least the Requisite Percentage, the Special Meeting Request shall be deemed revoked. Likewise, any reduction in percentage stock ownership of the Requisite Holders below the Requisite Percentage following delivery of the Special Meeting Request to the Secretary shall be deemed to be a revocation of the Special Meeting Request.</w:t>
      </w:r>
    </w:p>
    <w:p>
      <w:pPr>
        <w:pStyle w:val="TextBody"/>
        <w:bidi w:val="0"/>
        <w:spacing w:before="0" w:after="0"/>
        <w:ind w:left="0" w:right="0" w:firstLine="720"/>
        <w:jc w:val="left"/>
        <w:rPr/>
      </w:pPr>
      <w:r>
        <w:rPr/>
      </w:r>
    </w:p>
    <w:p>
      <w:pPr>
        <w:pStyle w:val="TextBody"/>
        <w:bidi w:val="0"/>
        <w:spacing w:lineRule="auto" w:line="333"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(h)    If none of the Requisite Holders appears or sends a representative to present the business or nomination submitted by the shareholders in the Special Meeting Request to be conducted at the special meeting of shareholders, the corporation need not conduct any such business or nomination for a vote at such special meeting of shareholders.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385445"/>
                <wp:effectExtent l="0" t="0" r="0" b="0"/>
                <wp:wrapNone/>
                <wp:docPr id="138" name="Frame13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ind w:left="0" w:right="0" w:firstLine="720"/>
        <w:jc w:val="left"/>
        <w:rPr/>
      </w:pPr>
      <w:r>
        <w:rPr>
          <w:rFonts w:ascii="Times New Roman;serif" w:hAnsi="Times New Roman;serif"/>
          <w:b w:val="false"/>
          <w:color w:val="000000"/>
          <w:sz w:val="24"/>
        </w:rPr>
        <w:t>12.    </w:t>
      </w:r>
      <w:r>
        <w:rPr>
          <w:rFonts w:ascii="Times New Roman;serif" w:hAnsi="Times New Roman;serif"/>
          <w:b/>
          <w:color w:val="000000"/>
          <w:sz w:val="24"/>
          <w:u w:val="single"/>
        </w:rPr>
        <w:t>Advance Notice of Nominations and Shareholder Business</w:t>
      </w:r>
      <w:r>
        <w:rPr>
          <w:rFonts w:ascii="Times New Roman;serif" w:hAnsi="Times New Roman;serif"/>
          <w:b/>
          <w:color w:val="000000"/>
          <w:sz w:val="24"/>
        </w:rPr>
        <w:t>.</w:t>
      </w:r>
      <w:r>
        <w:rPr>
          <w:color w:val="000000"/>
        </w:rPr>
        <w:t> </w:t>
      </w:r>
      <w:r>
        <w:rPr>
          <w:rFonts w:ascii="Times New Roman;serif" w:hAnsi="Times New Roman;serif"/>
          <w:b w:val="false"/>
          <w:color w:val="000000"/>
          <w:sz w:val="24"/>
        </w:rPr>
        <w:t>(a) Nominations of persons for election to the Board of Directors of the corporation and the proposal of business to be considered by the shareholders may be made at an annual meeting of shareholders only (A) pursuant to the corporation’s notice of meeting (or any supplement thereto), (B) by or at the direction of the Board of Directors or (C) by any shareholder of the corporation who was a shareholder of record of the corporation who is entitled to vote at the meeting at the time the notice provided for in this Section 12 is received by the Secretary of the corporation and who complies with the notice procedures set forth in this Section 12. Clause (C) of the immediately preceding sentence shall be the exclusive means for a shareholder to make a nomination or propose business before an annual meeting of shareholders.</w:t>
      </w:r>
    </w:p>
    <w:p>
      <w:pPr>
        <w:pStyle w:val="TextBody"/>
        <w:bidi w:val="0"/>
        <w:spacing w:before="0" w:after="0"/>
        <w:ind w:left="0" w:right="0" w:firstLine="720"/>
        <w:jc w:val="left"/>
        <w:rPr/>
      </w:pPr>
      <w:r>
        <w:rPr/>
      </w:r>
    </w:p>
    <w:p>
      <w:pPr>
        <w:pStyle w:val="TextBody"/>
        <w:bidi w:val="0"/>
        <w:spacing w:lineRule="auto" w:line="333"/>
        <w:ind w:left="0" w:right="0" w:firstLine="1440"/>
        <w:jc w:val="left"/>
        <w:rPr/>
      </w:pPr>
      <w:r>
        <w:rPr>
          <w:rFonts w:ascii="Times New Roman;serif" w:hAnsi="Times New Roman;serif"/>
          <w:b w:val="false"/>
          <w:color w:val="000000"/>
          <w:sz w:val="24"/>
        </w:rPr>
        <w:t>(b)    For nominations or other business to be properly brought before an annual meeting by a shareholder pursuant to paragraph (a) of this Section 12, the shareholder must have given timely notice thereof in writing to the Secretary of the corporation and any such proposed business other than the nominations of persons for election to the Board of Directors must constitute a proper matter for shareholder action. To be timely, a shareholder’s notice must be received by the Secretary at the principal office of the corporation not later than the close of business on the 120</w:t>
      </w:r>
      <w:r>
        <w:rPr>
          <w:rFonts w:ascii="Times New Roman;serif" w:hAnsi="Times New Roman;serif"/>
          <w:b w:val="false"/>
          <w:color w:val="000000"/>
          <w:sz w:val="16"/>
        </w:rPr>
        <w:t>th</w:t>
      </w:r>
      <w:r>
        <w:rPr>
          <w:color w:val="000000"/>
        </w:rPr>
        <w:t> </w:t>
      </w:r>
      <w:r>
        <w:rPr>
          <w:rFonts w:ascii="Times New Roman;serif" w:hAnsi="Times New Roman;serif"/>
          <w:b w:val="false"/>
          <w:color w:val="000000"/>
          <w:sz w:val="24"/>
        </w:rPr>
        <w:t>day nor earlier than the close of business on the 180</w:t>
      </w:r>
      <w:r>
        <w:rPr>
          <w:rFonts w:ascii="Times New Roman;serif" w:hAnsi="Times New Roman;serif"/>
          <w:b w:val="false"/>
          <w:color w:val="000000"/>
          <w:sz w:val="16"/>
        </w:rPr>
        <w:t>th</w:t>
      </w:r>
      <w:r>
        <w:rPr>
          <w:color w:val="000000"/>
        </w:rPr>
        <w:t> </w:t>
      </w:r>
      <w:r>
        <w:rPr>
          <w:rFonts w:ascii="Times New Roman;serif" w:hAnsi="Times New Roman;serif"/>
          <w:b w:val="false"/>
          <w:color w:val="000000"/>
          <w:sz w:val="24"/>
        </w:rPr>
        <w:t>day prior to the first anniversary of the preceding year’s annual meeting; </w:t>
      </w:r>
      <w:r>
        <w:rPr>
          <w:rFonts w:ascii="Times New Roman;serif" w:hAnsi="Times New Roman;serif"/>
          <w:b w:val="false"/>
          <w:i/>
          <w:color w:val="000000"/>
          <w:sz w:val="24"/>
        </w:rPr>
        <w:t>provided, however,</w:t>
      </w:r>
      <w:r>
        <w:rPr>
          <w:color w:val="000000"/>
        </w:rPr>
        <w:t> </w:t>
      </w:r>
      <w:r>
        <w:rPr>
          <w:rFonts w:ascii="Times New Roman;serif" w:hAnsi="Times New Roman;serif"/>
          <w:b w:val="false"/>
          <w:color w:val="000000"/>
          <w:sz w:val="24"/>
        </w:rPr>
        <w:t>that in the event that the date of the annual meeting is more than 30 days before or more than 70 days after such anniversary date, notice by the shareholder must be so delivered not earlier than the close of business on the 180</w:t>
      </w:r>
      <w:r>
        <w:rPr>
          <w:rFonts w:ascii="Times New Roman;serif" w:hAnsi="Times New Roman;serif"/>
          <w:b w:val="false"/>
          <w:color w:val="000000"/>
          <w:sz w:val="16"/>
        </w:rPr>
        <w:t>th</w:t>
      </w:r>
      <w:r>
        <w:rPr>
          <w:color w:val="000000"/>
        </w:rPr>
        <w:t> </w:t>
      </w:r>
      <w:r>
        <w:rPr>
          <w:rFonts w:ascii="Times New Roman;serif" w:hAnsi="Times New Roman;serif"/>
          <w:b w:val="false"/>
          <w:color w:val="000000"/>
          <w:sz w:val="24"/>
        </w:rPr>
        <w:t>day prior to such annual meeting and not later than the close of business on the later of the 120</w:t>
      </w:r>
      <w:r>
        <w:rPr>
          <w:rFonts w:ascii="Times New Roman;serif" w:hAnsi="Times New Roman;serif"/>
          <w:b w:val="false"/>
          <w:color w:val="000000"/>
          <w:sz w:val="16"/>
        </w:rPr>
        <w:t>th</w:t>
      </w:r>
      <w:r>
        <w:rPr>
          <w:color w:val="000000"/>
        </w:rPr>
        <w:t> </w:t>
      </w:r>
      <w:r>
        <w:rPr>
          <w:rFonts w:ascii="Times New Roman;serif" w:hAnsi="Times New Roman;serif"/>
          <w:b w:val="false"/>
          <w:color w:val="000000"/>
          <w:sz w:val="24"/>
        </w:rPr>
        <w:t>day prior to such annual meeting or the 10</w:t>
      </w:r>
      <w:r>
        <w:rPr>
          <w:rFonts w:ascii="Times New Roman;serif" w:hAnsi="Times New Roman;serif"/>
          <w:b w:val="false"/>
          <w:color w:val="000000"/>
          <w:sz w:val="16"/>
        </w:rPr>
        <w:t>th</w:t>
      </w:r>
      <w:r>
        <w:rPr>
          <w:color w:val="000000"/>
        </w:rPr>
        <w:t> </w:t>
      </w:r>
      <w:r>
        <w:rPr>
          <w:rFonts w:ascii="Times New Roman;serif" w:hAnsi="Times New Roman;serif"/>
          <w:b w:val="false"/>
          <w:color w:val="000000"/>
          <w:sz w:val="24"/>
        </w:rPr>
        <w:t xml:space="preserve">day following the day on which public announcement of the date of such meeting is first made by the corporation. In no event shall the public announcement of an adjournment or postponement of an annual meeting commence a new time period, or extend any time period, for the giving of a shareholder’s notice as described above. Such shareholder’s notice shall set forth: (A) as to each person whom the shareholder proposes to nominate for election as a director, all information relating to such person that is required to be disclosed in solicitations of proxies for election of directors in an election contest, or is otherwise required in each case pursuant to Regulation 14A under the Exchange Act, regardless of the application of the Exchange Act to such nomination, and such person’s written consent to being named in the proxy statement as a nominee and to serving as such a director if elected; (B) as to any other business that the shareholder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 bylaws of the corporation, the language of the proposed amendment), the reasons for conducting such business at the meeting and any material interest in such business of such shareholder and of the beneficial owner, if any, on whose behalf the proposal is made; and (C) as to the shareholder </w:t>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385445"/>
                <wp:effectExtent l="0" t="0" r="0" b="0"/>
                <wp:wrapNone/>
                <wp:docPr id="139" name="Frame13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giving the notice and the beneficial owner, if any, on whose behalf the nomination or proposal is made (1) the name and address of such shareholder, as they appear on the corporation’s books, and of such beneficial owner, (2) the class and number of shares of capital stock of the corporation that are owned beneficially and of record by such shareholder and such beneficial owner as well as any derivative or synthetic instrument, convertible security, put, option, stock appreciation right, swap or similar contract, agreement, arrangement or understanding the value of or return on which is based on or linked to the value of or return on any of shares of capital stock of the corporation, (3) any proxy (other than a revocable proxy given in response to a solicitation statement filed pursuant to, and in accordance with, Section 14(a) of the Exchange Act), voting trust, voting agreement or similar contract, arrangement, agreement or understanding pursuant to which the shareholder or beneficial owner on whose behalf the nomination or proposal is being made has a right to vote or direct the voting of any shares of the corporation’s capital stock, (4) a representation that the shareholder is a holder of record of capital stock of the corporation entitled to vote at such meeting and intends to appear in person or by proxy at the meeting to propose such business or nomination, and (5) a representation whether the shareholder or the beneficial owner, if any, intends or is part of a group that intends (a) to deliver a proxy statement and/or form of proxy to holders of at least the percentage of the corporation’s outstanding capital stock required to approve or adopt the proposal or elect the nominee and/or (b) otherwise to solicit proxies from shareholders in support of such proposal or nomination. In addition, to be timely, a shareholder’s notice shall further be updated and supplemented, if necessary, (1) as of the voting record date for the meeting and (2) as of the date that is 10 days prior to the meeting or any adjournment or postponement thereof, and such update and supplement shall be delivered to the Secretary at the principal office of the corporation. With respect to any proposal of business, the notice requirements of this Section 12 shall be deemed satisfied by a shareholder if the shareholder has notified the corporation of his, her or its intention to present a proposal at an annual meeting in compliance with Rule 14a-8 (or any successor thereof) promulgated under the Exchange Act and such shareholder’s proposal will be included in a proxy statement that will be prepared by the corporation to solicit proxies for such annual meeting. The corporation may require any proposed nominee to furnish such other information as it may reasonably require to determine the eligibility of such proposed nominee to serve as a director of the corporation.</w:t>
      </w:r>
    </w:p>
    <w:p>
      <w:pPr>
        <w:pStyle w:val="TextBody"/>
        <w:bidi w:val="0"/>
        <w:spacing w:before="0" w:after="0"/>
        <w:ind w:left="0" w:right="0" w:firstLine="1440"/>
        <w:jc w:val="left"/>
        <w:rPr/>
      </w:pPr>
      <w:r>
        <w:rPr/>
      </w:r>
    </w:p>
    <w:p>
      <w:pPr>
        <w:pStyle w:val="TextBody"/>
        <w:bidi w:val="0"/>
        <w:spacing w:lineRule="auto" w:line="33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(c)    Nominations of persons for election to the Board of Directors may be made at a special meeting of shareholders at which directors are to be elected pursuant to the corporation’s notice of meeting (i) by or at the direction of the Board of Directors or (ii) provided that the Board of Directors has determined that directors shall be elected at such meeting, by any shareholder of the corporation who is a shareholder of record at the time the notice provided for in this Section 12 is received by the Secretary of the corporation, who is entitled to vote at the meeting and upon such election and who complies with the notice procedures set forth in this </w:t>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385445"/>
                <wp:effectExtent l="0" t="0" r="0" b="0"/>
                <wp:wrapNone/>
                <wp:docPr id="140" name="Frame13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left"/>
        <w:rPr/>
      </w:pPr>
      <w:r>
        <w:rPr>
          <w:rFonts w:ascii="Times New Roman;serif" w:hAnsi="Times New Roman;serif"/>
          <w:b w:val="false"/>
          <w:color w:val="000000"/>
          <w:sz w:val="24"/>
        </w:rPr>
        <w:t>Section 12. In the event the corporation calls a special meeting of shareholders for the purpose of electing one or more directors to the Board of Directors, any such shareholder entitled to vote in such election of directors may nominate a person or persons, as the case may be, for election to such position(s) as specified in the corporation’s notice of meeting, if the shareholder’s notice required by paragraph (b) of this Section 12 is received by the Secretary at the principal office of the corporation not earlier than the close of business on the 180</w:t>
      </w:r>
      <w:r>
        <w:rPr>
          <w:rFonts w:ascii="Times New Roman;serif" w:hAnsi="Times New Roman;serif"/>
          <w:b w:val="false"/>
          <w:color w:val="000000"/>
          <w:sz w:val="16"/>
        </w:rPr>
        <w:t>th</w:t>
      </w:r>
      <w:r>
        <w:rPr>
          <w:color w:val="000000"/>
        </w:rPr>
        <w:t> </w:t>
      </w:r>
      <w:r>
        <w:rPr>
          <w:rFonts w:ascii="Times New Roman;serif" w:hAnsi="Times New Roman;serif"/>
          <w:b w:val="false"/>
          <w:color w:val="000000"/>
          <w:sz w:val="24"/>
        </w:rPr>
        <w:t>day prior to such special meeting, and not later than the close of business on the later of the 120</w:t>
      </w:r>
      <w:r>
        <w:rPr>
          <w:rFonts w:ascii="Times New Roman;serif" w:hAnsi="Times New Roman;serif"/>
          <w:b w:val="false"/>
          <w:color w:val="000000"/>
          <w:sz w:val="16"/>
        </w:rPr>
        <w:t>th</w:t>
      </w:r>
      <w:r>
        <w:rPr>
          <w:color w:val="000000"/>
        </w:rPr>
        <w:t> </w:t>
      </w:r>
      <w:r>
        <w:rPr>
          <w:rFonts w:ascii="Times New Roman;serif" w:hAnsi="Times New Roman;serif"/>
          <w:b w:val="false"/>
          <w:color w:val="000000"/>
          <w:sz w:val="24"/>
        </w:rPr>
        <w:t>day prior to such special meeting or the 10</w:t>
      </w:r>
      <w:r>
        <w:rPr>
          <w:rFonts w:ascii="Times New Roman;serif" w:hAnsi="Times New Roman;serif"/>
          <w:b w:val="false"/>
          <w:color w:val="000000"/>
          <w:sz w:val="16"/>
        </w:rPr>
        <w:t>th</w:t>
      </w:r>
      <w:r>
        <w:rPr>
          <w:color w:val="000000"/>
        </w:rPr>
        <w:t> </w:t>
      </w:r>
      <w:r>
        <w:rPr>
          <w:rFonts w:ascii="Times New Roman;serif" w:hAnsi="Times New Roman;serif"/>
          <w:b w:val="false"/>
          <w:color w:val="000000"/>
          <w:sz w:val="24"/>
        </w:rPr>
        <w:t>day following the day on which public announcement is first made of the date of the special meeting and of the nominees proposed by the Board of Directors to be elected at such meeting. In no event shall the public announcement of an adjournment or postponement of a special meeting commence a new time period, or extend any time period, for giving of a shareholder’s notice as described above.</w:t>
      </w:r>
    </w:p>
    <w:p>
      <w:pPr>
        <w:pStyle w:val="TextBody"/>
        <w:bidi w:val="0"/>
        <w:spacing w:before="0" w:after="0"/>
        <w:ind w:left="0" w:right="0" w:firstLine="1440"/>
        <w:jc w:val="left"/>
        <w:rPr/>
      </w:pPr>
      <w:r>
        <w:rPr/>
      </w:r>
    </w:p>
    <w:p>
      <w:pPr>
        <w:pStyle w:val="TextBody"/>
        <w:bidi w:val="0"/>
        <w:spacing w:lineRule="auto" w:line="333"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(d)    Only such persons who are nominated in accordance with the procedures set forth in this Section 12 shall be eligible at an annual or special meeting of shareholders of the corporation to serve as directors and only such business shall be conducted at a meeting of shareholders as shall have been brought before the meeting in accordance with the procedures set forth in this Section 12. Except as otherwise provided by law, the chairman of the meeting shall have the power and duty (A) to determine whether a nomination or any business proposed to be brought before the meeting was made or proposed, as the case may be, in accordance with the procedures set forth in this Section 12 (including whether the shareholder or beneficial owner, if any, on whose behalf the nomination or proposal is made solicited (or is part of a group which solicited) or did not so solicit, as the case may be, proxies in support of such shareholder’s nominee or proposal in compliance with such shareholder’s representation as required by clause (C) of paragraph (b) of this Section 12) and (B) if any such nomination or proposal was not properly made or proposed (or such shareholder or beneficial owner did not act in accordance with such shareholder’s representation as required by clause (C) of paragraph (b) of this Section 12), to declare that such nomination shall be disregarded or that such proposed business shall not be transacted. Notwithstanding the foregoing provisions of this Section 12, if the shareholder (or a designated representative of the shareholder) does not appear at the annual or special meeting of shareholders of the corporation to present a nomination or business, such nomination shall be disregarded and such proposed business shall not be transacted, notwithstanding that proxies in respect of such vote may have been received by the corporation.</w:t>
      </w:r>
    </w:p>
    <w:p>
      <w:pPr>
        <w:pStyle w:val="TextBody"/>
        <w:bidi w:val="0"/>
        <w:spacing w:before="0" w:after="0"/>
        <w:ind w:left="0" w:right="0" w:firstLine="1440"/>
        <w:jc w:val="left"/>
        <w:rPr/>
      </w:pPr>
      <w:r>
        <w:rPr/>
      </w:r>
    </w:p>
    <w:p>
      <w:pPr>
        <w:pStyle w:val="TextBody"/>
        <w:bidi w:val="0"/>
        <w:spacing w:lineRule="auto" w:line="33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(e)    For purposes of this Section 12, “public announcement” shall include disclosure in a press release reported by the Dow Jones News Service, Associated Press or comparable national news service or in a document publicly filed or furnished, as the case may be, by the corporation with the Securities and Exchange Commission pursuant to Section 13, 14 or 15(d) of the Exchange Act.</w:t>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385445"/>
                <wp:effectExtent l="0" t="0" r="0" b="0"/>
                <wp:wrapNone/>
                <wp:docPr id="141" name="Frame14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1440"/>
        <w:jc w:val="left"/>
        <w:rPr/>
      </w:pPr>
      <w:r>
        <w:rPr/>
      </w:r>
    </w:p>
    <w:p>
      <w:pPr>
        <w:pStyle w:val="TextBody"/>
        <w:bidi w:val="0"/>
        <w:spacing w:lineRule="auto" w:line="333"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(f)    Notwithstanding the foregoing provisions of this Section 12, a shareholder shall also comply with all applicable requirements of the Exchange Act and the rules and regulations thereunder with respect to the matters set forth in this Section 12. Nothing in this Section 12 shall be deemed to affect any rights (A) of shareholders to request inclusion of proposals in the corporation’s proxy statement pursuant to Rule 14a-8 under the Exchange Act or (B) of the holders of any class or series of preferred stock, if any, to elect directors pursuant to any applicable provisions of the Articles of Incorporation.</w:t>
      </w:r>
    </w:p>
    <w:p>
      <w:pPr>
        <w:pStyle w:val="TextBody"/>
        <w:bidi w:val="0"/>
        <w:spacing w:before="0" w:after="0"/>
        <w:ind w:left="0" w:right="0" w:firstLine="1440"/>
        <w:jc w:val="left"/>
        <w:rPr/>
      </w:pPr>
      <w:r>
        <w:rPr/>
      </w:r>
    </w:p>
    <w:p>
      <w:pPr>
        <w:pStyle w:val="TextBody"/>
        <w:bidi w:val="0"/>
        <w:spacing w:lineRule="auto" w:line="333"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(g)    The corporation shall include in its proxy statement for any annual meeting of shareholders the name, together with the Required Information (as defined below), of any person nominated for election to the Board of Directors (a “Shareholder Nominee”) identified in a timely notice (the “Notice”) that satisfies this Section 12 delivered to the principal office of the corporation, addressed to the Secretary, by one or more shareholders who at the time the request is delivered satisfy the ownership and other requirements of subsections (a), (b) and (g) of this Section 12 (such shareholder or shareholders, and any Associated Person (as defined below) of such shareholder or shareholders, the “Eligible Shareholder”), and who expressly elects to have its nominee included in the corporation’s proxy materials pursuant to this subsection (g). To be timely, the Notice must be received by the Secretary not less than one hundred twenty (120) calendar days prior to the anniversary date of the immediately preceding mailing date for the notice of annual meeting of shareholders.</w:t>
      </w:r>
    </w:p>
    <w:p>
      <w:pPr>
        <w:pStyle w:val="TextBody"/>
        <w:bidi w:val="0"/>
        <w:spacing w:before="0" w:after="0"/>
        <w:ind w:left="0" w:right="0" w:firstLine="1440"/>
        <w:jc w:val="left"/>
        <w:rPr/>
      </w:pPr>
      <w:r>
        <w:rPr/>
      </w:r>
    </w:p>
    <w:p>
      <w:pPr>
        <w:pStyle w:val="TextBody"/>
        <w:bidi w:val="0"/>
        <w:spacing w:lineRule="auto" w:line="333"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    For purposes of this subsection (g), the “Required Information” that the corporation will include in its proxy statement is (A) the information concerning the Shareholder Nominee and the Eligible Shareholder that, as determined by the corporation, is required to be disclosed in a proxy statement filed pursuant to the proxy rules of the Securities and Exchange Commission, and (B) if the Eligible Shareholder so elects, a Statement (as defined below). For purposes of this subsection (g), “Associated Person” means any affiliate, associate of, or any other party acting in concert with or on behalf of, (A) a shareholder nominating a Shareholder Nominee or (B) any beneficial owner on whose behalf the shareholder is acting.</w:t>
      </w:r>
    </w:p>
    <w:p>
      <w:pPr>
        <w:pStyle w:val="TextBody"/>
        <w:bidi w:val="0"/>
        <w:spacing w:before="0" w:after="0"/>
        <w:ind w:left="0" w:right="0" w:firstLine="720"/>
        <w:jc w:val="left"/>
        <w:rPr/>
      </w:pPr>
      <w:r>
        <w:rPr/>
      </w:r>
    </w:p>
    <w:p>
      <w:pPr>
        <w:pStyle w:val="TextBody"/>
        <w:bidi w:val="0"/>
        <w:spacing w:lineRule="auto" w:line="33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(ii)    The corporation shall not be required to include a Shareholder Nominee in its proxy materials for any special meeting of shareholders or for any annual meeting of shareholders for which (A) the Secretary of the corporation receives a notice that the Eligible Shareholder has nominated a person for election to the Board of Directors pursuant to the notice requirements set forth in subsection (a) of this Section 12 and (B) the Eligible Shareholder does not expressly elect as part of providing the notice to have its nominee included in the Corporation’s proxy materials pursuant to this subsection (g).</w:t>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385445"/>
                <wp:effectExtent l="0" t="0" r="0" b="0"/>
                <wp:wrapNone/>
                <wp:docPr id="142" name="Frame14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333"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(iii)    The number of Shareholder Nominees (including any Shareholder Nominees elected to the Board of Directors at either of the two preceding annual meetings who are standing for reelection and any Shareholder Nominees that were submitted by an Eligible Shareholder for inclusion in the corporation’s proxy materials pursuant to this subsection (g) but either are subsequently withdrawn or that the Board of Directors or any committee designated by the Board of Directors decides to nominate for election to the Board of Directors (a “Board Nominee”)) appearing in the corporation’s proxy materials with respect to a meeting of shareholders shall not exceed the greater of (A) two Shareholder Nominees and (B) 20% of the number of directors in office as of the last day on which the Notice may be delivered, or if such amount is not a whole number, the closest whole number below 20%. In the event that the number of Shareholder Nominees submitted by Eligible Shareholders pursuant to this subsection (g) exceeds this maximum number, each Eligible Shareholder shall select one Shareholder Nominee for inclusion in the corporation’s proxy materials until the maximum number is reached, going in the order of the amount (largest to smallest) of shares of the corporation’s stock eligible to vote in the election of directors each Eligible Shareholder disclosed as owned in the written notice of the nomination submitted to the corporation. If the maximum number is not reached after each Eligible Shareholder has selected one Shareholder Nominee, this selection process shall continue as many times as necessary, following the same order each time, until the maximum number is reached.</w:t>
      </w:r>
    </w:p>
    <w:p>
      <w:pPr>
        <w:pStyle w:val="TextBody"/>
        <w:bidi w:val="0"/>
        <w:spacing w:before="0" w:after="0"/>
        <w:ind w:left="0" w:right="0" w:firstLine="720"/>
        <w:jc w:val="left"/>
        <w:rPr/>
      </w:pPr>
      <w:r>
        <w:rPr/>
      </w:r>
    </w:p>
    <w:p>
      <w:pPr>
        <w:pStyle w:val="TextBody"/>
        <w:bidi w:val="0"/>
        <w:spacing w:lineRule="auto" w:line="33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(iv)    An Eligible Shareholder must have owned (as defined below) 3% or more of the outstanding shares of the corporation’s stock eligible to vote in the election of directors continuously for at least three years (the “Required Shares”) as of both the date the Notice is delivered to the corporation and the record date for determining shareholders entitled to vote at the meeting and must continue to own the Required Shares through the meeting date. For purposes of satisfying the foregoing ownership requirement under this subsection (g), (A) the shares of stock of the corporation owned by one or more shareholders, or by the person or persons who own shares of the corporation’s stock and on whose behalf any shareholder is acting, may be aggregated, provided that the number of shareholders and other persons whose ownership of shares is aggregated for such purpose shall not exceed 20, and further provided that the group of shareholders shall have provided to the Secretary of the corporation as a part of providing the Notice a written agreement executed by each of its members designating one of the members as the exclusive member to interact with the corporation for purposes of this Section 12 on behalf of all members, and (B) a group of funds under common management and investment control shall be treated as one shareholder or person for this purpose. Within the time period specified for providing the Notice, an Eligible </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385445"/>
                <wp:effectExtent l="0" t="0" r="0" b="0"/>
                <wp:wrapNone/>
                <wp:docPr id="143" name="Frame14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p>
                      <w:pPr>
                        <w:pStyle w:val="TextBody"/>
                        <w:bidi w:val="0"/>
                        <w:spacing w:before="0" w:after="0"/>
                        <w:jc w:val="left"/>
                        <w:rPr/>
                      </w:pPr>
                      <w:r>
                        <w:rPr/>
                      </w:r>
                    </w:p>
                  </w:txbxContent>
                </v:textbox>
                <w10:wrap type="none"/>
              </v:rect>
            </w:pict>
          </mc:Fallback>
        </mc:AlternateContent>
      </w:r>
    </w:p>
    <w:p>
      <w:pPr>
        <w:pStyle w:val="TextBody"/>
        <w:bidi w:val="0"/>
        <w:spacing w:lineRule="auto" w:line="333"/>
        <w:jc w:val="left"/>
        <w:rPr>
          <w:rFonts w:ascii="Times New Roman;serif" w:hAnsi="Times New Roman;serif"/>
          <w:b w:val="false"/>
          <w:color w:val="000000"/>
          <w:sz w:val="24"/>
        </w:rPr>
      </w:pPr>
      <w:r>
        <w:rPr>
          <w:rFonts w:ascii="Times New Roman;serif" w:hAnsi="Times New Roman;serif"/>
          <w:b w:val="false"/>
          <w:color w:val="000000"/>
          <w:sz w:val="24"/>
        </w:rPr>
        <w:t xml:space="preserve">Shareholder must provide the following information in writing to the Secretary of the corporation (in addition to the information required to be provided by subsection (b) of this Section 12): (A) one or more written statements from the record holder of the shares (and from each intermediary through which the shares are or have been held during the requisite three-year holding period) verifying that, as of a date within seven calendar days prior to the date the Notice is delivered to or mailed and received by the corporation, the Eligible Shareholder owns, and has owned continuously for the preceding three years, the Required Shares, and the Eligible Shareholder’s agreement to provide, within five business days after the record date for the meeting, written statements from the record holder and intermediaries verifying the Eligible Shareholder’s continuous ownership of the Required Shares through the record date, (B) the written consent of each Shareholder Nominee to be named in the proxy statement as a nominee and to serve as a director if elected, (C) a copy of the Schedule 14N that has been filed with the Securities and Exchange Commission as required by Rule 14a-18 under the Exchange Act, (D) a representation that the Eligible Shareholder (1) acquired the Required Shares in the ordinary course of business and not with the intent to change or influence control of the Corporation, and does not presently have such intent, (2) has not nominated and will not nominate for election to the Board of Directors at the meeting any person other than the Shareholder Nominee(s) being nominated pursuant to this subsection (g), (3) has not engaged and will not engage in, and has not and will not be, a “participant” in another person’s “solicitation” within the meaning of Rule 14a-1(l) under the Exchange Act in support of the election of any individual as a director at the meeting other than its Shareholder Nominee(s) or a Board Nominee, (4) will not distribute to any shareholder any form of proxy for the meeting other than the form distributed by the corporation, (5) intends to continue to own the Required Shares through the date of the meeting, and (6) will provide facts, statements and other information in all communications with the corporation and its shareholders that are or will be true and correct in all material respects and do not and will not omit to state a material fact necessary in order to make the statements made, in light of the circumstances under which they were made, not misleading, (E) an undertaking that the Eligible Shareholder agrees to (1) assume all liability stemming from any legal or regulatory violation arising out of the Eligible Shareholder’s communications with the corporation’s shareholders or out of the information that the Eligible Shareholder provided to the corporation, (2) indemnify and hold harmless the corporation and each of its directors, officers and employees individually against any liability, loss or damages in connection with any threatened or pending action, suit or proceeding, whether legal, administrative or investigative, against the corporation or any of its directors, officers or employees arising out of any nomination submitted by the Eligible Shareholder pursuant to this subsection (g), (3) file with the Securities and Exchange Commission all soliciting and other materials as </w:t>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385445"/>
                <wp:effectExtent l="0" t="0" r="0" b="0"/>
                <wp:wrapNone/>
                <wp:docPr id="144" name="Frame14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required under subdivision (x) of this subsection (g), and (4) comply with all other applicable laws, rules, regulations and listing standards with respect to any solicitation in connection with the meeting, and (F) if the Eligible Shareholder did not submit the name(s) of the Shareholder Nominee(s) to the Corporate Governance and Nominating Committee of the Board of Directors for consideration as Board Nominee(s), a brief explanation why the Eligible Shareholder elected not to do so. The inspectors of elections shall not give effect to the Eligible Shareholder’s votes with respect to the election of directors if the Eligible Shareholder does not comply with each of the representations in clause (D) above.</w:t>
      </w:r>
    </w:p>
    <w:p>
      <w:pPr>
        <w:pStyle w:val="TextBody"/>
        <w:bidi w:val="0"/>
        <w:spacing w:before="0" w:after="0"/>
        <w:ind w:left="0" w:right="0" w:firstLine="720"/>
        <w:jc w:val="left"/>
        <w:rPr/>
      </w:pPr>
      <w:r>
        <w:rPr/>
      </w:r>
    </w:p>
    <w:p>
      <w:pPr>
        <w:pStyle w:val="TextBody"/>
        <w:bidi w:val="0"/>
        <w:spacing w:lineRule="auto" w:line="33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(v)    For purposes of this subsection (g), an Eligible Shareholder shall be deemed to “own” only those outstanding shares of the corporation’s stock as to which a shareholder who is the Eligible Shareholder or is included in the group that constitutes the Eligible Shareholder possesses both (A) the full voting and investment rights pertaining to the shares and (B) the full economic interest in (including the opportunity for profit and risk of loss on) such shares; provided that the number of shares calculated in accordance with clauses (A) and (B) shall not include any shares (1) sold by or on behalf of such shareholder in any transaction that has not been settled or closed, (2) borrowed by or on behalf of such shareholder for any purpose or purchased by such shareholder pursuant to an agreement to resell or (3) subject to any option, warrant, forward contract, swap, contract of sale, other derivative or similar agreement entered into by or on behalf of such shareholder whether any such instrument or agreement is to be settled with shares or with cash based on the notional amount or value of outstanding shares of the corporation’s stock, in any such case which instrument or agreement has, or is intended to have, the purpose or effect of (x) reducing in any manner, to any extent or at any time in the future, such shareholder’s full right to vote or direct the voting of any such shares, and/or (y) hedging, offsetting or altering to any degree gain or loss arising from the full economic ownership of such shares by such shareholder. A shareholder shall “own” shares held in the name of a nominee or other intermediary so long as the shareholder retains the right to instruct how the shares are voted with respect to the election of directors and possesses the full economic interest in the shares. A shareholder’s ownership of shares shall be deemed to continue during (A) any period in which the shareholder has delegated any voting power by means of a proxy, power of attorney or other instrument or arrangement that is revocable at any time by the shareholder, or (B) has loaned such shares, provided that the person has the power to recall such loaned shares on not more than three business days’ notice. Whether outstanding shares of the Corporation’s stock are “owned” for these purposes shall be determined by the Board of Directors, which determination shall be conclusive and binding on the corporation and its shareholders.</w:t>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385445"/>
                <wp:effectExtent l="0" t="0" r="0" b="0"/>
                <wp:wrapNone/>
                <wp:docPr id="145" name="Frame14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333"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(vi)    The Eligible Shareholder may provide to the Secretary of the corporation, within the time period specified for providing the Notice, a written statement for inclusion in the corporation’s proxy statement for the meeting, not to exceed 500 words, in support of the Shareholder Nominee’s candidacy (the “Statement”). Notwithstanding anything to the contrary contained in this Section 12, the corporation may omit from its proxy materials any information or statement that it believes would violate any applicable law, rule, regulation or listing standard.</w:t>
      </w:r>
    </w:p>
    <w:p>
      <w:pPr>
        <w:pStyle w:val="TextBody"/>
        <w:bidi w:val="0"/>
        <w:spacing w:before="0" w:after="0"/>
        <w:ind w:left="0" w:right="0" w:firstLine="720"/>
        <w:jc w:val="left"/>
        <w:rPr/>
      </w:pPr>
      <w:r>
        <w:rPr/>
      </w:r>
    </w:p>
    <w:p>
      <w:pPr>
        <w:pStyle w:val="TextBody"/>
        <w:bidi w:val="0"/>
        <w:spacing w:lineRule="auto" w:line="33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(vii)    The corporation shall not be required to include, pursuant to this subsection (g), a Shareholder Nominee in its proxy materials (A) for any meeting for which the Secretary of the corporation receives a notice that the Eligible Shareholder or any other shareholder has nominated a Shareholder Nominee for election to the Board of Directors pursuant to the requirements of subsection (a) of this Section 12 and does not expressly elect at the time of providing the notice to have its nominee included in the corporation’s proxy materials pursuant to this subsection (g), (B) if the Eligible Shareholder who has nominated such Shareholder Nominee has engaged in or is currently engaged in, or has been or is a “participant” in another person’s, “solicitation” within the meaning of Rule 14a-1(l) under the Exchange Act in support of the election of any individual as a director at the meeting other than its Shareholder Nominee(s) or a Board Nominee, (C) who is not independent, (D) whose election as a member of the Board of Directors would cause the corporation to be in violation of these By-Laws, the corporation’s Articles of Incorporation, the listing standards of the principal exchange upon which the corporation’s stock is traded, or any applicable state or federal law, rule or regulation, (E) who is or has been, within the past three years, an officer or director of a competitor, as defined in Section 8 of the Clayton Antitrust Act of 1914, (F) who is a named subject of a pending criminal proceeding (excluding traffic violations and other minor offenses) or has been convicted in such a criminal proceeding within the past 10 years, (G) who is subject to any order of the type specified in Rule 506(d) of Regulation D promulgated under the Securities Act of 1933, as amended, (H) if such Shareholder Nominee or the applicable Eligible Shareholder shall have provided information to the corporation in respect to such nomination that was untrue in any material respect or omitted to state a material fact necessary in order to make the statements made, in light of the circumstances under which they were made, not misleading, as determined by the Board of Directors, (I) if the Eligible Shareholder who has nominated such Shareholder Nominee has filed a Schedule 13D with respect to the corporation within the past year or (J) if the Eligible Shareholder or applicable Shareholder Nominee otherwise breaches any of its or their obligations, agreements or representations under this Section 12. For purposes of these bylaws, the term “independent” shall have the meaning under the </w:t>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385445"/>
                <wp:effectExtent l="0" t="0" r="0" b="0"/>
                <wp:wrapNone/>
                <wp:docPr id="146" name="Frame14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listing standards of the principal exchange upon which the corporation’s stock is traded, any applicable rules of the Securities and Exchange Commission and any publicly disclosed standards used by the Board of Directors in determining and disclosing the independence of the corporation’s directors, as determined by the Board of Directors.</w:t>
      </w:r>
    </w:p>
    <w:p>
      <w:pPr>
        <w:pStyle w:val="TextBody"/>
        <w:bidi w:val="0"/>
        <w:spacing w:before="0" w:after="0"/>
        <w:ind w:left="0" w:right="0" w:firstLine="720"/>
        <w:jc w:val="left"/>
        <w:rPr/>
      </w:pPr>
      <w:r>
        <w:rPr/>
      </w:r>
    </w:p>
    <w:p>
      <w:pPr>
        <w:pStyle w:val="TextBody"/>
        <w:bidi w:val="0"/>
        <w:spacing w:lineRule="auto" w:line="333"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(viii)    Notwithstanding anything to the contrary set forth herein, the chairman of the meeting shall declare a nomination by an Eligible Shareholder to be invalid, and such nomination shall be disregarded notwithstanding that proxies in respect of such vote may have been received by the corporation, if the Shareholder Nominee(s) and/or the applicable Eligible Shareholder shall have breached its or their obligations, agreements or representations under this Section 12, as determined by the Board of Directors or the chairman of the meeting.</w:t>
      </w:r>
    </w:p>
    <w:p>
      <w:pPr>
        <w:pStyle w:val="TextBody"/>
        <w:bidi w:val="0"/>
        <w:spacing w:before="0" w:after="0"/>
        <w:ind w:left="0" w:right="0" w:firstLine="720"/>
        <w:jc w:val="left"/>
        <w:rPr/>
      </w:pPr>
      <w:r>
        <w:rPr/>
      </w:r>
    </w:p>
    <w:p>
      <w:pPr>
        <w:pStyle w:val="TextBody"/>
        <w:bidi w:val="0"/>
        <w:spacing w:lineRule="auto" w:line="333"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(ix)    In addition to the information required to be provided by the Eligible Shareholder by subsections (b) and (d) of this Section 12, each Shareholder Nominee and each Board Nominee shall provide to the Secretary of the corporation, within two weeks of receipt of the Secretary’s written request therefore, the following information: (A) a completed copy of the corporation’s form of director’s questionnaire and a written consent of the Shareholder Nominee or the Board Nominee to the corporation following such processes for evaluation of such Nominee as the corporation follows in evaluating any other potential Board Nominee, as provided by the Secretary; (B) the Shareholder Nominee’s or the Board Nominee’s agreement to comply with the corporation’s corporate governance, conflict of interest, confidentiality, share ownership and share trading policies, as provided by the Secretary; (C) written confirmation that the Shareholder Nominee or the Board Nominee (1) does not have, and will not have, any agreement or understanding as to how he or she will vote on any matter and (2) is not a party to, and will not become a party to, any outside compensation arrangement relating to service as a director of the corporation that has not been disclosed to the Secretary of the corporation; and (D) written disclosure of any transactions between the Eligible Shareholder and the Shareholder Nominee or the Board Nominee within the preceding five years.</w:t>
      </w:r>
    </w:p>
    <w:p>
      <w:pPr>
        <w:pStyle w:val="TextBody"/>
        <w:bidi w:val="0"/>
        <w:spacing w:before="0" w:after="0"/>
        <w:ind w:left="0" w:right="0" w:firstLine="720"/>
        <w:jc w:val="left"/>
        <w:rPr/>
      </w:pPr>
      <w:r>
        <w:rPr/>
      </w:r>
    </w:p>
    <w:p>
      <w:pPr>
        <w:pStyle w:val="TextBody"/>
        <w:bidi w:val="0"/>
        <w:spacing w:lineRule="auto" w:line="333"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(x)    The Eligible Shareholder shall file with the Securities and Exchange Commission any solicitation or other communication with the corporation’s shareholders relating to the meeting at which the Shareholder Nominee will be nominated, regardless of whether any such filing is required under Regulation 14A of the Exchange Act, or whether any exemption from filing is available for such solicitation or other communication under Regulation 14A of the Exchange Act.</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385445"/>
                <wp:effectExtent l="0" t="0" r="0" b="0"/>
                <wp:wrapNone/>
                <wp:docPr id="147" name="Frame14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(xi)    No person may be a member of more than one group of persons constituting an Eligible Shareholder under this subsection (g).</w:t>
      </w:r>
    </w:p>
    <w:p>
      <w:pPr>
        <w:pStyle w:val="TextBody"/>
        <w:bidi w:val="0"/>
        <w:spacing w:before="0" w:after="0"/>
        <w:ind w:left="0" w:right="0" w:firstLine="720"/>
        <w:jc w:val="left"/>
        <w:rPr/>
      </w:pPr>
      <w:r>
        <w:rPr/>
      </w:r>
    </w:p>
    <w:p>
      <w:pPr>
        <w:pStyle w:val="TextBody"/>
        <w:bidi w:val="0"/>
        <w:spacing w:lineRule="auto" w:line="333"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(xii)    Any Shareholder Nominee who is included in the corporation’s proxy materials for a particular meeting of shareholders but either (A) withdraws from or becomes ineligible or unavailable for election at the meeting, or (B) does not receive at least 25% of the votes cast in favor of the Shareholder Nominee’s election, shall be ineligible to be a Shareholder Nominee pursuant to this subsection (g) for the next two annual meetings of shareholders following the meeting for which the Shareholder Nominee has been nominated for election.</w:t>
      </w:r>
    </w:p>
    <w:p>
      <w:pPr>
        <w:pStyle w:val="TextBody"/>
        <w:bidi w:val="0"/>
        <w:spacing w:before="0" w:after="0"/>
        <w:ind w:left="0" w:right="0" w:firstLine="630"/>
        <w:jc w:val="both"/>
        <w:rPr/>
      </w:pPr>
      <w:r>
        <w:rPr/>
      </w:r>
    </w:p>
    <w:p>
      <w:pPr>
        <w:pStyle w:val="TextBody"/>
        <w:bidi w:val="0"/>
        <w:spacing w:lineRule="auto" w:line="333" w:before="0" w:after="0"/>
        <w:jc w:val="center"/>
        <w:rPr/>
      </w:pPr>
      <w:r>
        <w:rPr>
          <w:rFonts w:ascii="Times New Roman;serif" w:hAnsi="Times New Roman;serif"/>
          <w:b/>
          <w:color w:val="000000"/>
          <w:sz w:val="24"/>
          <w:u w:val="single"/>
        </w:rPr>
        <w:t>ARTICLE V</w:t>
        <w:br/>
      </w:r>
      <w:r>
        <w:rPr>
          <w:color w:val="000000"/>
        </w:rPr>
        <w:t>     </w:t>
      </w:r>
      <w:r>
        <w:rPr>
          <w:rFonts w:ascii="Times New Roman;serif" w:hAnsi="Times New Roman;serif"/>
          <w:b/>
          <w:color w:val="000000"/>
          <w:sz w:val="24"/>
          <w:u w:val="single"/>
        </w:rPr>
        <w:br/>
        <w:t>DIRECTORS</w:t>
      </w:r>
    </w:p>
    <w:p>
      <w:pPr>
        <w:pStyle w:val="TextBody"/>
        <w:bidi w:val="0"/>
        <w:spacing w:before="0" w:after="0"/>
        <w:jc w:val="center"/>
        <w:rPr/>
      </w:pPr>
      <w:r>
        <w:rPr/>
      </w:r>
    </w:p>
    <w:p>
      <w:pPr>
        <w:pStyle w:val="TextBody"/>
        <w:bidi w:val="0"/>
        <w:spacing w:lineRule="auto" w:line="333" w:before="0" w:after="0"/>
        <w:ind w:left="0" w:right="0" w:firstLine="720"/>
        <w:jc w:val="left"/>
        <w:rPr/>
      </w:pPr>
      <w:r>
        <w:rPr>
          <w:rFonts w:ascii="Times New Roman;serif" w:hAnsi="Times New Roman;serif"/>
          <w:b w:val="false"/>
          <w:color w:val="000000"/>
          <w:sz w:val="24"/>
        </w:rPr>
        <w:t>1.    </w:t>
      </w:r>
      <w:r>
        <w:rPr>
          <w:rFonts w:ascii="Times New Roman;serif" w:hAnsi="Times New Roman;serif"/>
          <w:b/>
          <w:color w:val="000000"/>
          <w:sz w:val="24"/>
          <w:u w:val="single"/>
        </w:rPr>
        <w:t>General Powers</w:t>
      </w:r>
      <w:r>
        <w:rPr>
          <w:rFonts w:ascii="Times New Roman;serif" w:hAnsi="Times New Roman;serif"/>
          <w:b/>
          <w:color w:val="000000"/>
          <w:sz w:val="24"/>
        </w:rPr>
        <w:t>.</w:t>
      </w:r>
      <w:r>
        <w:rPr>
          <w:color w:val="000000"/>
        </w:rPr>
        <w:t> </w:t>
      </w:r>
      <w:r>
        <w:rPr>
          <w:rFonts w:ascii="Times New Roman;serif" w:hAnsi="Times New Roman;serif"/>
          <w:b w:val="false"/>
          <w:color w:val="000000"/>
          <w:sz w:val="24"/>
        </w:rPr>
        <w:t>All corporate powers shall be exercised by or under the authority of, and the business and affairs shall be managed under the direction of, the Board of Directors, subject to any limitation set forth in the Articles of Incorporation.</w:t>
      </w:r>
    </w:p>
    <w:p>
      <w:pPr>
        <w:pStyle w:val="TextBody"/>
        <w:bidi w:val="0"/>
        <w:spacing w:before="0" w:after="0"/>
        <w:jc w:val="left"/>
        <w:rPr/>
      </w:pPr>
      <w:r>
        <w:rPr/>
      </w:r>
    </w:p>
    <w:p>
      <w:pPr>
        <w:pStyle w:val="TextBody"/>
        <w:bidi w:val="0"/>
        <w:spacing w:lineRule="auto" w:line="333" w:before="0" w:after="0"/>
        <w:ind w:left="0" w:right="0" w:firstLine="720"/>
        <w:jc w:val="left"/>
        <w:rPr/>
      </w:pPr>
      <w:r>
        <w:rPr>
          <w:rFonts w:ascii="Times New Roman;serif" w:hAnsi="Times New Roman;serif"/>
          <w:b w:val="false"/>
          <w:color w:val="000000"/>
          <w:sz w:val="24"/>
        </w:rPr>
        <w:t>2.    </w:t>
      </w:r>
      <w:r>
        <w:rPr>
          <w:rFonts w:ascii="Times New Roman;serif" w:hAnsi="Times New Roman;serif"/>
          <w:b/>
          <w:color w:val="000000"/>
          <w:sz w:val="24"/>
          <w:u w:val="single"/>
        </w:rPr>
        <w:t>Number and Term of Directors</w:t>
      </w:r>
      <w:r>
        <w:rPr>
          <w:rFonts w:ascii="Times New Roman;serif" w:hAnsi="Times New Roman;serif"/>
          <w:b/>
          <w:color w:val="000000"/>
          <w:sz w:val="24"/>
        </w:rPr>
        <w:t>.</w:t>
      </w:r>
      <w:r>
        <w:rPr>
          <w:color w:val="000000"/>
        </w:rPr>
        <w:t> </w:t>
      </w:r>
      <w:r>
        <w:rPr>
          <w:rFonts w:ascii="Times New Roman;serif" w:hAnsi="Times New Roman;serif"/>
          <w:b w:val="false"/>
          <w:color w:val="000000"/>
          <w:sz w:val="24"/>
        </w:rPr>
        <w:t>The number of directors shall be set by the Board of Directors from time to time in accordance with the Articles of Incorporation. The directors shall serve such terms as are provided under the Articles of Incorporation and applicable law.</w:t>
      </w:r>
    </w:p>
    <w:p>
      <w:pPr>
        <w:pStyle w:val="TextBody"/>
        <w:bidi w:val="0"/>
        <w:spacing w:before="0" w:after="0"/>
        <w:ind w:left="0" w:right="0" w:firstLine="720"/>
        <w:jc w:val="left"/>
        <w:rPr/>
      </w:pPr>
      <w:r>
        <w:rPr/>
      </w:r>
    </w:p>
    <w:p>
      <w:pPr>
        <w:pStyle w:val="TextBody"/>
        <w:bidi w:val="0"/>
        <w:spacing w:lineRule="auto" w:line="333" w:before="0" w:after="0"/>
        <w:ind w:left="0" w:right="0" w:firstLine="720"/>
        <w:jc w:val="left"/>
        <w:rPr/>
      </w:pPr>
      <w:r>
        <w:rPr>
          <w:rFonts w:ascii="Times New Roman;serif" w:hAnsi="Times New Roman;serif"/>
          <w:b w:val="false"/>
          <w:color w:val="000000"/>
          <w:sz w:val="24"/>
        </w:rPr>
        <w:t>3.    </w:t>
      </w:r>
      <w:r>
        <w:rPr>
          <w:rFonts w:ascii="Times New Roman;serif" w:hAnsi="Times New Roman;serif"/>
          <w:b/>
          <w:color w:val="000000"/>
          <w:sz w:val="24"/>
          <w:u w:val="single"/>
        </w:rPr>
        <w:t>Change in Number of Directors</w:t>
      </w:r>
      <w:r>
        <w:rPr>
          <w:rFonts w:ascii="Times New Roman;serif" w:hAnsi="Times New Roman;serif"/>
          <w:b/>
          <w:color w:val="000000"/>
          <w:sz w:val="24"/>
        </w:rPr>
        <w:t>.</w:t>
      </w:r>
      <w:r>
        <w:rPr>
          <w:color w:val="000000"/>
        </w:rPr>
        <w:t> </w:t>
      </w:r>
      <w:r>
        <w:rPr>
          <w:rFonts w:ascii="Times New Roman;serif" w:hAnsi="Times New Roman;serif"/>
          <w:b w:val="false"/>
          <w:color w:val="000000"/>
          <w:sz w:val="24"/>
        </w:rPr>
        <w:t>The number of directors may at any time be increased or decreased, within the variable range established by the Articles of Incorporation by amendment to these bylaws. In case of any such increase the Board of Directors shall have power to elect any additional director to hold office until the next shareholders’ meeting at which directors are elected. Any decrease in the number of directors shall take effect at the time of such amendment only to the extent that vacancies then exist; to the extent that such decrease exceeds the number of such vacancies, the decrease shall not become effective, except as further vacancies may thereafter occur by expiration of the term of directors at the next shareholders’ meeting at which directors are elected or otherwise.</w:t>
      </w:r>
    </w:p>
    <w:p>
      <w:pPr>
        <w:pStyle w:val="TextBody"/>
        <w:bidi w:val="0"/>
        <w:spacing w:before="0" w:after="0"/>
        <w:ind w:left="0" w:right="0" w:firstLine="720"/>
        <w:jc w:val="left"/>
        <w:rPr/>
      </w:pPr>
      <w:r>
        <w:rPr/>
      </w:r>
    </w:p>
    <w:p>
      <w:pPr>
        <w:pStyle w:val="TextBody"/>
        <w:bidi w:val="0"/>
        <w:spacing w:lineRule="auto" w:line="333" w:before="0" w:after="0"/>
        <w:ind w:left="0" w:right="0" w:firstLine="720"/>
        <w:jc w:val="left"/>
        <w:rPr/>
      </w:pPr>
      <w:r>
        <w:rPr>
          <w:rFonts w:ascii="Times New Roman;serif" w:hAnsi="Times New Roman;serif"/>
          <w:b w:val="false"/>
          <w:color w:val="000000"/>
          <w:sz w:val="24"/>
        </w:rPr>
        <w:t>4.    </w:t>
      </w:r>
      <w:r>
        <w:rPr>
          <w:rFonts w:ascii="Times New Roman;serif" w:hAnsi="Times New Roman;serif"/>
          <w:b/>
          <w:color w:val="000000"/>
          <w:sz w:val="24"/>
          <w:u w:val="single"/>
        </w:rPr>
        <w:t>Vacancy</w:t>
      </w:r>
      <w:r>
        <w:rPr>
          <w:rFonts w:ascii="Times New Roman;serif" w:hAnsi="Times New Roman;serif"/>
          <w:b/>
          <w:color w:val="000000"/>
          <w:sz w:val="24"/>
        </w:rPr>
        <w:t>.</w:t>
      </w:r>
      <w:r>
        <w:rPr>
          <w:color w:val="000000"/>
        </w:rPr>
        <w:t> </w:t>
      </w:r>
      <w:r>
        <w:rPr>
          <w:rFonts w:ascii="Times New Roman;serif" w:hAnsi="Times New Roman;serif"/>
          <w:b w:val="false"/>
          <w:color w:val="000000"/>
          <w:sz w:val="24"/>
        </w:rPr>
        <w:t>If the office of any director becomes vacant, by reason of death, resignation, increase in the number of directors or otherwise, the directors remaining in office, although less than a quorum, may fill the vacancy by the affirmative vote of a majority of such directors.</w:t>
      </w:r>
    </w:p>
    <w:p>
      <w:pPr>
        <w:pStyle w:val="TextBody"/>
        <w:bidi w:val="0"/>
        <w:spacing w:before="0" w:after="0"/>
        <w:ind w:left="0" w:right="0" w:firstLine="720"/>
        <w:jc w:val="left"/>
        <w:rPr/>
      </w:pPr>
      <w:r>
        <w:rPr/>
      </w:r>
    </w:p>
    <w:p>
      <w:pPr>
        <w:pStyle w:val="TextBody"/>
        <w:bidi w:val="0"/>
        <w:spacing w:lineRule="auto" w:line="333"/>
        <w:ind w:left="0" w:right="0" w:firstLine="720"/>
        <w:jc w:val="left"/>
        <w:rPr/>
      </w:pPr>
      <w:r>
        <w:rPr>
          <w:rFonts w:ascii="Times New Roman;serif" w:hAnsi="Times New Roman;serif"/>
          <w:b w:val="false"/>
          <w:color w:val="000000"/>
          <w:sz w:val="24"/>
        </w:rPr>
        <w:t>5.    </w:t>
      </w:r>
      <w:r>
        <w:rPr>
          <w:rFonts w:ascii="Times New Roman;serif" w:hAnsi="Times New Roman;serif"/>
          <w:b/>
          <w:color w:val="000000"/>
          <w:sz w:val="24"/>
          <w:u w:val="single"/>
        </w:rPr>
        <w:t>Selection of Chairman and Lead Director</w:t>
      </w:r>
      <w:r>
        <w:rPr>
          <w:rFonts w:ascii="Times New Roman;serif" w:hAnsi="Times New Roman;serif"/>
          <w:b/>
          <w:color w:val="000000"/>
          <w:sz w:val="24"/>
        </w:rPr>
        <w:t>.</w:t>
      </w:r>
      <w:r>
        <w:rPr>
          <w:color w:val="000000"/>
        </w:rPr>
        <w:t> </w:t>
      </w:r>
      <w:r>
        <w:rPr>
          <w:rFonts w:ascii="Times New Roman;serif" w:hAnsi="Times New Roman;serif"/>
          <w:b w:val="false"/>
          <w:color w:val="000000"/>
          <w:sz w:val="24"/>
        </w:rPr>
        <w:t xml:space="preserve">The Board of Directors, at its first meeting after the annual meeting of shareholders, shall choose a Chairman of the Board from </w:t>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385445"/>
                <wp:effectExtent l="0" t="0" r="0" b="0"/>
                <wp:wrapNone/>
                <wp:docPr id="148" name="Frame14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among the directors. If the Chairman of the Board is not independent, then the independent members of the Board shall choose a Lead Director, who shall not be an officer or otherwise employed by the corporation and shall otherwise be determined to be independent. </w:t>
      </w:r>
    </w:p>
    <w:p>
      <w:pPr>
        <w:pStyle w:val="TextBody"/>
        <w:bidi w:val="0"/>
        <w:spacing w:before="0" w:after="0"/>
        <w:ind w:left="0" w:right="0" w:firstLine="720"/>
        <w:jc w:val="left"/>
        <w:rPr/>
      </w:pPr>
      <w:r>
        <w:rPr/>
      </w:r>
    </w:p>
    <w:p>
      <w:pPr>
        <w:pStyle w:val="TextBody"/>
        <w:bidi w:val="0"/>
        <w:spacing w:lineRule="auto" w:line="333" w:before="0" w:after="0"/>
        <w:ind w:left="0" w:right="0" w:firstLine="720"/>
        <w:jc w:val="left"/>
        <w:rPr/>
      </w:pPr>
      <w:r>
        <w:rPr>
          <w:rFonts w:ascii="Times New Roman;serif" w:hAnsi="Times New Roman;serif"/>
          <w:b w:val="false"/>
          <w:color w:val="000000"/>
          <w:sz w:val="24"/>
        </w:rPr>
        <w:t>6.    </w:t>
      </w:r>
      <w:r>
        <w:rPr>
          <w:rFonts w:ascii="Times New Roman;serif" w:hAnsi="Times New Roman;serif"/>
          <w:b/>
          <w:color w:val="000000"/>
          <w:sz w:val="24"/>
          <w:u w:val="single"/>
        </w:rPr>
        <w:t>Resignation</w:t>
      </w:r>
      <w:r>
        <w:rPr>
          <w:rFonts w:ascii="Times New Roman;serif" w:hAnsi="Times New Roman;serif"/>
          <w:b/>
          <w:color w:val="000000"/>
          <w:sz w:val="24"/>
        </w:rPr>
        <w:t>.</w:t>
      </w:r>
      <w:r>
        <w:rPr>
          <w:color w:val="000000"/>
        </w:rPr>
        <w:t> </w:t>
      </w:r>
      <w:r>
        <w:rPr>
          <w:rFonts w:ascii="Times New Roman;serif" w:hAnsi="Times New Roman;serif"/>
          <w:b w:val="false"/>
          <w:color w:val="000000"/>
          <w:sz w:val="24"/>
        </w:rPr>
        <w:t>Any director may resign at any time by delivering written notice of his or her resignation to the Board of Directors or the Chairman of the Board or the Lead Director if the Chairman of the Board is not independent. Any such resignation shall take effect upon such delivery or at such later date as may be specified therein. Any such notice to the Board of Directors may be addressed to it in care of the Secretary.</w:t>
      </w:r>
    </w:p>
    <w:p>
      <w:pPr>
        <w:pStyle w:val="TextBody"/>
        <w:bidi w:val="0"/>
        <w:spacing w:before="0" w:after="0"/>
        <w:ind w:left="0" w:right="0" w:firstLine="720"/>
        <w:jc w:val="left"/>
        <w:rPr/>
      </w:pPr>
      <w:r>
        <w:rPr/>
      </w:r>
    </w:p>
    <w:p>
      <w:pPr>
        <w:pStyle w:val="TextBody"/>
        <w:bidi w:val="0"/>
        <w:spacing w:lineRule="auto" w:line="333" w:before="0" w:after="0"/>
        <w:ind w:left="0" w:right="0" w:firstLine="720"/>
        <w:jc w:val="left"/>
        <w:rPr/>
      </w:pPr>
      <w:r>
        <w:rPr>
          <w:rFonts w:ascii="Times New Roman;serif" w:hAnsi="Times New Roman;serif"/>
          <w:b w:val="false"/>
          <w:color w:val="000000"/>
          <w:sz w:val="24"/>
        </w:rPr>
        <w:t>7.    </w:t>
      </w:r>
      <w:r>
        <w:rPr>
          <w:rFonts w:ascii="Times New Roman;serif" w:hAnsi="Times New Roman;serif"/>
          <w:b/>
          <w:color w:val="000000"/>
          <w:sz w:val="24"/>
          <w:u w:val="single"/>
        </w:rPr>
        <w:t>Duties of the Chairman of the Board and the Lead Director</w:t>
      </w:r>
      <w:r>
        <w:rPr>
          <w:rFonts w:ascii="Times New Roman;serif" w:hAnsi="Times New Roman;serif"/>
          <w:b/>
          <w:color w:val="000000"/>
          <w:sz w:val="24"/>
        </w:rPr>
        <w:t>.</w:t>
      </w:r>
      <w:r>
        <w:rPr>
          <w:color w:val="000000"/>
        </w:rPr>
        <w:t> </w:t>
      </w:r>
      <w:r>
        <w:rPr>
          <w:rFonts w:ascii="Times New Roman;serif" w:hAnsi="Times New Roman;serif"/>
          <w:b w:val="false"/>
          <w:color w:val="000000"/>
          <w:sz w:val="24"/>
        </w:rPr>
        <w:t>The Chairman of the Board, or the Lead Director if the Chairman of the Board is not independent, shall preside at meetings of the Board of Directors, and shall have the powers and duties usually and customarily associated with the position of a non-executive Chairman of the Board and each of the Chairman of the Board and the Lead Director (if applicable) shall have such other powers and duties as may be conferred upon him or her by the Board of Directors or these bylaws.</w:t>
      </w:r>
    </w:p>
    <w:p>
      <w:pPr>
        <w:pStyle w:val="TextBody"/>
        <w:bidi w:val="0"/>
        <w:spacing w:before="0" w:after="0"/>
        <w:ind w:left="0" w:right="0" w:firstLine="720"/>
        <w:jc w:val="left"/>
        <w:rPr/>
      </w:pPr>
      <w:r>
        <w:rPr/>
      </w:r>
    </w:p>
    <w:p>
      <w:pPr>
        <w:pStyle w:val="TextBody"/>
        <w:bidi w:val="0"/>
        <w:spacing w:lineRule="auto" w:line="333" w:before="0" w:after="0"/>
        <w:ind w:left="0" w:right="0" w:firstLine="720"/>
        <w:jc w:val="left"/>
        <w:rPr/>
      </w:pPr>
      <w:r>
        <w:rPr>
          <w:rFonts w:ascii="Times New Roman;serif" w:hAnsi="Times New Roman;serif"/>
          <w:b w:val="false"/>
          <w:color w:val="000000"/>
          <w:sz w:val="24"/>
        </w:rPr>
        <w:t>8.    </w:t>
      </w:r>
      <w:r>
        <w:rPr>
          <w:rFonts w:ascii="Times New Roman;serif" w:hAnsi="Times New Roman;serif"/>
          <w:b/>
          <w:color w:val="000000"/>
          <w:sz w:val="24"/>
          <w:u w:val="single"/>
        </w:rPr>
        <w:t>Absence of Lead Director</w:t>
      </w:r>
      <w:r>
        <w:rPr>
          <w:rFonts w:ascii="Times New Roman;serif" w:hAnsi="Times New Roman;serif"/>
          <w:b/>
          <w:color w:val="000000"/>
          <w:sz w:val="24"/>
        </w:rPr>
        <w:t>. </w:t>
      </w:r>
      <w:r>
        <w:rPr>
          <w:rFonts w:ascii="Times New Roman;serif" w:hAnsi="Times New Roman;serif"/>
          <w:b w:val="false"/>
          <w:color w:val="000000"/>
          <w:sz w:val="24"/>
        </w:rPr>
        <w:t>In case of the absence of the Lead Director, the Chairman of the Board, or, in the absence of the Chairman of the Board, the Board of Directors member with the longest tenure on the Board of Directors, shall preside at meetings of the Board of Directors.</w:t>
      </w:r>
    </w:p>
    <w:p>
      <w:pPr>
        <w:pStyle w:val="TextBody"/>
        <w:bidi w:val="0"/>
        <w:spacing w:before="0" w:after="0"/>
        <w:ind w:left="0" w:right="0" w:firstLine="720"/>
        <w:jc w:val="left"/>
        <w:rPr/>
      </w:pPr>
      <w:r>
        <w:rPr/>
      </w:r>
    </w:p>
    <w:p>
      <w:pPr>
        <w:pStyle w:val="TextBody"/>
        <w:bidi w:val="0"/>
        <w:spacing w:lineRule="auto" w:line="333" w:before="0" w:after="0"/>
        <w:ind w:left="0" w:right="0" w:firstLine="720"/>
        <w:jc w:val="left"/>
        <w:rPr/>
      </w:pPr>
      <w:r>
        <w:rPr>
          <w:rFonts w:ascii="Times New Roman;serif" w:hAnsi="Times New Roman;serif"/>
          <w:b w:val="false"/>
          <w:color w:val="000000"/>
          <w:sz w:val="24"/>
        </w:rPr>
        <w:t>9.    </w:t>
      </w:r>
      <w:r>
        <w:rPr>
          <w:rFonts w:ascii="Times New Roman;serif" w:hAnsi="Times New Roman;serif"/>
          <w:b/>
          <w:color w:val="000000"/>
          <w:sz w:val="24"/>
          <w:u w:val="single"/>
        </w:rPr>
        <w:t>Termination of Employment</w:t>
      </w:r>
      <w:r>
        <w:rPr>
          <w:rFonts w:ascii="Times New Roman;serif" w:hAnsi="Times New Roman;serif"/>
          <w:b/>
          <w:color w:val="000000"/>
          <w:sz w:val="24"/>
        </w:rPr>
        <w:t>.</w:t>
      </w:r>
      <w:r>
        <w:rPr>
          <w:color w:val="000000"/>
        </w:rPr>
        <w:t> </w:t>
      </w:r>
      <w:r>
        <w:rPr>
          <w:rFonts w:ascii="Times New Roman;serif" w:hAnsi="Times New Roman;serif"/>
          <w:b w:val="false"/>
          <w:color w:val="000000"/>
          <w:sz w:val="24"/>
        </w:rPr>
        <w:t>Any director who is an employee of the corporation who ceases to be an employee of the corporation shall immediately tender his or her resignation as a director effective as of the date such employment terminates for consideration by the Board. In the event such employee fails to tender his or her resignation for the Board’s consideration within ten (10) days of the effective date of termination of employment, he or she shall immediately cease to be a director as of the date his or her employment terminates.</w:t>
      </w:r>
    </w:p>
    <w:p>
      <w:pPr>
        <w:pStyle w:val="TextBody"/>
        <w:bidi w:val="0"/>
        <w:spacing w:before="0" w:after="0"/>
        <w:jc w:val="left"/>
        <w:rPr/>
      </w:pPr>
      <w:r>
        <w:rPr/>
      </w:r>
    </w:p>
    <w:p>
      <w:pPr>
        <w:pStyle w:val="TextBody"/>
        <w:bidi w:val="0"/>
        <w:spacing w:lineRule="auto" w:line="333" w:before="0" w:after="0"/>
        <w:jc w:val="center"/>
        <w:rPr/>
      </w:pPr>
      <w:r>
        <w:rPr>
          <w:rFonts w:ascii="Times New Roman;serif" w:hAnsi="Times New Roman;serif"/>
          <w:b/>
          <w:color w:val="000000"/>
          <w:sz w:val="24"/>
          <w:u w:val="single"/>
        </w:rPr>
        <w:t>ARTICLE VI</w:t>
        <w:br/>
      </w:r>
      <w:r>
        <w:rPr>
          <w:color w:val="000000"/>
        </w:rPr>
        <w:t>     </w:t>
      </w:r>
      <w:r>
        <w:rPr>
          <w:rFonts w:ascii="Times New Roman;serif" w:hAnsi="Times New Roman;serif"/>
          <w:b/>
          <w:color w:val="000000"/>
          <w:sz w:val="24"/>
          <w:u w:val="single"/>
        </w:rPr>
        <w:br/>
        <w:t>COMMITTEES OF THE BOARD OF DIRECTORS</w:t>
      </w:r>
    </w:p>
    <w:p>
      <w:pPr>
        <w:pStyle w:val="TextBody"/>
        <w:bidi w:val="0"/>
        <w:spacing w:before="0" w:after="0"/>
        <w:jc w:val="center"/>
        <w:rPr/>
      </w:pPr>
      <w:r>
        <w:rPr/>
      </w:r>
    </w:p>
    <w:p>
      <w:pPr>
        <w:pStyle w:val="TextBody"/>
        <w:bidi w:val="0"/>
        <w:spacing w:lineRule="auto" w:line="333" w:before="0" w:after="0"/>
        <w:ind w:left="0" w:right="0" w:firstLine="720"/>
        <w:jc w:val="left"/>
        <w:rPr/>
      </w:pPr>
      <w:r>
        <w:rPr>
          <w:rFonts w:ascii="Times New Roman;serif" w:hAnsi="Times New Roman;serif"/>
          <w:b w:val="false"/>
          <w:color w:val="000000"/>
          <w:sz w:val="24"/>
        </w:rPr>
        <w:t>1.    </w:t>
      </w:r>
      <w:r>
        <w:rPr>
          <w:rFonts w:ascii="Times New Roman;serif" w:hAnsi="Times New Roman;serif"/>
          <w:b/>
          <w:color w:val="000000"/>
          <w:sz w:val="24"/>
          <w:u w:val="single"/>
        </w:rPr>
        <w:t>Committees</w:t>
      </w:r>
      <w:r>
        <w:rPr>
          <w:rFonts w:ascii="Times New Roman;serif" w:hAnsi="Times New Roman;serif"/>
          <w:b w:val="false"/>
          <w:color w:val="000000"/>
          <w:sz w:val="24"/>
        </w:rPr>
        <w:t>. There shall be an Audit and Ethics Committee, a Compensation and Human Capital Committee, a Finance and Business Development Committee and a Corporate Governance and Nominating Committee, and the Board of Directors may create one or more other committees. Each committee of the Board of Directors shall consist of two or more directors of the corporation who shall be appointed by, and shall serve at the pleasure of, the Board of Directors.</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385445"/>
                <wp:effectExtent l="0" t="0" r="0" b="0"/>
                <wp:wrapNone/>
                <wp:docPr id="149" name="Frame14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ind w:left="0" w:right="0" w:firstLine="720"/>
        <w:jc w:val="left"/>
        <w:rPr/>
      </w:pPr>
      <w:r>
        <w:rPr>
          <w:rFonts w:ascii="Times New Roman;serif" w:hAnsi="Times New Roman;serif"/>
          <w:b w:val="false"/>
          <w:color w:val="000000"/>
          <w:sz w:val="24"/>
        </w:rPr>
        <w:t>2.    </w:t>
      </w:r>
      <w:r>
        <w:rPr>
          <w:rFonts w:ascii="Times New Roman;serif" w:hAnsi="Times New Roman;serif"/>
          <w:b/>
          <w:color w:val="000000"/>
          <w:sz w:val="24"/>
          <w:u w:val="single"/>
        </w:rPr>
        <w:t>Committee Powers and Authority</w:t>
      </w:r>
      <w:r>
        <w:rPr>
          <w:rFonts w:ascii="Times New Roman;serif" w:hAnsi="Times New Roman;serif"/>
          <w:b/>
          <w:color w:val="000000"/>
          <w:sz w:val="24"/>
        </w:rPr>
        <w:t>.</w:t>
      </w:r>
      <w:r>
        <w:rPr>
          <w:color w:val="000000"/>
        </w:rPr>
        <w:t> </w:t>
      </w:r>
      <w:r>
        <w:rPr>
          <w:rFonts w:ascii="Times New Roman;serif" w:hAnsi="Times New Roman;serif"/>
          <w:b w:val="false"/>
          <w:color w:val="000000"/>
          <w:sz w:val="24"/>
        </w:rPr>
        <w:t>The Audit and Ethics Committee, the Compensation and Human Capital Committee, the Finance and Business Development Committee and the Corporate Governance and Nominating Committee and each such other committee shall have such of the powers and authority of the Board of Directors as may be determined by the Board of Directors. Each committee shall report its proceedings to the Board of Directors. Provisions with respect to the Board of Directors which are applicable to meetings, actions without meetings, notices and waivers of notice and quorum and voting requirements shall also be applicable to each committee.</w:t>
      </w:r>
    </w:p>
    <w:p>
      <w:pPr>
        <w:pStyle w:val="TextBody"/>
        <w:bidi w:val="0"/>
        <w:spacing w:before="0" w:after="0"/>
        <w:ind w:left="0" w:right="0" w:firstLine="720"/>
        <w:jc w:val="left"/>
        <w:rPr/>
      </w:pPr>
      <w:r>
        <w:rPr/>
      </w:r>
    </w:p>
    <w:p>
      <w:pPr>
        <w:pStyle w:val="TextBody"/>
        <w:bidi w:val="0"/>
        <w:spacing w:lineRule="auto" w:line="333" w:before="0" w:after="0"/>
        <w:ind w:left="0" w:right="0" w:firstLine="720"/>
        <w:jc w:val="left"/>
        <w:rPr/>
      </w:pPr>
      <w:r>
        <w:rPr>
          <w:rFonts w:ascii="Times New Roman;serif" w:hAnsi="Times New Roman;serif"/>
          <w:b w:val="false"/>
          <w:color w:val="000000"/>
          <w:sz w:val="24"/>
        </w:rPr>
        <w:t>3.    </w:t>
      </w:r>
      <w:r>
        <w:rPr>
          <w:rFonts w:ascii="Times New Roman;serif" w:hAnsi="Times New Roman;serif"/>
          <w:b/>
          <w:color w:val="000000"/>
          <w:sz w:val="24"/>
          <w:u w:val="single"/>
        </w:rPr>
        <w:t>Composition and Responsibilities of Certain Committees</w:t>
      </w:r>
      <w:r>
        <w:rPr>
          <w:rFonts w:ascii="Times New Roman;serif" w:hAnsi="Times New Roman;serif"/>
          <w:b/>
          <w:color w:val="000000"/>
          <w:sz w:val="24"/>
        </w:rPr>
        <w:t>.</w:t>
      </w:r>
      <w:r>
        <w:rPr>
          <w:color w:val="000000"/>
        </w:rPr>
        <w:t> </w:t>
      </w:r>
      <w:r>
        <w:rPr>
          <w:rFonts w:ascii="Times New Roman;serif" w:hAnsi="Times New Roman;serif"/>
          <w:b w:val="false"/>
          <w:color w:val="000000"/>
          <w:sz w:val="24"/>
        </w:rPr>
        <w:t>The composition of the Audit and Ethics Committee, the Compensation and Human Capital Committee and the Corporate Governance and Nominating Committee each shall satisfy the independence and other requirements of the New York Stock Exchange and the Securities and Exchange Commission as then in effect. The responsibilities of each of these committees shall be set forth in the committee’s charter as approved by the Board of Directors.</w:t>
      </w:r>
    </w:p>
    <w:p>
      <w:pPr>
        <w:pStyle w:val="TextBody"/>
        <w:bidi w:val="0"/>
        <w:spacing w:before="0" w:after="0"/>
        <w:jc w:val="left"/>
        <w:rPr/>
      </w:pPr>
      <w:r>
        <w:rPr/>
      </w:r>
    </w:p>
    <w:p>
      <w:pPr>
        <w:pStyle w:val="TextBody"/>
        <w:bidi w:val="0"/>
        <w:spacing w:lineRule="auto" w:line="333" w:before="0" w:after="0"/>
        <w:jc w:val="center"/>
        <w:rPr/>
      </w:pPr>
      <w:r>
        <w:rPr>
          <w:rFonts w:ascii="Times New Roman;serif" w:hAnsi="Times New Roman;serif"/>
          <w:b/>
          <w:color w:val="000000"/>
          <w:sz w:val="24"/>
          <w:u w:val="single"/>
        </w:rPr>
        <w:t>ARTICLE VII</w:t>
        <w:br/>
      </w:r>
      <w:r>
        <w:rPr>
          <w:color w:val="000000"/>
        </w:rPr>
        <w:t>     </w:t>
      </w:r>
      <w:r>
        <w:rPr>
          <w:rFonts w:ascii="Times New Roman;serif" w:hAnsi="Times New Roman;serif"/>
          <w:b/>
          <w:color w:val="000000"/>
          <w:sz w:val="24"/>
          <w:u w:val="single"/>
        </w:rPr>
        <w:br/>
        <w:t>COMPENSATION OF DIRECTORS</w:t>
      </w:r>
    </w:p>
    <w:p>
      <w:pPr>
        <w:pStyle w:val="TextBody"/>
        <w:bidi w:val="0"/>
        <w:spacing w:before="0" w:after="0"/>
        <w:jc w:val="center"/>
        <w:rPr/>
      </w:pPr>
      <w:r>
        <w:rPr/>
      </w:r>
    </w:p>
    <w:p>
      <w:pPr>
        <w:pStyle w:val="TextBody"/>
        <w:bidi w:val="0"/>
        <w:spacing w:lineRule="auto" w:line="333"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Board of Directors may fix the compensation of the directors for their services, which compensation may include an annual fee, a fixed sum and expenses for attendance at regular or special meetings of the Board of Directors or any committee thereof, and such other benefits as the Board of Directors may determine. Nothing herein contained shall be construed to preclude any director from serving the corporation in any other capacity and receiving compensation therefor.</w:t>
      </w:r>
    </w:p>
    <w:p>
      <w:pPr>
        <w:pStyle w:val="TextBody"/>
        <w:bidi w:val="0"/>
        <w:spacing w:before="0" w:after="0"/>
        <w:jc w:val="left"/>
        <w:rPr/>
      </w:pPr>
      <w:r>
        <w:rPr/>
      </w:r>
    </w:p>
    <w:p>
      <w:pPr>
        <w:pStyle w:val="TextBody"/>
        <w:bidi w:val="0"/>
        <w:spacing w:lineRule="auto" w:line="333" w:before="0" w:after="0"/>
        <w:jc w:val="center"/>
        <w:rPr/>
      </w:pPr>
      <w:r>
        <w:rPr>
          <w:rFonts w:ascii="Times New Roman;serif" w:hAnsi="Times New Roman;serif"/>
          <w:b/>
          <w:color w:val="000000"/>
          <w:sz w:val="24"/>
          <w:u w:val="single"/>
        </w:rPr>
        <w:t>ARTICLE VIII</w:t>
        <w:br/>
      </w:r>
      <w:r>
        <w:rPr>
          <w:color w:val="000000"/>
        </w:rPr>
        <w:t>     </w:t>
      </w:r>
      <w:r>
        <w:rPr>
          <w:rFonts w:ascii="Times New Roman;serif" w:hAnsi="Times New Roman;serif"/>
          <w:b/>
          <w:color w:val="000000"/>
          <w:sz w:val="24"/>
          <w:u w:val="single"/>
        </w:rPr>
        <w:br/>
        <w:t>MEETINGS OF DIRECTORS; </w:t>
        <w:br/>
        <w:t>ACTION WITHOUT A MEETING</w:t>
      </w:r>
    </w:p>
    <w:p>
      <w:pPr>
        <w:pStyle w:val="TextBody"/>
        <w:bidi w:val="0"/>
        <w:spacing w:before="0" w:after="0"/>
        <w:jc w:val="center"/>
        <w:rPr/>
      </w:pPr>
      <w:r>
        <w:rPr/>
      </w:r>
    </w:p>
    <w:p>
      <w:pPr>
        <w:pStyle w:val="TextBody"/>
        <w:bidi w:val="0"/>
        <w:spacing w:lineRule="auto" w:line="333" w:before="0" w:after="0"/>
        <w:ind w:left="0" w:right="0" w:firstLine="720"/>
        <w:jc w:val="left"/>
        <w:rPr/>
      </w:pPr>
      <w:r>
        <w:rPr>
          <w:rFonts w:ascii="Times New Roman;serif" w:hAnsi="Times New Roman;serif"/>
          <w:b w:val="false"/>
          <w:color w:val="000000"/>
          <w:sz w:val="24"/>
        </w:rPr>
        <w:t>1.    </w:t>
      </w:r>
      <w:r>
        <w:rPr>
          <w:rFonts w:ascii="Times New Roman;serif" w:hAnsi="Times New Roman;serif"/>
          <w:b/>
          <w:color w:val="000000"/>
          <w:sz w:val="24"/>
          <w:u w:val="single"/>
        </w:rPr>
        <w:t>Meetings of Directors</w:t>
      </w:r>
      <w:r>
        <w:rPr>
          <w:rFonts w:ascii="Times New Roman;serif" w:hAnsi="Times New Roman;serif"/>
          <w:b/>
          <w:color w:val="000000"/>
          <w:sz w:val="24"/>
        </w:rPr>
        <w:t>.</w:t>
      </w:r>
      <w:r>
        <w:rPr>
          <w:color w:val="000000"/>
        </w:rPr>
        <w:t> </w:t>
      </w:r>
      <w:r>
        <w:rPr>
          <w:rFonts w:ascii="Times New Roman;serif" w:hAnsi="Times New Roman;serif"/>
          <w:b w:val="false"/>
          <w:color w:val="000000"/>
          <w:sz w:val="24"/>
        </w:rPr>
        <w:t>Regular meetings of the Board of Directors may be held pursuant to resolutions from time to time adopted by the Board of Directors, without further notice of the date, time, place or purpose of the meeting.</w:t>
      </w:r>
    </w:p>
    <w:p>
      <w:pPr>
        <w:pStyle w:val="TextBody"/>
        <w:bidi w:val="0"/>
        <w:spacing w:before="0" w:after="0"/>
        <w:ind w:left="0" w:right="0" w:firstLine="720"/>
        <w:jc w:val="left"/>
        <w:rPr/>
      </w:pPr>
      <w:r>
        <w:rPr/>
      </w:r>
    </w:p>
    <w:p>
      <w:pPr>
        <w:pStyle w:val="TextBody"/>
        <w:bidi w:val="0"/>
        <w:spacing w:lineRule="auto" w:line="333"/>
        <w:ind w:left="0" w:right="0" w:firstLine="720"/>
        <w:jc w:val="left"/>
        <w:rPr/>
      </w:pPr>
      <w:r>
        <w:rPr>
          <w:rFonts w:ascii="Times New Roman;serif" w:hAnsi="Times New Roman;serif"/>
          <w:b w:val="false"/>
          <w:color w:val="000000"/>
          <w:sz w:val="24"/>
        </w:rPr>
        <w:t>2.    </w:t>
      </w:r>
      <w:r>
        <w:rPr>
          <w:rFonts w:ascii="Times New Roman;serif" w:hAnsi="Times New Roman;serif"/>
          <w:b/>
          <w:color w:val="000000"/>
          <w:sz w:val="24"/>
          <w:u w:val="single"/>
        </w:rPr>
        <w:t>Special Meetings of Directors</w:t>
      </w:r>
      <w:r>
        <w:rPr>
          <w:rFonts w:ascii="Times New Roman;serif" w:hAnsi="Times New Roman;serif"/>
          <w:b/>
          <w:color w:val="000000"/>
          <w:sz w:val="24"/>
        </w:rPr>
        <w:t>.</w:t>
      </w:r>
      <w:r>
        <w:rPr>
          <w:color w:val="000000"/>
        </w:rPr>
        <w:t> </w:t>
      </w:r>
      <w:r>
        <w:rPr>
          <w:rFonts w:ascii="Times New Roman;serif" w:hAnsi="Times New Roman;serif"/>
          <w:b w:val="false"/>
          <w:color w:val="000000"/>
          <w:sz w:val="24"/>
        </w:rPr>
        <w:t xml:space="preserve">Special meetings of the Board of Directors may be called by the Chairman of the Board or the Lead Director on at least 24 hours’ notice to each director of the date, time and place thereof, and shall be called by the Chairman of the Board or the Lead Director or by the Secretary on like notice on the request in writing of a majority of the </w:t>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385445"/>
                <wp:effectExtent l="0" t="0" r="0" b="0"/>
                <wp:wrapNone/>
                <wp:docPr id="150" name="Frame14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total number of directors in office at the time of such request. Except as may be otherwise required by the Articles of Incorporation or these bylaws, the purpose or purposes of any such special meeting need not be stated in such notice.</w:t>
      </w:r>
    </w:p>
    <w:p>
      <w:pPr>
        <w:pStyle w:val="TextBody"/>
        <w:bidi w:val="0"/>
        <w:spacing w:before="0" w:after="0"/>
        <w:ind w:left="0" w:right="0" w:firstLine="720"/>
        <w:jc w:val="left"/>
        <w:rPr/>
      </w:pPr>
      <w:r>
        <w:rPr/>
      </w:r>
    </w:p>
    <w:p>
      <w:pPr>
        <w:pStyle w:val="TextBody"/>
        <w:bidi w:val="0"/>
        <w:spacing w:lineRule="auto" w:line="333" w:before="0" w:after="0"/>
        <w:ind w:left="0" w:right="0" w:firstLine="720"/>
        <w:jc w:val="left"/>
        <w:rPr/>
      </w:pPr>
      <w:r>
        <w:rPr>
          <w:rFonts w:ascii="Times New Roman;serif" w:hAnsi="Times New Roman;serif"/>
          <w:b w:val="false"/>
          <w:color w:val="000000"/>
          <w:sz w:val="24"/>
        </w:rPr>
        <w:t>3.    </w:t>
      </w:r>
      <w:r>
        <w:rPr>
          <w:rFonts w:ascii="Times New Roman;serif" w:hAnsi="Times New Roman;serif"/>
          <w:b/>
          <w:color w:val="000000"/>
          <w:sz w:val="24"/>
          <w:u w:val="single"/>
        </w:rPr>
        <w:t>Notice</w:t>
      </w:r>
      <w:r>
        <w:rPr>
          <w:rFonts w:ascii="Times New Roman;serif" w:hAnsi="Times New Roman;serif"/>
          <w:b/>
          <w:color w:val="000000"/>
          <w:sz w:val="24"/>
        </w:rPr>
        <w:t>.</w:t>
      </w:r>
      <w:r>
        <w:rPr>
          <w:color w:val="000000"/>
        </w:rPr>
        <w:t> </w:t>
      </w:r>
      <w:r>
        <w:rPr>
          <w:rFonts w:ascii="Times New Roman;serif" w:hAnsi="Times New Roman;serif"/>
          <w:b w:val="false"/>
          <w:color w:val="000000"/>
          <w:sz w:val="24"/>
        </w:rPr>
        <w:t>Notice of any meeting of the Board of Directors may be given by mailing or delivering such notice to each director at the director’s residence or business address or by telephone or electronic transmission as set forth in this Section. Notice of the date, time, place or purpose of a regular or special meeting of the Board of Directors may be given by a form of electronic transmission consented to by the director to whom the notice is given. Any such consent of a director shall be revocable by the director by written notice to the corporation. Any such consent shall be deemed revoked if (i) the corporation is unable to deliver by electronic transmission two consecutive notices given by the corporation in accordance with such consent and (ii) such inability becomes known to the Secretary or other person responsible for the giving of notice; </w:t>
      </w:r>
      <w:r>
        <w:rPr>
          <w:rFonts w:ascii="Times New Roman;serif" w:hAnsi="Times New Roman;serif"/>
          <w:b w:val="false"/>
          <w:i/>
          <w:color w:val="000000"/>
          <w:sz w:val="24"/>
        </w:rPr>
        <w:t>provided, however,</w:t>
      </w:r>
      <w:r>
        <w:rPr>
          <w:color w:val="000000"/>
        </w:rPr>
        <w:t> </w:t>
      </w:r>
      <w:r>
        <w:rPr>
          <w:rFonts w:ascii="Times New Roman;serif" w:hAnsi="Times New Roman;serif"/>
          <w:b w:val="false"/>
          <w:color w:val="000000"/>
          <w:sz w:val="24"/>
        </w:rPr>
        <w:t>the inadvertent failure to treat such inability as a revocation shall not invalidate any meeting or other action. Notice given by electronic transmission shall be deemed given: (a) if by facsimile telecommunication, when directed to a number at which the director has consented to receive notice; (b) if by electronic mail, when directed to an electronic mail address at which the director has consented to receive notice; (c) if by a posting on an electronic network together with separate notice to the director of such specific posting when such notice is directed to an address at which the director has consented to receive notice, upon the later of such posting or the giving of such separate notice; and (d) if by any other form of electronic transmission, when consented to by the director. Any notice shall state the time and place of the meeting. Meetings may be held without notice if all of the directors are present or those not present waive notice before or after the meeting.</w:t>
      </w:r>
    </w:p>
    <w:p>
      <w:pPr>
        <w:pStyle w:val="TextBody"/>
        <w:bidi w:val="0"/>
        <w:spacing w:before="0" w:after="0"/>
        <w:ind w:left="0" w:right="0" w:firstLine="720"/>
        <w:jc w:val="left"/>
        <w:rPr/>
      </w:pPr>
      <w:r>
        <w:rPr/>
      </w:r>
    </w:p>
    <w:p>
      <w:pPr>
        <w:pStyle w:val="TextBody"/>
        <w:bidi w:val="0"/>
        <w:spacing w:lineRule="auto" w:line="333" w:before="0" w:after="0"/>
        <w:ind w:left="0" w:right="0" w:firstLine="720"/>
        <w:jc w:val="left"/>
        <w:rPr/>
      </w:pPr>
      <w:r>
        <w:rPr>
          <w:rFonts w:ascii="Times New Roman;serif" w:hAnsi="Times New Roman;serif"/>
          <w:b w:val="false"/>
          <w:color w:val="000000"/>
          <w:sz w:val="24"/>
        </w:rPr>
        <w:t>4.    </w:t>
      </w:r>
      <w:r>
        <w:rPr>
          <w:rFonts w:ascii="Times New Roman;serif" w:hAnsi="Times New Roman;serif"/>
          <w:b/>
          <w:color w:val="000000"/>
          <w:sz w:val="24"/>
          <w:u w:val="single"/>
        </w:rPr>
        <w:t>Place of Meetings</w:t>
      </w:r>
      <w:r>
        <w:rPr>
          <w:rFonts w:ascii="Times New Roman;serif" w:hAnsi="Times New Roman;serif"/>
          <w:b/>
          <w:color w:val="000000"/>
          <w:sz w:val="24"/>
        </w:rPr>
        <w:t>.</w:t>
      </w:r>
      <w:r>
        <w:rPr>
          <w:color w:val="000000"/>
        </w:rPr>
        <w:t> </w:t>
      </w:r>
      <w:r>
        <w:rPr>
          <w:rFonts w:ascii="Times New Roman;serif" w:hAnsi="Times New Roman;serif"/>
          <w:b w:val="false"/>
          <w:color w:val="000000"/>
          <w:sz w:val="24"/>
        </w:rPr>
        <w:t>The Board of Directors may hold its meetings, have one or more offices and, subject to the laws of the Commonwealth of Virginia, keep the share transfer books and other books and records of the corporation, within or without said Commonwealth, at such place or places as it may from time to time determine.</w:t>
      </w:r>
    </w:p>
    <w:p>
      <w:pPr>
        <w:pStyle w:val="TextBody"/>
        <w:bidi w:val="0"/>
        <w:spacing w:before="0" w:after="0"/>
        <w:ind w:left="0" w:right="0" w:firstLine="720"/>
        <w:jc w:val="left"/>
        <w:rPr/>
      </w:pPr>
      <w:r>
        <w:rPr/>
      </w:r>
    </w:p>
    <w:p>
      <w:pPr>
        <w:pStyle w:val="TextBody"/>
        <w:bidi w:val="0"/>
        <w:spacing w:lineRule="auto" w:line="333" w:before="0" w:after="0"/>
        <w:ind w:left="0" w:right="0" w:firstLine="720"/>
        <w:jc w:val="left"/>
        <w:rPr/>
      </w:pPr>
      <w:r>
        <w:rPr>
          <w:rFonts w:ascii="Times New Roman;serif" w:hAnsi="Times New Roman;serif"/>
          <w:b w:val="false"/>
          <w:color w:val="000000"/>
          <w:sz w:val="24"/>
        </w:rPr>
        <w:t>5.    </w:t>
      </w:r>
      <w:r>
        <w:rPr>
          <w:rFonts w:ascii="Times New Roman;serif" w:hAnsi="Times New Roman;serif"/>
          <w:b/>
          <w:color w:val="000000"/>
          <w:sz w:val="24"/>
          <w:u w:val="single"/>
        </w:rPr>
        <w:t>Quorum</w:t>
      </w:r>
      <w:r>
        <w:rPr>
          <w:rFonts w:ascii="Times New Roman;serif" w:hAnsi="Times New Roman;serif"/>
          <w:b/>
          <w:color w:val="000000"/>
          <w:sz w:val="24"/>
        </w:rPr>
        <w:t>.</w:t>
      </w:r>
      <w:r>
        <w:rPr>
          <w:color w:val="000000"/>
        </w:rPr>
        <w:t> </w:t>
      </w:r>
      <w:r>
        <w:rPr>
          <w:rFonts w:ascii="Times New Roman;serif" w:hAnsi="Times New Roman;serif"/>
          <w:b w:val="false"/>
          <w:color w:val="000000"/>
          <w:sz w:val="24"/>
        </w:rPr>
        <w:t>At each meeting of the Board of Directors the presence of a majority of the total number of directors in office immediately before the meeting begins shall be necessary and sufficient to constitute a quorum for the transaction of business, and, except as otherwise provided by the Articles of Incorporation or these bylaws, if a quorum shall be present the affirmative vote of a majority of the directors present shall be the act of the Board of Directors. A majority of the directors present at the meeting even if less than a quorum may adjourn or postpone the meeting to a fixed time and place, no further notice of the adjourned or postponed meeting being required.</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385445"/>
                <wp:effectExtent l="0" t="0" r="0" b="0"/>
                <wp:wrapNone/>
                <wp:docPr id="151" name="Frame15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ind w:left="0" w:right="0" w:firstLine="720"/>
        <w:jc w:val="left"/>
        <w:rPr/>
      </w:pPr>
      <w:r>
        <w:rPr>
          <w:rFonts w:ascii="Times New Roman;serif" w:hAnsi="Times New Roman;serif"/>
          <w:b w:val="false"/>
          <w:color w:val="000000"/>
          <w:sz w:val="24"/>
        </w:rPr>
        <w:t>6.    </w:t>
      </w:r>
      <w:r>
        <w:rPr>
          <w:rFonts w:ascii="Times New Roman;serif" w:hAnsi="Times New Roman;serif"/>
          <w:b/>
          <w:color w:val="000000"/>
          <w:sz w:val="24"/>
          <w:u w:val="single"/>
        </w:rPr>
        <w:t>Actions Without Meetings</w:t>
      </w:r>
      <w:r>
        <w:rPr>
          <w:rFonts w:ascii="Times New Roman;serif" w:hAnsi="Times New Roman;serif"/>
          <w:b/>
          <w:color w:val="000000"/>
          <w:sz w:val="24"/>
        </w:rPr>
        <w:t>.</w:t>
      </w:r>
      <w:r>
        <w:rPr>
          <w:color w:val="000000"/>
        </w:rPr>
        <w:t> </w:t>
      </w:r>
      <w:r>
        <w:rPr>
          <w:rFonts w:ascii="Times New Roman;serif" w:hAnsi="Times New Roman;serif"/>
          <w:b w:val="false"/>
          <w:color w:val="000000"/>
          <w:sz w:val="24"/>
        </w:rPr>
        <w:t>Any action required or permitted to be taken at any meeting of the Board of Directors may be taken without a meeting if one or more written consents stating the action taken, signed by each director either before or after the action is taken, are included in the minutes or filed with the corporate records. Such written consents and the signing thereof may be accomplished by one or more electronic transmissions.</w:t>
      </w:r>
    </w:p>
    <w:p>
      <w:pPr>
        <w:pStyle w:val="TextBody"/>
        <w:bidi w:val="0"/>
        <w:spacing w:before="0" w:after="0"/>
        <w:ind w:left="0" w:right="0" w:firstLine="720"/>
        <w:jc w:val="left"/>
        <w:rPr/>
      </w:pPr>
      <w:r>
        <w:rPr/>
      </w:r>
    </w:p>
    <w:p>
      <w:pPr>
        <w:pStyle w:val="TextBody"/>
        <w:bidi w:val="0"/>
        <w:spacing w:lineRule="auto" w:line="333" w:before="0" w:after="0"/>
        <w:ind w:left="0" w:right="0" w:firstLine="720"/>
        <w:jc w:val="left"/>
        <w:rPr/>
      </w:pPr>
      <w:r>
        <w:rPr>
          <w:rFonts w:ascii="Times New Roman;serif" w:hAnsi="Times New Roman;serif"/>
          <w:b w:val="false"/>
          <w:color w:val="000000"/>
          <w:sz w:val="24"/>
        </w:rPr>
        <w:t>7.    </w:t>
      </w:r>
      <w:r>
        <w:rPr>
          <w:rFonts w:ascii="Times New Roman;serif" w:hAnsi="Times New Roman;serif"/>
          <w:b/>
          <w:color w:val="000000"/>
          <w:sz w:val="24"/>
          <w:u w:val="single"/>
        </w:rPr>
        <w:t>Telephone Meetings</w:t>
      </w:r>
      <w:r>
        <w:rPr>
          <w:rFonts w:ascii="Times New Roman;serif" w:hAnsi="Times New Roman;serif"/>
          <w:b/>
          <w:color w:val="000000"/>
          <w:sz w:val="24"/>
        </w:rPr>
        <w:t>.</w:t>
      </w:r>
      <w:r>
        <w:rPr>
          <w:color w:val="000000"/>
        </w:rPr>
        <w:t> </w:t>
      </w:r>
      <w:r>
        <w:rPr>
          <w:rFonts w:ascii="Times New Roman;serif" w:hAnsi="Times New Roman;serif"/>
          <w:b w:val="false"/>
          <w:color w:val="000000"/>
          <w:sz w:val="24"/>
        </w:rPr>
        <w:t>Any or all directors may participate in any regular or special meeting of the Board of Directors or any committee thereof, or conduct such meeting, through the use of, any means of communication by which all directors participating may simultaneously hear each other and a director participating in a meeting by this means shall be deemed to be present in person at such meeting.</w:t>
      </w:r>
    </w:p>
    <w:p>
      <w:pPr>
        <w:pStyle w:val="TextBody"/>
        <w:bidi w:val="0"/>
        <w:spacing w:before="0" w:after="0"/>
        <w:ind w:left="0" w:right="0" w:firstLine="720"/>
        <w:jc w:val="left"/>
        <w:rPr/>
      </w:pPr>
      <w:r>
        <w:rPr/>
      </w:r>
    </w:p>
    <w:p>
      <w:pPr>
        <w:pStyle w:val="TextBody"/>
        <w:bidi w:val="0"/>
        <w:spacing w:lineRule="auto" w:line="333" w:before="0" w:after="0"/>
        <w:ind w:left="0" w:right="0" w:firstLine="720"/>
        <w:jc w:val="left"/>
        <w:rPr/>
      </w:pPr>
      <w:r>
        <w:rPr>
          <w:rFonts w:ascii="Times New Roman;serif" w:hAnsi="Times New Roman;serif"/>
          <w:b w:val="false"/>
          <w:color w:val="000000"/>
          <w:sz w:val="24"/>
        </w:rPr>
        <w:t>8.    </w:t>
      </w:r>
      <w:r>
        <w:rPr>
          <w:rFonts w:ascii="Times New Roman;serif" w:hAnsi="Times New Roman;serif"/>
          <w:b/>
          <w:color w:val="000000"/>
          <w:sz w:val="24"/>
          <w:u w:val="single"/>
        </w:rPr>
        <w:t>Waivers</w:t>
      </w:r>
      <w:r>
        <w:rPr>
          <w:rFonts w:ascii="Times New Roman;serif" w:hAnsi="Times New Roman;serif"/>
          <w:b/>
          <w:color w:val="000000"/>
          <w:sz w:val="24"/>
        </w:rPr>
        <w:t>.</w:t>
      </w:r>
      <w:r>
        <w:rPr>
          <w:color w:val="000000"/>
        </w:rPr>
        <w:t> </w:t>
      </w:r>
      <w:r>
        <w:rPr>
          <w:rFonts w:ascii="Times New Roman;serif" w:hAnsi="Times New Roman;serif"/>
          <w:b w:val="false"/>
          <w:color w:val="000000"/>
          <w:sz w:val="24"/>
        </w:rPr>
        <w:t>Whenever by statute, the Articles of Incorporation or these bylaws a notice is required to be given, a written waiver thereof; signed by the person entitled to notice, whether before or after the time stated therein, and filed with the corporate records or the minutes of the meeting, shall be equivalent to notice. Attendance of any shareholder or director at any meeting thereof shall constitute a waiver of notice of such meeting by such shareholder or director, as the case may be, except as otherwise provided by statute.</w:t>
      </w:r>
    </w:p>
    <w:p>
      <w:pPr>
        <w:pStyle w:val="TextBody"/>
        <w:bidi w:val="0"/>
        <w:spacing w:before="0" w:after="0"/>
        <w:ind w:left="0" w:right="0" w:firstLine="720"/>
        <w:jc w:val="left"/>
        <w:rPr/>
      </w:pPr>
      <w:r>
        <w:rPr/>
      </w:r>
    </w:p>
    <w:p>
      <w:pPr>
        <w:pStyle w:val="TextBody"/>
        <w:bidi w:val="0"/>
        <w:spacing w:lineRule="auto" w:line="333" w:before="0" w:after="0"/>
        <w:jc w:val="center"/>
        <w:rPr/>
      </w:pPr>
      <w:r>
        <w:rPr>
          <w:rFonts w:ascii="Times New Roman;serif" w:hAnsi="Times New Roman;serif"/>
          <w:b/>
          <w:color w:val="000000"/>
          <w:sz w:val="24"/>
          <w:u w:val="single"/>
        </w:rPr>
        <w:t>ARTICLE IX</w:t>
        <w:br/>
      </w:r>
      <w:r>
        <w:rPr>
          <w:color w:val="000000"/>
        </w:rPr>
        <w:t>     </w:t>
      </w:r>
      <w:r>
        <w:rPr>
          <w:rFonts w:ascii="Times New Roman;serif" w:hAnsi="Times New Roman;serif"/>
          <w:b/>
          <w:color w:val="000000"/>
          <w:sz w:val="24"/>
          <w:u w:val="single"/>
        </w:rPr>
        <w:br/>
        <w:t>OFFICERS</w:t>
      </w:r>
    </w:p>
    <w:p>
      <w:pPr>
        <w:pStyle w:val="TextBody"/>
        <w:bidi w:val="0"/>
        <w:spacing w:lineRule="auto" w:line="333" w:before="0" w:after="0"/>
        <w:ind w:left="0" w:right="0" w:firstLine="720"/>
        <w:jc w:val="left"/>
        <w:rPr/>
      </w:pPr>
      <w:r>
        <w:rPr>
          <w:rFonts w:ascii="Times New Roman;serif" w:hAnsi="Times New Roman;serif"/>
          <w:b w:val="false"/>
          <w:color w:val="000000"/>
          <w:sz w:val="24"/>
        </w:rPr>
        <w:t>1.    </w:t>
      </w:r>
      <w:r>
        <w:rPr>
          <w:rFonts w:ascii="Times New Roman;serif" w:hAnsi="Times New Roman;serif"/>
          <w:b/>
          <w:color w:val="000000"/>
          <w:sz w:val="24"/>
          <w:u w:val="single"/>
        </w:rPr>
        <w:t>Officers</w:t>
      </w:r>
      <w:r>
        <w:rPr>
          <w:rFonts w:ascii="Times New Roman;serif" w:hAnsi="Times New Roman;serif"/>
          <w:b/>
          <w:color w:val="000000"/>
          <w:sz w:val="24"/>
        </w:rPr>
        <w:t>.</w:t>
      </w:r>
      <w:r>
        <w:rPr>
          <w:color w:val="000000"/>
        </w:rPr>
        <w:t> </w:t>
      </w:r>
      <w:r>
        <w:rPr>
          <w:rFonts w:ascii="Times New Roman;serif" w:hAnsi="Times New Roman;serif"/>
          <w:b w:val="false"/>
          <w:color w:val="000000"/>
          <w:sz w:val="24"/>
        </w:rPr>
        <w:t>The officers of the corporation shall be chosen by the Board of Directors and shall be a Chief Executive Officer, a President, one or more Vice Presidents, a Chief Legal Officer, a Treasurer and a Secretary. The Board of Directors may also appoint a Controller and one or more Executive Vice Presidents, Senior Vice Presidents, Assistant Treasurers, Assistant Controllers and Assistant Secretaries, and such other officers as it may deem necessary or advisable. Any number of offices may be held by the same person. The Board of Directors may authorize an officer to appoint one or more other officers or assistant officers. The officers shall hold their offices for such terms and shall exercise such powers and perform such duties as shall be prescribed from time to time by these bylaws, the Board of Directors or by direction of an officer authorized by the Board of Directors to prescribe duties of other officers.</w:t>
      </w:r>
    </w:p>
    <w:p>
      <w:pPr>
        <w:pStyle w:val="TextBody"/>
        <w:bidi w:val="0"/>
        <w:spacing w:before="0" w:after="0"/>
        <w:ind w:left="0" w:right="0" w:firstLine="720"/>
        <w:jc w:val="left"/>
        <w:rPr/>
      </w:pPr>
      <w:r>
        <w:rPr/>
      </w:r>
    </w:p>
    <w:p>
      <w:pPr>
        <w:pStyle w:val="TextBody"/>
        <w:bidi w:val="0"/>
        <w:spacing w:lineRule="auto" w:line="333" w:before="0" w:after="0"/>
        <w:ind w:left="0" w:right="0" w:firstLine="720"/>
        <w:jc w:val="left"/>
        <w:rPr/>
      </w:pPr>
      <w:r>
        <w:rPr>
          <w:rFonts w:ascii="Times New Roman;serif" w:hAnsi="Times New Roman;serif"/>
          <w:b w:val="false"/>
          <w:color w:val="000000"/>
          <w:sz w:val="24"/>
        </w:rPr>
        <w:t>2.    </w:t>
      </w:r>
      <w:r>
        <w:rPr>
          <w:rFonts w:ascii="Times New Roman;serif" w:hAnsi="Times New Roman;serif"/>
          <w:b/>
          <w:color w:val="000000"/>
          <w:sz w:val="24"/>
          <w:u w:val="single"/>
        </w:rPr>
        <w:t>Election of Officers</w:t>
      </w:r>
      <w:r>
        <w:rPr>
          <w:rFonts w:ascii="Times New Roman;serif" w:hAnsi="Times New Roman;serif"/>
          <w:b/>
          <w:color w:val="000000"/>
          <w:sz w:val="24"/>
        </w:rPr>
        <w:t>.</w:t>
      </w:r>
      <w:r>
        <w:rPr>
          <w:color w:val="000000"/>
        </w:rPr>
        <w:t> </w:t>
      </w:r>
      <w:r>
        <w:rPr>
          <w:rFonts w:ascii="Times New Roman;serif" w:hAnsi="Times New Roman;serif"/>
          <w:b w:val="false"/>
          <w:color w:val="000000"/>
          <w:sz w:val="24"/>
        </w:rPr>
        <w:t>The Board of Directors, at its first meeting after the annual meeting of shareholders, shall choose the officers, who need not be members of the Board of Directors.</w:t>
      </w:r>
    </w:p>
    <w:p>
      <w:pPr>
        <w:pStyle w:val="TextBody"/>
        <w:bidi w:val="0"/>
        <w:spacing w:before="0" w:after="0"/>
        <w:jc w:val="left"/>
        <w:rPr/>
      </w:pPr>
      <w:r>
        <w:rPr/>
      </w:r>
    </w:p>
    <w:p>
      <w:pPr>
        <w:pStyle w:val="TextBody"/>
        <w:bidi w:val="0"/>
        <w:spacing w:lineRule="auto" w:line="333"/>
        <w:ind w:left="0" w:right="0" w:firstLine="720"/>
        <w:jc w:val="left"/>
        <w:rPr/>
      </w:pPr>
      <w:r>
        <w:rPr>
          <w:rFonts w:ascii="Times New Roman;serif" w:hAnsi="Times New Roman;serif"/>
          <w:b w:val="false"/>
          <w:color w:val="000000"/>
          <w:sz w:val="24"/>
        </w:rPr>
        <w:t>3.    </w:t>
      </w:r>
      <w:r>
        <w:rPr>
          <w:rFonts w:ascii="Times New Roman;serif" w:hAnsi="Times New Roman;serif"/>
          <w:b/>
          <w:color w:val="000000"/>
          <w:sz w:val="24"/>
          <w:u w:val="single"/>
        </w:rPr>
        <w:t>Term</w:t>
      </w:r>
      <w:r>
        <w:rPr>
          <w:rFonts w:ascii="Times New Roman;serif" w:hAnsi="Times New Roman;serif"/>
          <w:b/>
          <w:color w:val="000000"/>
          <w:sz w:val="24"/>
        </w:rPr>
        <w:t>.</w:t>
      </w:r>
      <w:r>
        <w:rPr>
          <w:color w:val="000000"/>
        </w:rPr>
        <w:t> </w:t>
      </w:r>
      <w:r>
        <w:rPr>
          <w:rFonts w:ascii="Times New Roman;serif" w:hAnsi="Times New Roman;serif"/>
          <w:b w:val="false"/>
          <w:color w:val="000000"/>
          <w:sz w:val="24"/>
        </w:rPr>
        <w:t xml:space="preserve">The officers of the corporation shall hold office until their successors are chosen and qualified. Any officer may at any time be removed by the Board of Directors or, in </w:t>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385445"/>
                <wp:effectExtent l="0" t="0" r="0" b="0"/>
                <wp:wrapNone/>
                <wp:docPr id="152" name="Frame15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the case of an officer appointed by another officer as provided in these bylaws, by such other officer. If the office of any officer becomes vacant for any reason, the vacancy may be filled by the Board of Directors or, in the case of an officer so appointed, by such other officer.</w:t>
      </w:r>
    </w:p>
    <w:p>
      <w:pPr>
        <w:pStyle w:val="TextBody"/>
        <w:bidi w:val="0"/>
        <w:spacing w:before="0" w:after="0"/>
        <w:ind w:left="0" w:right="0" w:firstLine="720"/>
        <w:jc w:val="left"/>
        <w:rPr/>
      </w:pPr>
      <w:r>
        <w:rPr/>
      </w:r>
    </w:p>
    <w:p>
      <w:pPr>
        <w:pStyle w:val="TextBody"/>
        <w:bidi w:val="0"/>
        <w:spacing w:lineRule="auto" w:line="333" w:before="0" w:after="0"/>
        <w:ind w:left="0" w:right="0" w:firstLine="720"/>
        <w:jc w:val="left"/>
        <w:rPr/>
      </w:pPr>
      <w:r>
        <w:rPr>
          <w:rFonts w:ascii="Times New Roman;serif" w:hAnsi="Times New Roman;serif"/>
          <w:b w:val="false"/>
          <w:color w:val="000000"/>
          <w:sz w:val="24"/>
        </w:rPr>
        <w:t>4.    </w:t>
      </w:r>
      <w:r>
        <w:rPr>
          <w:rFonts w:ascii="Times New Roman;serif" w:hAnsi="Times New Roman;serif"/>
          <w:b/>
          <w:color w:val="000000"/>
          <w:sz w:val="24"/>
          <w:u w:val="single"/>
        </w:rPr>
        <w:t>Resignation</w:t>
      </w:r>
      <w:r>
        <w:rPr>
          <w:rFonts w:ascii="Times New Roman;serif" w:hAnsi="Times New Roman;serif"/>
          <w:b/>
          <w:color w:val="000000"/>
          <w:sz w:val="24"/>
        </w:rPr>
        <w:t>.</w:t>
      </w:r>
      <w:r>
        <w:rPr>
          <w:color w:val="000000"/>
        </w:rPr>
        <w:t> </w:t>
      </w:r>
      <w:r>
        <w:rPr>
          <w:rFonts w:ascii="Times New Roman;serif" w:hAnsi="Times New Roman;serif"/>
          <w:b w:val="false"/>
          <w:color w:val="000000"/>
          <w:sz w:val="24"/>
        </w:rPr>
        <w:t>Any officer may resign at any time by delivering notice of his or her resignation to the Board of Directors or the Chairman of the Board or the Lead Director if the Chairman of the Board is not independent. Any such resignation may be effective when the notice is delivered or at such later date as may be specified therein if the corporation accepts such later date. Any such notice to the Board of Directors shall be addressed to it in care of the Chairman of the Board or the Lead Director if the Chairman of the Board is not independent or the Secretary.</w:t>
      </w:r>
    </w:p>
    <w:p>
      <w:pPr>
        <w:pStyle w:val="TextBody"/>
        <w:bidi w:val="0"/>
        <w:spacing w:before="0" w:after="0"/>
        <w:ind w:left="0" w:right="0" w:firstLine="720"/>
        <w:jc w:val="left"/>
        <w:rPr/>
      </w:pPr>
      <w:r>
        <w:rPr/>
      </w:r>
    </w:p>
    <w:p>
      <w:pPr>
        <w:pStyle w:val="TextBody"/>
        <w:bidi w:val="0"/>
        <w:spacing w:lineRule="auto" w:line="333" w:before="0" w:after="0"/>
        <w:jc w:val="center"/>
        <w:rPr/>
      </w:pPr>
      <w:r>
        <w:rPr>
          <w:rFonts w:ascii="Times New Roman;serif" w:hAnsi="Times New Roman;serif"/>
          <w:b/>
          <w:color w:val="000000"/>
          <w:sz w:val="24"/>
          <w:u w:val="single"/>
        </w:rPr>
        <w:t>ARTICLE X</w:t>
        <w:br/>
      </w:r>
      <w:r>
        <w:rPr>
          <w:color w:val="000000"/>
        </w:rPr>
        <w:t>     </w:t>
      </w:r>
      <w:r>
        <w:rPr>
          <w:rFonts w:ascii="Times New Roman;serif" w:hAnsi="Times New Roman;serif"/>
          <w:b/>
          <w:color w:val="000000"/>
          <w:sz w:val="24"/>
          <w:u w:val="single"/>
        </w:rPr>
        <w:br/>
        <w:t>CHIEF EXECUTIVE OFFICER</w:t>
      </w:r>
    </w:p>
    <w:p>
      <w:pPr>
        <w:pStyle w:val="TextBody"/>
        <w:bidi w:val="0"/>
        <w:spacing w:before="0" w:after="0"/>
        <w:jc w:val="center"/>
        <w:rPr/>
      </w:pPr>
      <w:r>
        <w:rPr/>
      </w:r>
    </w:p>
    <w:p>
      <w:pPr>
        <w:pStyle w:val="TextBody"/>
        <w:bidi w:val="0"/>
        <w:spacing w:lineRule="auto" w:line="333"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Subject to the supervision and direction of the Board of Directors, the Chief Executive Officer shall be responsible for managing the affairs of the corporation. The Chief Executive Officer shall have supervision and direction of all of the other officers of the corporation.</w:t>
      </w:r>
    </w:p>
    <w:p>
      <w:pPr>
        <w:pStyle w:val="TextBody"/>
        <w:bidi w:val="0"/>
        <w:spacing w:before="0" w:after="0"/>
        <w:ind w:left="0" w:right="0" w:firstLine="720"/>
        <w:jc w:val="left"/>
        <w:rPr/>
      </w:pPr>
      <w:r>
        <w:rPr/>
      </w:r>
    </w:p>
    <w:p>
      <w:pPr>
        <w:pStyle w:val="TextBody"/>
        <w:bidi w:val="0"/>
        <w:spacing w:lineRule="auto" w:line="333" w:before="0" w:after="0"/>
        <w:jc w:val="center"/>
        <w:rPr/>
      </w:pPr>
      <w:r>
        <w:rPr>
          <w:rFonts w:ascii="Times New Roman;serif" w:hAnsi="Times New Roman;serif"/>
          <w:b/>
          <w:color w:val="000000"/>
          <w:sz w:val="24"/>
          <w:u w:val="single"/>
        </w:rPr>
        <w:t>ARTICLE XI</w:t>
        <w:br/>
      </w:r>
      <w:r>
        <w:rPr>
          <w:color w:val="000000"/>
        </w:rPr>
        <w:t>     </w:t>
      </w:r>
      <w:r>
        <w:rPr>
          <w:rFonts w:ascii="Times New Roman;serif" w:hAnsi="Times New Roman;serif"/>
          <w:b/>
          <w:color w:val="000000"/>
          <w:sz w:val="24"/>
          <w:u w:val="single"/>
        </w:rPr>
        <w:br/>
        <w:t>PRESIDENT</w:t>
      </w:r>
    </w:p>
    <w:p>
      <w:pPr>
        <w:pStyle w:val="TextBody"/>
        <w:bidi w:val="0"/>
        <w:spacing w:before="0" w:after="0"/>
        <w:jc w:val="center"/>
        <w:rPr/>
      </w:pPr>
      <w:r>
        <w:rPr/>
      </w:r>
    </w:p>
    <w:p>
      <w:pPr>
        <w:pStyle w:val="TextBody"/>
        <w:bidi w:val="0"/>
        <w:spacing w:lineRule="auto" w:line="333"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President shall be the chief operating officer of the corporation and shall perform such duties as may be prescribed by these bylaws, or by the Chief Executive Officer. The President shall, in case of the absence or inability of the Chief Executive Officer to act, have the powers and perform the duties of the Chief Executive Officer.</w:t>
      </w:r>
    </w:p>
    <w:p>
      <w:pPr>
        <w:pStyle w:val="TextBody"/>
        <w:bidi w:val="0"/>
        <w:spacing w:before="0" w:after="0"/>
        <w:ind w:left="0" w:right="0" w:firstLine="720"/>
        <w:jc w:val="left"/>
        <w:rPr/>
      </w:pPr>
      <w:r>
        <w:rPr/>
      </w:r>
    </w:p>
    <w:p>
      <w:pPr>
        <w:pStyle w:val="TextBody"/>
        <w:bidi w:val="0"/>
        <w:spacing w:lineRule="auto" w:line="333" w:before="0" w:after="0"/>
        <w:jc w:val="center"/>
        <w:rPr/>
      </w:pPr>
      <w:r>
        <w:rPr>
          <w:rFonts w:ascii="Times New Roman;serif" w:hAnsi="Times New Roman;serif"/>
          <w:b/>
          <w:color w:val="000000"/>
          <w:sz w:val="24"/>
          <w:u w:val="single"/>
        </w:rPr>
        <w:t>ARTICLE XII</w:t>
        <w:br/>
      </w:r>
      <w:r>
        <w:rPr>
          <w:color w:val="000000"/>
        </w:rPr>
        <w:t>     </w:t>
      </w:r>
      <w:r>
        <w:rPr>
          <w:rFonts w:ascii="Times New Roman;serif" w:hAnsi="Times New Roman;serif"/>
          <w:b/>
          <w:color w:val="000000"/>
          <w:sz w:val="24"/>
          <w:u w:val="single"/>
        </w:rPr>
        <w:br/>
        <w:t>EXECUTIVE VICE PRESIDENTS, </w:t>
        <w:br/>
        <w:t>SENIOR VICE PRESIDENTS AND VICE PRESIDENTS</w:t>
      </w:r>
    </w:p>
    <w:p>
      <w:pPr>
        <w:pStyle w:val="TextBody"/>
        <w:bidi w:val="0"/>
        <w:spacing w:before="0" w:after="0"/>
        <w:jc w:val="center"/>
        <w:rPr/>
      </w:pPr>
      <w:r>
        <w:rPr/>
      </w:r>
    </w:p>
    <w:p>
      <w:pPr>
        <w:pStyle w:val="TextBody"/>
        <w:bidi w:val="0"/>
        <w:spacing w:lineRule="auto" w:line="333"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Executive Vice Presidents, the Senior Vice Presidents and the Vice Presidents shall have such powers and duties as may be delegated to them by the Chief Executive Officer.</w:t>
      </w:r>
    </w:p>
    <w:p>
      <w:pPr>
        <w:pStyle w:val="TextBody"/>
        <w:bidi w:val="0"/>
        <w:spacing w:before="0" w:after="0"/>
        <w:ind w:left="0" w:right="0" w:firstLine="720"/>
        <w:jc w:val="left"/>
        <w:rPr/>
      </w:pPr>
      <w:r>
        <w:rPr/>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385445"/>
                <wp:effectExtent l="0" t="0" r="0" b="0"/>
                <wp:wrapNone/>
                <wp:docPr id="153" name="Frame15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center"/>
        <w:rPr/>
      </w:pPr>
      <w:r>
        <w:rPr>
          <w:rFonts w:ascii="Times New Roman;serif" w:hAnsi="Times New Roman;serif"/>
          <w:b/>
          <w:color w:val="000000"/>
          <w:sz w:val="24"/>
          <w:u w:val="single"/>
        </w:rPr>
        <w:t>ARTICLE XIII</w:t>
        <w:br/>
      </w:r>
      <w:r>
        <w:rPr>
          <w:color w:val="000000"/>
        </w:rPr>
        <w:t>  </w:t>
      </w:r>
      <w:r>
        <w:rPr>
          <w:rFonts w:ascii="Times New Roman;serif" w:hAnsi="Times New Roman;serif"/>
          <w:b/>
          <w:color w:val="000000"/>
          <w:sz w:val="24"/>
          <w:u w:val="single"/>
        </w:rPr>
        <w:br/>
        <w:t>CHIEF LEGAL OFFICER</w:t>
      </w:r>
    </w:p>
    <w:p>
      <w:pPr>
        <w:pStyle w:val="TextBody"/>
        <w:bidi w:val="0"/>
        <w:spacing w:lineRule="auto" w:line="333"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Chief Legal Officer shall be the principal legal officer of the corporation and the head of its legal department. He or she shall, in general, perform the duties incident to the office of Chief Legal Officer and shall have such other powers and duties as may be delegated to the Chief Legal Officer by the Chief Executive Officer.</w:t>
      </w:r>
    </w:p>
    <w:p>
      <w:pPr>
        <w:pStyle w:val="TextBody"/>
        <w:bidi w:val="0"/>
        <w:spacing w:before="0" w:after="0"/>
        <w:ind w:left="0" w:right="0" w:firstLine="720"/>
        <w:jc w:val="left"/>
        <w:rPr/>
      </w:pPr>
      <w:r>
        <w:rPr/>
      </w:r>
    </w:p>
    <w:p>
      <w:pPr>
        <w:pStyle w:val="TextBody"/>
        <w:bidi w:val="0"/>
        <w:spacing w:lineRule="auto" w:line="333" w:before="0" w:after="0"/>
        <w:jc w:val="center"/>
        <w:rPr/>
      </w:pPr>
      <w:r>
        <w:rPr>
          <w:rFonts w:ascii="Times New Roman;serif" w:hAnsi="Times New Roman;serif"/>
          <w:b/>
          <w:color w:val="000000"/>
          <w:sz w:val="24"/>
          <w:u w:val="single"/>
        </w:rPr>
        <w:t>ARTICLE XIV</w:t>
        <w:br/>
      </w:r>
      <w:r>
        <w:rPr>
          <w:color w:val="000000"/>
        </w:rPr>
        <w:t>     </w:t>
      </w:r>
      <w:r>
        <w:rPr>
          <w:rFonts w:ascii="Times New Roman;serif" w:hAnsi="Times New Roman;serif"/>
          <w:b/>
          <w:color w:val="000000"/>
          <w:sz w:val="24"/>
          <w:u w:val="single"/>
        </w:rPr>
        <w:br/>
        <w:t>TREASURER</w:t>
      </w:r>
    </w:p>
    <w:p>
      <w:pPr>
        <w:pStyle w:val="TextBody"/>
        <w:bidi w:val="0"/>
        <w:spacing w:before="0" w:after="0"/>
        <w:jc w:val="center"/>
        <w:rPr/>
      </w:pPr>
      <w:r>
        <w:rPr/>
      </w:r>
    </w:p>
    <w:p>
      <w:pPr>
        <w:pStyle w:val="TextBody"/>
        <w:bidi w:val="0"/>
        <w:spacing w:lineRule="auto" w:line="333"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Treasurer shall be responsible for the care and custody of all the funds and securities of the corporation. The Treasurer shall render an account of the financial condition and operations of the corporation to the Board of Directors or the Chief Executive Officer as often as the Board of Directors or the Chief Executive Officer shall require. He or she shall have such other powers and duties as may be delegated to him or her by the Chief Executive Officer.</w:t>
      </w:r>
    </w:p>
    <w:p>
      <w:pPr>
        <w:pStyle w:val="TextBody"/>
        <w:bidi w:val="0"/>
        <w:spacing w:before="0" w:after="0"/>
        <w:ind w:left="0" w:right="0" w:firstLine="720"/>
        <w:jc w:val="left"/>
        <w:rPr/>
      </w:pPr>
      <w:r>
        <w:rPr/>
      </w:r>
    </w:p>
    <w:p>
      <w:pPr>
        <w:pStyle w:val="TextBody"/>
        <w:bidi w:val="0"/>
        <w:spacing w:lineRule="auto" w:line="333" w:before="0" w:after="0"/>
        <w:jc w:val="center"/>
        <w:rPr/>
      </w:pPr>
      <w:r>
        <w:rPr>
          <w:rFonts w:ascii="Times New Roman;serif" w:hAnsi="Times New Roman;serif"/>
          <w:b/>
          <w:color w:val="000000"/>
          <w:sz w:val="24"/>
          <w:u w:val="single"/>
        </w:rPr>
        <w:t>ARTICLE XV</w:t>
        <w:br/>
      </w:r>
      <w:r>
        <w:rPr>
          <w:color w:val="000000"/>
        </w:rPr>
        <w:t>     </w:t>
      </w:r>
      <w:r>
        <w:rPr>
          <w:rFonts w:ascii="Times New Roman;serif" w:hAnsi="Times New Roman;serif"/>
          <w:b/>
          <w:color w:val="000000"/>
          <w:sz w:val="24"/>
          <w:u w:val="single"/>
        </w:rPr>
        <w:br/>
        <w:t>CONTROLLER</w:t>
      </w:r>
    </w:p>
    <w:p>
      <w:pPr>
        <w:pStyle w:val="TextBody"/>
        <w:bidi w:val="0"/>
        <w:spacing w:before="0" w:after="0"/>
        <w:jc w:val="center"/>
        <w:rPr/>
      </w:pPr>
      <w:r>
        <w:rPr/>
      </w:r>
    </w:p>
    <w:p>
      <w:pPr>
        <w:pStyle w:val="TextBody"/>
        <w:bidi w:val="0"/>
        <w:spacing w:lineRule="auto" w:line="333"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Controller shall maintain adequate records of all assets, liabilities and transactions of the corporation, and shall see that adequate audits thereof are currently and regularly made. The Controller shall disburse the funds of the corporation in payment of the just obligations of the corporation, or as may be ordered by the Board of Directors, taking proper vouchers for such disbursements. The Controller shall have such other powers and duties as may be delegated to the Controller by the Chief Executive Officer.</w:t>
      </w:r>
    </w:p>
    <w:p>
      <w:pPr>
        <w:pStyle w:val="TextBody"/>
        <w:bidi w:val="0"/>
        <w:spacing w:before="0" w:after="0"/>
        <w:ind w:left="0" w:right="0" w:firstLine="720"/>
        <w:jc w:val="left"/>
        <w:rPr/>
      </w:pPr>
      <w:r>
        <w:rPr/>
      </w:r>
    </w:p>
    <w:p>
      <w:pPr>
        <w:pStyle w:val="TextBody"/>
        <w:bidi w:val="0"/>
        <w:spacing w:lineRule="auto" w:line="333" w:before="0" w:after="0"/>
        <w:jc w:val="center"/>
        <w:rPr/>
      </w:pPr>
      <w:r>
        <w:rPr>
          <w:rFonts w:ascii="Times New Roman;serif" w:hAnsi="Times New Roman;serif"/>
          <w:b/>
          <w:color w:val="000000"/>
          <w:sz w:val="24"/>
          <w:u w:val="single"/>
        </w:rPr>
        <w:t>ARTICLE XVI</w:t>
        <w:br/>
      </w:r>
      <w:r>
        <w:rPr>
          <w:color w:val="000000"/>
        </w:rPr>
        <w:t>     </w:t>
      </w:r>
      <w:r>
        <w:rPr>
          <w:rFonts w:ascii="Times New Roman;serif" w:hAnsi="Times New Roman;serif"/>
          <w:b/>
          <w:color w:val="000000"/>
          <w:sz w:val="24"/>
          <w:u w:val="single"/>
        </w:rPr>
        <w:br/>
        <w:t>SECRETARY</w:t>
      </w:r>
    </w:p>
    <w:p>
      <w:pPr>
        <w:pStyle w:val="TextBody"/>
        <w:bidi w:val="0"/>
        <w:spacing w:before="0" w:after="0"/>
        <w:jc w:val="center"/>
        <w:rPr/>
      </w:pPr>
      <w:r>
        <w:rPr/>
      </w:r>
    </w:p>
    <w:p>
      <w:pPr>
        <w:pStyle w:val="TextBody"/>
        <w:bidi w:val="0"/>
        <w:spacing w:lineRule="auto" w:line="33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Secretary shall act as custodian of the minutes of all meetings of the Board of Directors and of the shareholders and of the committees of the Board of Directors. He or she shall attend to the giving and serving of all notices of the corporation, and the Secretary or any Assistant Secretary shall attest the seal of the corporation upon all contracts and instruments executed under such seal. He or she shall also be custodian of such other books and records as </w:t>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385445"/>
                <wp:effectExtent l="0" t="0" r="0" b="0"/>
                <wp:wrapNone/>
                <wp:docPr id="154" name="Frame15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the Board of Directors or the Chief Executive Officer may direct. He or she shall have such other powers and duties as may be delegated to him or her by the Chief Executive Officer.</w:t>
      </w:r>
    </w:p>
    <w:p>
      <w:pPr>
        <w:pStyle w:val="TextBody"/>
        <w:bidi w:val="0"/>
        <w:spacing w:before="0" w:after="0"/>
        <w:ind w:left="0" w:right="0" w:firstLine="720"/>
        <w:jc w:val="left"/>
        <w:rPr/>
      </w:pPr>
      <w:r>
        <w:rPr/>
      </w:r>
    </w:p>
    <w:p>
      <w:pPr>
        <w:pStyle w:val="TextBody"/>
        <w:bidi w:val="0"/>
        <w:spacing w:lineRule="auto" w:line="333" w:before="0" w:after="0"/>
        <w:jc w:val="center"/>
        <w:rPr/>
      </w:pPr>
      <w:r>
        <w:rPr>
          <w:rFonts w:ascii="Times New Roman;serif" w:hAnsi="Times New Roman;serif"/>
          <w:b/>
          <w:color w:val="000000"/>
          <w:sz w:val="24"/>
          <w:u w:val="single"/>
        </w:rPr>
        <w:t>ARTICLE XVII</w:t>
        <w:br/>
      </w:r>
      <w:r>
        <w:rPr>
          <w:color w:val="000000"/>
        </w:rPr>
        <w:t>     </w:t>
      </w:r>
      <w:r>
        <w:rPr>
          <w:rFonts w:ascii="Times New Roman;serif" w:hAnsi="Times New Roman;serif"/>
          <w:b/>
          <w:color w:val="000000"/>
          <w:sz w:val="24"/>
          <w:u w:val="single"/>
        </w:rPr>
        <w:br/>
        <w:t>TRANSFER AGENTS AND REGISTRARS; </w:t>
        <w:br/>
        <w:t>CAPITAL STOCK</w:t>
      </w:r>
    </w:p>
    <w:p>
      <w:pPr>
        <w:pStyle w:val="TextBody"/>
        <w:bidi w:val="0"/>
        <w:spacing w:before="0" w:after="0"/>
        <w:jc w:val="center"/>
        <w:rPr/>
      </w:pPr>
      <w:r>
        <w:rPr/>
      </w:r>
    </w:p>
    <w:p>
      <w:pPr>
        <w:pStyle w:val="TextBody"/>
        <w:bidi w:val="0"/>
        <w:spacing w:lineRule="auto" w:line="333" w:before="0" w:after="0"/>
        <w:ind w:left="0" w:right="0" w:firstLine="720"/>
        <w:jc w:val="left"/>
        <w:rPr/>
      </w:pPr>
      <w:r>
        <w:rPr>
          <w:rFonts w:ascii="Times New Roman;serif" w:hAnsi="Times New Roman;serif"/>
          <w:b w:val="false"/>
          <w:color w:val="000000"/>
          <w:sz w:val="24"/>
        </w:rPr>
        <w:t>1.    </w:t>
      </w:r>
      <w:r>
        <w:rPr>
          <w:rFonts w:ascii="Times New Roman;serif" w:hAnsi="Times New Roman;serif"/>
          <w:b/>
          <w:color w:val="000000"/>
          <w:sz w:val="24"/>
          <w:u w:val="single"/>
        </w:rPr>
        <w:t>Transfer Agents and Registrars</w:t>
      </w:r>
      <w:r>
        <w:rPr>
          <w:rFonts w:ascii="Times New Roman;serif" w:hAnsi="Times New Roman;serif"/>
          <w:b/>
          <w:color w:val="000000"/>
          <w:sz w:val="24"/>
        </w:rPr>
        <w:t>.</w:t>
      </w:r>
      <w:r>
        <w:rPr>
          <w:color w:val="000000"/>
        </w:rPr>
        <w:t> </w:t>
      </w:r>
      <w:r>
        <w:rPr>
          <w:rFonts w:ascii="Times New Roman;serif" w:hAnsi="Times New Roman;serif"/>
          <w:b w:val="false"/>
          <w:color w:val="000000"/>
          <w:sz w:val="24"/>
        </w:rPr>
        <w:t>The Board of Directors may appoint one or more transfer agents and one or more registrars for shares of capital stock of the corporation and may require all certificates for such shares, or for options, warrants or other rights in respect thereof, to be countersigned on behalf of the corporation by any such transfer agent or by any such registrar.</w:t>
      </w:r>
    </w:p>
    <w:p>
      <w:pPr>
        <w:pStyle w:val="TextBody"/>
        <w:bidi w:val="0"/>
        <w:spacing w:before="0" w:after="0"/>
        <w:ind w:left="0" w:right="0" w:firstLine="720"/>
        <w:jc w:val="left"/>
        <w:rPr/>
      </w:pPr>
      <w:r>
        <w:rPr/>
      </w:r>
    </w:p>
    <w:p>
      <w:pPr>
        <w:pStyle w:val="TextBody"/>
        <w:bidi w:val="0"/>
        <w:spacing w:lineRule="auto" w:line="333" w:before="0" w:after="0"/>
        <w:ind w:left="0" w:right="0" w:firstLine="720"/>
        <w:jc w:val="left"/>
        <w:rPr/>
      </w:pPr>
      <w:r>
        <w:rPr>
          <w:rFonts w:ascii="Times New Roman;serif" w:hAnsi="Times New Roman;serif"/>
          <w:b w:val="false"/>
          <w:color w:val="000000"/>
          <w:sz w:val="24"/>
        </w:rPr>
        <w:t>2.    </w:t>
      </w:r>
      <w:r>
        <w:rPr>
          <w:rFonts w:ascii="Times New Roman;serif" w:hAnsi="Times New Roman;serif"/>
          <w:b/>
          <w:color w:val="000000"/>
          <w:sz w:val="24"/>
          <w:u w:val="single"/>
        </w:rPr>
        <w:t>Capital Stock</w:t>
      </w:r>
      <w:r>
        <w:rPr>
          <w:rFonts w:ascii="Times New Roman;serif" w:hAnsi="Times New Roman;serif"/>
          <w:b/>
          <w:color w:val="000000"/>
          <w:sz w:val="24"/>
        </w:rPr>
        <w:t>.</w:t>
      </w:r>
      <w:r>
        <w:rPr>
          <w:color w:val="000000"/>
        </w:rPr>
        <w:t> </w:t>
      </w:r>
      <w:r>
        <w:rPr>
          <w:rFonts w:ascii="Times New Roman;serif" w:hAnsi="Times New Roman;serif"/>
          <w:b w:val="false"/>
          <w:color w:val="000000"/>
          <w:sz w:val="24"/>
        </w:rPr>
        <w:t>Shares of capital stock of the corporation may be certificated or uncertificated. Each shareholder, upon written request to the transfer agent of the corporation, shall be entitled to a certificate for shares of capital stock of the corporation in such form as may from time to time be approved by the Board of Directors. The certificates for shares of the corporation shall be numbered and shall be entered on the books of the corporation as they are issued. Each share certificate shall state on its face the name of the corporation and the fact that it is organized under the laws of the Commonwealth of Virginia, the name of the person to whom such certificate is issued and the number and class of shares and the designation of the series, if any, represented by such certificate and shall be signed by the Chief Executive Officer, the President, an Executive or Senior Vice President or a Vice President and by the Treasurer, an Assistant Treasurer, the Secretary or an Assistant Secretary. Any and all signatures on such certificates, including signatures of officers, transfer agents and registrars, may be facsimile. In case any officer who has signed or whose facsimile signature has been placed on any such certificate shall have ceased to be such officer before such certificate is issued, then, unless the Board of Directors shall otherwise determine and cause notification thereof to be given to such transfer agent and registrar, such certificate shall nevertheless be valid and may be issued by the corporation (and by its transfer agent) and registered by its registrar with the same effect as if he were such officer at the date of issue.</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385445"/>
                <wp:effectExtent l="0" t="0" r="0" b="0"/>
                <wp:wrapNone/>
                <wp:docPr id="155" name="Frame15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center"/>
        <w:rPr/>
      </w:pPr>
      <w:r>
        <w:rPr>
          <w:rFonts w:ascii="Times New Roman;serif" w:hAnsi="Times New Roman;serif"/>
          <w:b/>
          <w:color w:val="000000"/>
          <w:sz w:val="24"/>
          <w:u w:val="single"/>
        </w:rPr>
        <w:t>ARTICLE XVIII</w:t>
        <w:br/>
      </w:r>
      <w:r>
        <w:rPr>
          <w:color w:val="000000"/>
        </w:rPr>
        <w:t>     </w:t>
      </w:r>
      <w:r>
        <w:rPr>
          <w:rFonts w:ascii="Times New Roman;serif" w:hAnsi="Times New Roman;serif"/>
          <w:b/>
          <w:color w:val="000000"/>
          <w:sz w:val="24"/>
          <w:u w:val="single"/>
        </w:rPr>
        <w:br/>
        <w:t>CONTROL SHARE ACQUISITIONS</w:t>
      </w:r>
    </w:p>
    <w:p>
      <w:pPr>
        <w:pStyle w:val="TextBody"/>
        <w:bidi w:val="0"/>
        <w:spacing w:before="0" w:after="0"/>
        <w:jc w:val="center"/>
        <w:rPr/>
      </w:pPr>
      <w:r>
        <w:rPr/>
      </w:r>
    </w:p>
    <w:p>
      <w:pPr>
        <w:pStyle w:val="TextBody"/>
        <w:bidi w:val="0"/>
        <w:spacing w:lineRule="auto" w:line="333"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Article 14.1 of Chapter 9 of Title 13.1 of the Code of Virginia, titled “Control Share Acquisitions,” shall not apply to acquisitions of shares of the corporation.</w:t>
      </w:r>
    </w:p>
    <w:p>
      <w:pPr>
        <w:pStyle w:val="TextBody"/>
        <w:bidi w:val="0"/>
        <w:spacing w:before="0" w:after="0"/>
        <w:ind w:left="0" w:right="0" w:firstLine="720"/>
        <w:jc w:val="left"/>
        <w:rPr/>
      </w:pPr>
      <w:r>
        <w:rPr/>
      </w:r>
    </w:p>
    <w:p>
      <w:pPr>
        <w:pStyle w:val="TextBody"/>
        <w:bidi w:val="0"/>
        <w:spacing w:lineRule="auto" w:line="333" w:before="0" w:after="0"/>
        <w:jc w:val="center"/>
        <w:rPr/>
      </w:pPr>
      <w:r>
        <w:rPr>
          <w:rFonts w:ascii="Times New Roman;serif" w:hAnsi="Times New Roman;serif"/>
          <w:b/>
          <w:color w:val="000000"/>
          <w:sz w:val="24"/>
          <w:u w:val="single"/>
        </w:rPr>
        <w:t>ARTICLE XIX</w:t>
        <w:br/>
      </w:r>
      <w:r>
        <w:rPr>
          <w:color w:val="000000"/>
        </w:rPr>
        <w:t>     </w:t>
      </w:r>
      <w:r>
        <w:rPr>
          <w:rFonts w:ascii="Times New Roman;serif" w:hAnsi="Times New Roman;serif"/>
          <w:b/>
          <w:color w:val="000000"/>
          <w:sz w:val="24"/>
          <w:u w:val="single"/>
        </w:rPr>
        <w:br/>
        <w:t>FIXING RECORD DATE</w:t>
      </w:r>
    </w:p>
    <w:p>
      <w:pPr>
        <w:pStyle w:val="TextBody"/>
        <w:bidi w:val="0"/>
        <w:spacing w:before="0" w:after="0"/>
        <w:jc w:val="center"/>
        <w:rPr/>
      </w:pPr>
      <w:r>
        <w:rPr/>
      </w:r>
    </w:p>
    <w:p>
      <w:pPr>
        <w:pStyle w:val="TextBody"/>
        <w:bidi w:val="0"/>
        <w:spacing w:lineRule="auto" w:line="333"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order to make a determination of shareholders for any purpose, including those who are entitled to notice of and to vote at any meeting of shareholders or any adjournment or postponement thereof, or entitled to express consent in writing to any corporate action without a meeting, or entitled to receive payment of any dividend or other distribution or allotment of any rights, or entitled to exercise any rights in respect of any change, conversion or exchange of capital stock, the Board of Directors may fix in advance a record date which shall not be more than 70 days before the meeting or other action requiring such determination. If no record date is fixed for the determination of shareholders entitled to notice of or to vote at a meeting of shareholders or any adjournment or postponement thereof, entitled to express consent in writing to corporate action without a meeting, or entitled to receive payment of any dividend or other distribution or allotment of any rights, or entitled to exercise any rights in respect of any change, conversion or exchange of capital stock, the date on which notices of the meeting or the requests for written consent are mailed or the date on which the resolution of the Board of Directors declaring or approving such dividend, other distribution, allotment of rights or change, conversion or exchange is adopted, as the case may be, shall be the record date for such determination of shareholders. Except as otherwise expressly prescribed by statute, only shareholders of record on the date so fixed shall be entitled to such notice of, and to vote at, such meeting and any adjournment or postponement thereof, or entitled to express such consent, or entitled to receive payment of such dividend or other distribution or allotment of rights, or entitled to exercise such rights in respect of change, conversion or exchange, or to take such other action, as the case may be, notwithstanding any transfer of shares on the share transfer books of the corporation after any such record date fixed as aforesaid. When a determination of shareholders entitled to vote at any meeting of shareholders has been made as provided in this Article, such determination shall apply to any adjournment or postponement thereof unless the Board of Directors fixes a new record date, which it shall do if the meeting is adjourned or postponed to a date more than 120 days after the date fixed for the original meeting.</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385445"/>
                <wp:effectExtent l="0" t="0" r="0" b="0"/>
                <wp:wrapNone/>
                <wp:docPr id="156" name="Frame15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center"/>
        <w:rPr/>
      </w:pPr>
      <w:r>
        <w:rPr>
          <w:rFonts w:ascii="Times New Roman;serif" w:hAnsi="Times New Roman;serif"/>
          <w:b/>
          <w:color w:val="000000"/>
          <w:sz w:val="24"/>
          <w:u w:val="single"/>
        </w:rPr>
        <w:t>ARTICLE XX</w:t>
        <w:br/>
      </w:r>
      <w:r>
        <w:rPr>
          <w:color w:val="000000"/>
        </w:rPr>
        <w:t>     </w:t>
      </w:r>
      <w:r>
        <w:rPr>
          <w:rFonts w:ascii="Times New Roman;serif" w:hAnsi="Times New Roman;serif"/>
          <w:b/>
          <w:color w:val="000000"/>
          <w:sz w:val="24"/>
          <w:u w:val="single"/>
        </w:rPr>
        <w:br/>
        <w:t>REGISTERED SHAREHOLDERS</w:t>
      </w:r>
    </w:p>
    <w:p>
      <w:pPr>
        <w:pStyle w:val="TextBody"/>
        <w:bidi w:val="0"/>
        <w:spacing w:before="0" w:after="0"/>
        <w:jc w:val="center"/>
        <w:rPr/>
      </w:pPr>
      <w:r>
        <w:rPr/>
      </w:r>
    </w:p>
    <w:p>
      <w:pPr>
        <w:pStyle w:val="TextBody"/>
        <w:bidi w:val="0"/>
        <w:spacing w:lineRule="auto" w:line="333"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corporation shall be entitled to treat the holder of record of any share or shares as the holder in fact thereof and, accordingly, shall not be bound to recognize any equitable or other claim to or interest in such share on the part of any other person, whether or not it shall have express or other notice thereof, save as expressly provided by the laws of the Commonwealth of Virginia.</w:t>
      </w:r>
    </w:p>
    <w:p>
      <w:pPr>
        <w:pStyle w:val="TextBody"/>
        <w:bidi w:val="0"/>
        <w:spacing w:lineRule="auto" w:line="333" w:before="0" w:after="0"/>
        <w:jc w:val="center"/>
        <w:rPr/>
      </w:pPr>
      <w:r>
        <w:rPr>
          <w:rFonts w:ascii="Times New Roman;serif" w:hAnsi="Times New Roman;serif"/>
          <w:b/>
          <w:color w:val="000000"/>
          <w:sz w:val="24"/>
          <w:u w:val="single"/>
        </w:rPr>
        <w:t>ARTICLE XXI</w:t>
        <w:br/>
      </w:r>
      <w:r>
        <w:rPr>
          <w:color w:val="000000"/>
        </w:rPr>
        <w:t>     </w:t>
      </w:r>
      <w:r>
        <w:rPr>
          <w:rFonts w:ascii="Times New Roman;serif" w:hAnsi="Times New Roman;serif"/>
          <w:b/>
          <w:color w:val="000000"/>
          <w:sz w:val="24"/>
          <w:u w:val="single"/>
        </w:rPr>
        <w:br/>
        <w:t>FISCAL YEAR</w:t>
      </w:r>
    </w:p>
    <w:p>
      <w:pPr>
        <w:pStyle w:val="TextBody"/>
        <w:bidi w:val="0"/>
        <w:spacing w:before="0" w:after="0"/>
        <w:jc w:val="center"/>
        <w:rPr/>
      </w:pPr>
      <w:r>
        <w:rPr/>
      </w:r>
    </w:p>
    <w:p>
      <w:pPr>
        <w:pStyle w:val="TextBody"/>
        <w:bidi w:val="0"/>
        <w:spacing w:lineRule="auto" w:line="333"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fiscal year of the corporation shall end on December 31 of each year.</w:t>
      </w:r>
    </w:p>
    <w:p>
      <w:pPr>
        <w:pStyle w:val="TextBody"/>
        <w:bidi w:val="0"/>
        <w:spacing w:before="0" w:after="0"/>
        <w:ind w:left="0" w:right="0" w:firstLine="720"/>
        <w:jc w:val="left"/>
        <w:rPr/>
      </w:pPr>
      <w:r>
        <w:rPr/>
      </w:r>
    </w:p>
    <w:p>
      <w:pPr>
        <w:pStyle w:val="TextBody"/>
        <w:bidi w:val="0"/>
        <w:spacing w:lineRule="auto" w:line="333" w:before="0" w:after="0"/>
        <w:jc w:val="center"/>
        <w:rPr/>
      </w:pPr>
      <w:r>
        <w:rPr>
          <w:rFonts w:ascii="Times New Roman;serif" w:hAnsi="Times New Roman;serif"/>
          <w:b/>
          <w:color w:val="000000"/>
          <w:sz w:val="24"/>
          <w:u w:val="single"/>
        </w:rPr>
        <w:t>ARTICLE XXII</w:t>
        <w:br/>
      </w:r>
      <w:r>
        <w:rPr>
          <w:color w:val="000000"/>
        </w:rPr>
        <w:t>     </w:t>
      </w:r>
      <w:r>
        <w:rPr>
          <w:rFonts w:ascii="Times New Roman;serif" w:hAnsi="Times New Roman;serif"/>
          <w:b/>
          <w:color w:val="000000"/>
          <w:sz w:val="24"/>
          <w:u w:val="single"/>
        </w:rPr>
        <w:br/>
        <w:t>BYLAWS</w:t>
      </w:r>
    </w:p>
    <w:p>
      <w:pPr>
        <w:pStyle w:val="TextBody"/>
        <w:bidi w:val="0"/>
        <w:spacing w:before="0" w:after="0"/>
        <w:jc w:val="center"/>
        <w:rPr/>
      </w:pPr>
      <w:r>
        <w:rPr/>
      </w:r>
    </w:p>
    <w:p>
      <w:pPr>
        <w:pStyle w:val="TextBody"/>
        <w:bidi w:val="0"/>
        <w:spacing w:lineRule="auto" w:line="333"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Board of Directors and the shareholders shall have the power to make, amend or repeal bylaws of the corporation.</w: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jc w:val="right"/>
        <w:rPr>
          <w:rFonts w:ascii="Times New Roman;serif" w:hAnsi="Times New Roman;serif"/>
          <w:b/>
          <w:color w:val="000000"/>
          <w:sz w:val="24"/>
          <w:u w:val="single"/>
        </w:rPr>
      </w:pPr>
      <w:r>
        <w:rPr>
          <w:rFonts w:ascii="Times New Roman;serif" w:hAnsi="Times New Roman;serif"/>
          <w:b/>
          <w:color w:val="000000"/>
          <w:sz w:val="24"/>
          <w:u w:val="single"/>
        </w:rPr>
        <w:t>December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color w:val="000000"/>
        </w:rPr>
      </w:pPr>
      <w:r>
        <w:rPr>
          <w:color w:val="000000"/>
        </w:rPr>
        <w:t>    </w:t>
      </w:r>
      <w:r>
        <w:rPr>
          <w:rFonts w:ascii="Aptos;sans-serif" w:hAnsi="Aptos;sans-serif"/>
          <w:b w:val="false"/>
          <w:color w:val="000000"/>
          <w:sz w:val="24"/>
        </w:rPr>
        <w:t>Exhibit 19.1</w:t>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385445"/>
                <wp:effectExtent l="0" t="0" r="0" b="0"/>
                <wp:wrapNone/>
                <wp:docPr id="157" name="Frame15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946" w:type="dxa"/>
        <w:jc w:val="left"/>
        <w:tblInd w:w="0" w:type="dxa"/>
        <w:tblLayout w:type="fixed"/>
        <w:tblCellMar>
          <w:top w:w="28" w:type="dxa"/>
          <w:left w:w="28" w:type="dxa"/>
          <w:bottom w:w="28" w:type="dxa"/>
          <w:right w:w="28" w:type="dxa"/>
        </w:tblCellMar>
      </w:tblPr>
      <w:tblGrid>
        <w:gridCol w:w="1303"/>
        <w:gridCol w:w="1146"/>
        <w:gridCol w:w="1146"/>
        <w:gridCol w:w="1146"/>
        <w:gridCol w:w="1146"/>
        <w:gridCol w:w="1146"/>
        <w:gridCol w:w="1146"/>
        <w:gridCol w:w="1146"/>
        <w:gridCol w:w="1621"/>
      </w:tblGrid>
      <w:tr>
        <w:trPr/>
        <w:tc>
          <w:tcPr>
            <w:tcW w:w="1303"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r>
      <w:tr>
        <w:trPr/>
        <w:tc>
          <w:tcPr>
            <w:tcW w:w="3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46" w:type="dxa"/>
            <w:gridSpan w:val="9"/>
            <w:tcBorders/>
            <w:tcMar>
              <w:top w:w="0" w:type="dxa"/>
              <w:left w:w="0" w:type="dxa"/>
              <w:bottom w:w="0" w:type="dxa"/>
              <w:right w:w="0" w:type="dxa"/>
            </w:tcMar>
            <w:vAlign w:val="center"/>
          </w:tcPr>
          <w:p>
            <w:pPr>
              <w:pStyle w:val="TableContents"/>
              <w:bidi w:val="0"/>
              <w:spacing w:before="0" w:after="100"/>
              <w:ind w:left="0" w:right="0" w:firstLine="90"/>
              <w:jc w:val="left"/>
              <w:rPr/>
            </w:pPr>
            <w:r>
              <w:rPr/>
              <w:drawing>
                <wp:inline distT="0" distB="0" distL="0" distR="0">
                  <wp:extent cx="6800850" cy="523875"/>
                  <wp:effectExtent l="0" t="0" r="0" b="0"/>
                  <wp:docPr id="15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2" descr=""/>
                          <pic:cNvPicPr>
                            <a:picLocks noChangeAspect="1" noChangeArrowheads="1"/>
                          </pic:cNvPicPr>
                        </pic:nvPicPr>
                        <pic:blipFill>
                          <a:blip r:embed="rId82"/>
                          <a:stretch>
                            <a:fillRect/>
                          </a:stretch>
                        </pic:blipFill>
                        <pic:spPr bwMode="auto">
                          <a:xfrm>
                            <a:off x="0" y="0"/>
                            <a:ext cx="6800850" cy="523875"/>
                          </a:xfrm>
                          <a:prstGeom prst="rect">
                            <a:avLst/>
                          </a:prstGeom>
                        </pic:spPr>
                      </pic:pic>
                    </a:graphicData>
                  </a:graphic>
                </wp:inline>
              </w:drawing>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40"/>
        </w:rPr>
      </w:pPr>
      <w:r>
        <w:rPr>
          <w:rFonts w:ascii="Arial;sans-serif" w:hAnsi="Arial;sans-serif"/>
          <w:b w:val="false"/>
          <w:color w:val="000000"/>
          <w:sz w:val="40"/>
        </w:rPr>
        <w:t>BRINK’S INSIDER TRADING POLICY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December 2025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160"/>
        <w:jc w:val="left"/>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9"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8"/>
        </w:rPr>
      </w:pPr>
      <w:r>
        <w:rPr>
          <w:rFonts w:ascii="Arial;sans-serif" w:hAnsi="Arial;sans-serif"/>
          <w:b/>
          <w:color w:val="000000"/>
          <w:sz w:val="28"/>
        </w:rPr>
        <w:t>TABLE OF CONTENTS</w: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38"/>
        <w:gridCol w:w="997"/>
        <w:gridCol w:w="997"/>
        <w:gridCol w:w="997"/>
        <w:gridCol w:w="997"/>
        <w:gridCol w:w="997"/>
        <w:gridCol w:w="997"/>
        <w:gridCol w:w="997"/>
        <w:gridCol w:w="1056"/>
        <w:gridCol w:w="109"/>
        <w:gridCol w:w="109"/>
        <w:gridCol w:w="109"/>
        <w:gridCol w:w="109"/>
        <w:gridCol w:w="109"/>
        <w:gridCol w:w="109"/>
        <w:gridCol w:w="109"/>
        <w:gridCol w:w="109"/>
        <w:gridCol w:w="160"/>
      </w:tblGrid>
      <w:tr>
        <w:trPr/>
        <w:tc>
          <w:tcPr>
            <w:tcW w:w="1138"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73" w:type="dxa"/>
            <w:gridSpan w:val="9"/>
            <w:tcBorders/>
            <w:tcMar>
              <w:top w:w="0" w:type="dxa"/>
              <w:left w:w="0" w:type="dxa"/>
              <w:bottom w:w="0" w:type="dxa"/>
              <w:right w:w="0" w:type="dxa"/>
            </w:tcMar>
            <w:vAlign w:val="center"/>
          </w:tcPr>
          <w:p>
            <w:pPr>
              <w:pStyle w:val="TableContents"/>
              <w:bidi w:val="0"/>
              <w:spacing w:lineRule="auto" w:line="288" w:before="0" w:after="100"/>
              <w:jc w:val="left"/>
              <w:rPr/>
            </w:pPr>
            <w:r>
              <w:fldChar w:fldCharType="begin"/>
            </w:r>
            <w:r>
              <w:rPr>
                <w:rStyle w:val="InternetLink"/>
                <w:dstrike w:val="false"/>
                <w:strike w:val="false"/>
                <w:sz w:val="22"/>
                <w:u w:val="none"/>
                <w:b w:val="false"/>
                <w:effect w:val="none"/>
                <w:rFonts w:ascii="Arial;sans-serif" w:hAnsi="Arial;sans-serif"/>
                <w:color w:val="000000"/>
              </w:rPr>
              <w:instrText xml:space="preserve"> HYPERLINK "https://www.sec.gov/Archives/edgar/data/78890/000007889025000059/a202410-kexhibit191.htm" \l "ia6e76ec648684b7a986de889d7fef0a2"</w:instrText>
            </w:r>
            <w:r>
              <w:rPr>
                <w:rStyle w:val="InternetLink"/>
                <w:dstrike w:val="false"/>
                <w:strike w:val="false"/>
                <w:sz w:val="22"/>
                <w:u w:val="none"/>
                <w:b w:val="false"/>
                <w:effect w:val="none"/>
                <w:rFonts w:ascii="Arial;sans-serif" w:hAnsi="Arial;sans-serif"/>
                <w:color w:val="000000"/>
              </w:rPr>
              <w:fldChar w:fldCharType="separate"/>
            </w:r>
            <w:r>
              <w:rPr>
                <w:rStyle w:val="InternetLink"/>
                <w:rFonts w:ascii="Arial;sans-serif" w:hAnsi="Arial;sans-serif"/>
                <w:b w:val="false"/>
                <w:strike w:val="false"/>
                <w:dstrike w:val="false"/>
                <w:color w:val="000000"/>
                <w:sz w:val="22"/>
                <w:u w:val="none"/>
                <w:effect w:val="none"/>
              </w:rPr>
              <w:t>I:    Purpose</w:t>
            </w:r>
            <w:r>
              <w:rPr>
                <w:rStyle w:val="InternetLink"/>
                <w:dstrike w:val="false"/>
                <w:strike w:val="false"/>
                <w:sz w:val="22"/>
                <w:u w:val="none"/>
                <w:b w:val="false"/>
                <w:effect w:val="none"/>
                <w:rFonts w:ascii="Arial;sans-serif" w:hAnsi="Arial;sans-serif"/>
                <w:color w:val="000000"/>
              </w:rPr>
              <w:fldChar w:fldCharType="end"/>
            </w:r>
          </w:p>
        </w:tc>
        <w:tc>
          <w:tcPr>
            <w:tcW w:w="1032" w:type="dxa"/>
            <w:gridSpan w:val="9"/>
            <w:tcBorders/>
            <w:tcMar>
              <w:top w:w="0" w:type="dxa"/>
              <w:left w:w="0" w:type="dxa"/>
              <w:bottom w:w="0" w:type="dxa"/>
              <w:right w:w="0" w:type="dxa"/>
            </w:tcMar>
            <w:vAlign w:val="center"/>
          </w:tcPr>
          <w:p>
            <w:pPr>
              <w:pStyle w:val="TableContents"/>
              <w:bidi w:val="0"/>
              <w:spacing w:lineRule="auto" w:line="288" w:before="0" w:after="100"/>
              <w:jc w:val="right"/>
              <w:rPr/>
            </w:pPr>
            <w:r>
              <w:fldChar w:fldCharType="begin"/>
            </w:r>
            <w:r>
              <w:rPr>
                <w:rStyle w:val="InternetLink"/>
                <w:sz w:val="22"/>
                <w:u w:val="single"/>
                <w:b w:val="false"/>
                <w:rFonts w:ascii="Arial;sans-serif" w:hAnsi="Arial;sans-serif"/>
                <w:color w:val="000000"/>
              </w:rPr>
              <w:instrText xml:space="preserve"> HYPERLINK "https://www.sec.gov/Archives/edgar/data/78890/000007889025000059/a202410-kexhibit191.htm" \l "ia6e76ec648684b7a986de889d7fef0a2"</w:instrText>
            </w:r>
            <w:r>
              <w:rPr>
                <w:rStyle w:val="InternetLink"/>
                <w:sz w:val="22"/>
                <w:u w:val="single"/>
                <w:b w:val="false"/>
                <w:rFonts w:ascii="Arial;sans-serif" w:hAnsi="Arial;sans-serif"/>
                <w:color w:val="000000"/>
              </w:rPr>
              <w:fldChar w:fldCharType="separate"/>
            </w:r>
            <w:r>
              <w:rPr>
                <w:rStyle w:val="InternetLink"/>
                <w:rFonts w:ascii="Arial;sans-serif" w:hAnsi="Arial;sans-serif"/>
                <w:b w:val="false"/>
                <w:color w:val="000000"/>
                <w:sz w:val="22"/>
                <w:u w:val="single"/>
              </w:rPr>
              <w:t>3</w:t>
            </w:r>
            <w:r>
              <w:rPr>
                <w:rStyle w:val="InternetLink"/>
                <w:sz w:val="22"/>
                <w:u w:val="single"/>
                <w:b w:val="false"/>
                <w:rFonts w:ascii="Arial;sans-serif" w:hAnsi="Arial;sans-serif"/>
                <w:color w:val="000000"/>
              </w:rPr>
              <w:fldChar w:fldCharType="end"/>
            </w:r>
          </w:p>
        </w:tc>
      </w:tr>
      <w:tr>
        <w:trPr/>
        <w:tc>
          <w:tcPr>
            <w:tcW w:w="9173" w:type="dxa"/>
            <w:gridSpan w:val="9"/>
            <w:tcBorders/>
            <w:tcMar>
              <w:top w:w="0" w:type="dxa"/>
              <w:left w:w="0" w:type="dxa"/>
              <w:bottom w:w="0" w:type="dxa"/>
              <w:right w:w="0" w:type="dxa"/>
            </w:tcMar>
            <w:vAlign w:val="center"/>
          </w:tcPr>
          <w:p>
            <w:pPr>
              <w:pStyle w:val="TableContents"/>
              <w:bidi w:val="0"/>
              <w:spacing w:lineRule="auto" w:line="288" w:before="0" w:after="100"/>
              <w:jc w:val="left"/>
              <w:rPr/>
            </w:pPr>
            <w:r>
              <w:fldChar w:fldCharType="begin"/>
            </w:r>
            <w:r>
              <w:rPr>
                <w:rStyle w:val="InternetLink"/>
                <w:dstrike w:val="false"/>
                <w:strike w:val="false"/>
                <w:sz w:val="22"/>
                <w:u w:val="none"/>
                <w:b w:val="false"/>
                <w:effect w:val="none"/>
                <w:rFonts w:ascii="Arial;sans-serif" w:hAnsi="Arial;sans-serif"/>
                <w:color w:val="000000"/>
              </w:rPr>
              <w:instrText xml:space="preserve"> HYPERLINK "https://www.sec.gov/Archives/edgar/data/78890/000007889025000059/a202410-kexhibit191.htm" \l "iacf4a07221f24f988c9960c01388df90"</w:instrText>
            </w:r>
            <w:r>
              <w:rPr>
                <w:rStyle w:val="InternetLink"/>
                <w:dstrike w:val="false"/>
                <w:strike w:val="false"/>
                <w:sz w:val="22"/>
                <w:u w:val="none"/>
                <w:b w:val="false"/>
                <w:effect w:val="none"/>
                <w:rFonts w:ascii="Arial;sans-serif" w:hAnsi="Arial;sans-serif"/>
                <w:color w:val="000000"/>
              </w:rPr>
              <w:fldChar w:fldCharType="separate"/>
            </w:r>
            <w:r>
              <w:rPr>
                <w:rStyle w:val="InternetLink"/>
                <w:rFonts w:ascii="Arial;sans-serif" w:hAnsi="Arial;sans-serif"/>
                <w:b w:val="false"/>
                <w:strike w:val="false"/>
                <w:dstrike w:val="false"/>
                <w:color w:val="000000"/>
                <w:sz w:val="22"/>
                <w:u w:val="none"/>
                <w:effect w:val="none"/>
              </w:rPr>
              <w:t>II:    Scope</w:t>
            </w:r>
            <w:r>
              <w:rPr>
                <w:rStyle w:val="InternetLink"/>
                <w:dstrike w:val="false"/>
                <w:strike w:val="false"/>
                <w:sz w:val="22"/>
                <w:u w:val="none"/>
                <w:b w:val="false"/>
                <w:effect w:val="none"/>
                <w:rFonts w:ascii="Arial;sans-serif" w:hAnsi="Arial;sans-serif"/>
                <w:color w:val="000000"/>
              </w:rPr>
              <w:fldChar w:fldCharType="end"/>
            </w:r>
          </w:p>
        </w:tc>
        <w:tc>
          <w:tcPr>
            <w:tcW w:w="1032" w:type="dxa"/>
            <w:gridSpan w:val="9"/>
            <w:tcBorders/>
            <w:tcMar>
              <w:top w:w="0" w:type="dxa"/>
              <w:left w:w="0" w:type="dxa"/>
              <w:bottom w:w="0" w:type="dxa"/>
              <w:right w:w="0" w:type="dxa"/>
            </w:tcMar>
            <w:vAlign w:val="center"/>
          </w:tcPr>
          <w:p>
            <w:pPr>
              <w:pStyle w:val="TableContents"/>
              <w:bidi w:val="0"/>
              <w:spacing w:lineRule="auto" w:line="288" w:before="0" w:after="100"/>
              <w:jc w:val="right"/>
              <w:rPr/>
            </w:pPr>
            <w:r>
              <w:fldChar w:fldCharType="begin"/>
            </w:r>
            <w:r>
              <w:rPr>
                <w:rStyle w:val="InternetLink"/>
                <w:sz w:val="22"/>
                <w:u w:val="single"/>
                <w:b w:val="false"/>
                <w:rFonts w:ascii="Arial;sans-serif" w:hAnsi="Arial;sans-serif"/>
                <w:color w:val="000000"/>
              </w:rPr>
              <w:instrText xml:space="preserve"> HYPERLINK "https://www.sec.gov/Archives/edgar/data/78890/000007889025000059/a202410-kexhibit191.htm" \l "iacf4a07221f24f988c9960c01388df90"</w:instrText>
            </w:r>
            <w:r>
              <w:rPr>
                <w:rStyle w:val="InternetLink"/>
                <w:sz w:val="22"/>
                <w:u w:val="single"/>
                <w:b w:val="false"/>
                <w:rFonts w:ascii="Arial;sans-serif" w:hAnsi="Arial;sans-serif"/>
                <w:color w:val="000000"/>
              </w:rPr>
              <w:fldChar w:fldCharType="separate"/>
            </w:r>
            <w:r>
              <w:rPr>
                <w:rStyle w:val="InternetLink"/>
                <w:rFonts w:ascii="Arial;sans-serif" w:hAnsi="Arial;sans-serif"/>
                <w:b w:val="false"/>
                <w:color w:val="000000"/>
                <w:sz w:val="22"/>
                <w:u w:val="single"/>
              </w:rPr>
              <w:t>3</w:t>
            </w:r>
            <w:r>
              <w:rPr>
                <w:rStyle w:val="InternetLink"/>
                <w:sz w:val="22"/>
                <w:u w:val="single"/>
                <w:b w:val="false"/>
                <w:rFonts w:ascii="Arial;sans-serif" w:hAnsi="Arial;sans-serif"/>
                <w:color w:val="000000"/>
              </w:rPr>
              <w:fldChar w:fldCharType="end"/>
            </w:r>
          </w:p>
        </w:tc>
      </w:tr>
      <w:tr>
        <w:trPr/>
        <w:tc>
          <w:tcPr>
            <w:tcW w:w="9173" w:type="dxa"/>
            <w:gridSpan w:val="9"/>
            <w:tcBorders/>
            <w:tcMar>
              <w:top w:w="0" w:type="dxa"/>
              <w:left w:w="0" w:type="dxa"/>
              <w:bottom w:w="0" w:type="dxa"/>
              <w:right w:w="0" w:type="dxa"/>
            </w:tcMar>
            <w:vAlign w:val="center"/>
          </w:tcPr>
          <w:p>
            <w:pPr>
              <w:pStyle w:val="TableContents"/>
              <w:bidi w:val="0"/>
              <w:spacing w:lineRule="auto" w:line="288" w:before="0" w:after="100"/>
              <w:jc w:val="left"/>
              <w:rPr/>
            </w:pPr>
            <w:r>
              <w:fldChar w:fldCharType="begin"/>
            </w:r>
            <w:r>
              <w:rPr>
                <w:rStyle w:val="InternetLink"/>
                <w:dstrike w:val="false"/>
                <w:strike w:val="false"/>
                <w:sz w:val="22"/>
                <w:u w:val="none"/>
                <w:b w:val="false"/>
                <w:effect w:val="none"/>
                <w:rFonts w:ascii="Arial;sans-serif" w:hAnsi="Arial;sans-serif"/>
                <w:color w:val="000000"/>
              </w:rPr>
              <w:instrText xml:space="preserve"> HYPERLINK "https://www.sec.gov/Archives/edgar/data/78890/000007889025000059/a202410-kexhibit191.htm" \l "if05b30e49d324350ac0fc6bb97d7cc3c"</w:instrText>
            </w:r>
            <w:r>
              <w:rPr>
                <w:rStyle w:val="InternetLink"/>
                <w:dstrike w:val="false"/>
                <w:strike w:val="false"/>
                <w:sz w:val="22"/>
                <w:u w:val="none"/>
                <w:b w:val="false"/>
                <w:effect w:val="none"/>
                <w:rFonts w:ascii="Arial;sans-serif" w:hAnsi="Arial;sans-serif"/>
                <w:color w:val="000000"/>
              </w:rPr>
              <w:fldChar w:fldCharType="separate"/>
            </w:r>
            <w:r>
              <w:rPr>
                <w:rStyle w:val="InternetLink"/>
                <w:rFonts w:ascii="Arial;sans-serif" w:hAnsi="Arial;sans-serif"/>
                <w:b w:val="false"/>
                <w:strike w:val="false"/>
                <w:dstrike w:val="false"/>
                <w:color w:val="000000"/>
                <w:sz w:val="22"/>
                <w:u w:val="none"/>
                <w:effect w:val="none"/>
              </w:rPr>
              <w:t>III:    Policy</w:t>
            </w:r>
            <w:r>
              <w:rPr>
                <w:rStyle w:val="InternetLink"/>
                <w:dstrike w:val="false"/>
                <w:strike w:val="false"/>
                <w:sz w:val="22"/>
                <w:u w:val="none"/>
                <w:b w:val="false"/>
                <w:effect w:val="none"/>
                <w:rFonts w:ascii="Arial;sans-serif" w:hAnsi="Arial;sans-serif"/>
                <w:color w:val="000000"/>
              </w:rPr>
              <w:fldChar w:fldCharType="end"/>
            </w:r>
          </w:p>
        </w:tc>
        <w:tc>
          <w:tcPr>
            <w:tcW w:w="1032" w:type="dxa"/>
            <w:gridSpan w:val="9"/>
            <w:tcBorders/>
            <w:tcMar>
              <w:top w:w="0" w:type="dxa"/>
              <w:left w:w="0" w:type="dxa"/>
              <w:bottom w:w="0" w:type="dxa"/>
              <w:right w:w="0" w:type="dxa"/>
            </w:tcMar>
            <w:vAlign w:val="center"/>
          </w:tcPr>
          <w:p>
            <w:pPr>
              <w:pStyle w:val="TableContents"/>
              <w:bidi w:val="0"/>
              <w:spacing w:lineRule="auto" w:line="288" w:before="0" w:after="100"/>
              <w:jc w:val="right"/>
              <w:rPr/>
            </w:pPr>
            <w:r>
              <w:fldChar w:fldCharType="begin"/>
            </w:r>
            <w:r>
              <w:rPr>
                <w:rStyle w:val="InternetLink"/>
                <w:sz w:val="22"/>
                <w:u w:val="single"/>
                <w:b w:val="false"/>
                <w:rFonts w:ascii="Arial;sans-serif" w:hAnsi="Arial;sans-serif"/>
                <w:color w:val="000000"/>
              </w:rPr>
              <w:instrText xml:space="preserve"> HYPERLINK "https://www.sec.gov/Archives/edgar/data/78890/000007889025000059/a202410-kexhibit191.htm" \l "if05b30e49d324350ac0fc6bb97d7cc3c"</w:instrText>
            </w:r>
            <w:r>
              <w:rPr>
                <w:rStyle w:val="InternetLink"/>
                <w:sz w:val="22"/>
                <w:u w:val="single"/>
                <w:b w:val="false"/>
                <w:rFonts w:ascii="Arial;sans-serif" w:hAnsi="Arial;sans-serif"/>
                <w:color w:val="000000"/>
              </w:rPr>
              <w:fldChar w:fldCharType="separate"/>
            </w:r>
            <w:r>
              <w:rPr>
                <w:rStyle w:val="InternetLink"/>
                <w:rFonts w:ascii="Arial;sans-serif" w:hAnsi="Arial;sans-serif"/>
                <w:b w:val="false"/>
                <w:color w:val="000000"/>
                <w:sz w:val="22"/>
                <w:u w:val="single"/>
              </w:rPr>
              <w:t>3</w:t>
            </w:r>
            <w:r>
              <w:rPr>
                <w:rStyle w:val="InternetLink"/>
                <w:sz w:val="22"/>
                <w:u w:val="single"/>
                <w:b w:val="false"/>
                <w:rFonts w:ascii="Arial;sans-serif" w:hAnsi="Arial;sans-serif"/>
                <w:color w:val="000000"/>
              </w:rPr>
              <w:fldChar w:fldCharType="end"/>
            </w:r>
          </w:p>
        </w:tc>
      </w:tr>
      <w:tr>
        <w:trPr/>
        <w:tc>
          <w:tcPr>
            <w:tcW w:w="9173" w:type="dxa"/>
            <w:gridSpan w:val="9"/>
            <w:tcBorders/>
            <w:tcMar>
              <w:top w:w="0" w:type="dxa"/>
              <w:left w:w="0" w:type="dxa"/>
              <w:bottom w:w="0" w:type="dxa"/>
              <w:right w:w="0" w:type="dxa"/>
            </w:tcMar>
            <w:vAlign w:val="center"/>
          </w:tcPr>
          <w:p>
            <w:pPr>
              <w:pStyle w:val="TableContents"/>
              <w:bidi w:val="0"/>
              <w:spacing w:lineRule="auto" w:line="288" w:before="0" w:after="100"/>
              <w:ind w:left="0" w:right="0" w:hanging="360"/>
              <w:jc w:val="left"/>
              <w:rPr/>
            </w:pPr>
            <w:r>
              <w:rPr>
                <w:rFonts w:ascii="Arial;sans-serif" w:hAnsi="Arial;sans-serif"/>
                <w:b w:val="false"/>
                <w:color w:val="000000"/>
                <w:sz w:val="22"/>
              </w:rPr>
              <w:t>A.</w:t>
            </w:r>
            <w:r>
              <w:fldChar w:fldCharType="begin"/>
            </w:r>
            <w:r>
              <w:rPr>
                <w:rStyle w:val="InternetLink"/>
                <w:dstrike w:val="false"/>
                <w:strike w:val="false"/>
                <w:sz w:val="22"/>
                <w:u w:val="none"/>
                <w:b w:val="false"/>
                <w:effect w:val="none"/>
                <w:rFonts w:ascii="Arial;sans-serif" w:hAnsi="Arial;sans-serif"/>
                <w:color w:val="000000"/>
              </w:rPr>
              <w:instrText xml:space="preserve"> HYPERLINK "https://www.sec.gov/Archives/edgar/data/78890/000007889025000059/a202410-kexhibit191.htm" \l "ia1846edda4e44ebfb4bf31d982425033"</w:instrText>
            </w:r>
            <w:r>
              <w:rPr>
                <w:rStyle w:val="InternetLink"/>
                <w:dstrike w:val="false"/>
                <w:strike w:val="false"/>
                <w:sz w:val="22"/>
                <w:u w:val="none"/>
                <w:b w:val="false"/>
                <w:effect w:val="none"/>
                <w:rFonts w:ascii="Arial;sans-serif" w:hAnsi="Arial;sans-serif"/>
                <w:color w:val="000000"/>
              </w:rPr>
              <w:fldChar w:fldCharType="separate"/>
            </w:r>
            <w:r>
              <w:rPr>
                <w:rStyle w:val="InternetLink"/>
                <w:rFonts w:ascii="Arial;sans-serif" w:hAnsi="Arial;sans-serif"/>
                <w:b w:val="false"/>
                <w:strike w:val="false"/>
                <w:dstrike w:val="false"/>
                <w:color w:val="000000"/>
                <w:sz w:val="22"/>
                <w:u w:val="none"/>
                <w:effect w:val="none"/>
              </w:rPr>
              <w:t>Restrictions on Trading in Company Securities</w:t>
            </w:r>
            <w:r>
              <w:rPr>
                <w:rStyle w:val="InternetLink"/>
                <w:dstrike w:val="false"/>
                <w:strike w:val="false"/>
                <w:sz w:val="22"/>
                <w:u w:val="none"/>
                <w:b w:val="false"/>
                <w:effect w:val="none"/>
                <w:rFonts w:ascii="Arial;sans-serif" w:hAnsi="Arial;sans-serif"/>
                <w:color w:val="000000"/>
              </w:rPr>
              <w:fldChar w:fldCharType="end"/>
            </w:r>
          </w:p>
        </w:tc>
        <w:tc>
          <w:tcPr>
            <w:tcW w:w="1032" w:type="dxa"/>
            <w:gridSpan w:val="9"/>
            <w:tcBorders/>
            <w:tcMar>
              <w:top w:w="0" w:type="dxa"/>
              <w:left w:w="0" w:type="dxa"/>
              <w:bottom w:w="0" w:type="dxa"/>
              <w:right w:w="0" w:type="dxa"/>
            </w:tcMar>
            <w:vAlign w:val="center"/>
          </w:tcPr>
          <w:p>
            <w:pPr>
              <w:pStyle w:val="TableContents"/>
              <w:bidi w:val="0"/>
              <w:spacing w:lineRule="auto" w:line="288" w:before="0" w:after="100"/>
              <w:jc w:val="right"/>
              <w:rPr/>
            </w:pPr>
            <w:r>
              <w:fldChar w:fldCharType="begin"/>
            </w:r>
            <w:r>
              <w:rPr>
                <w:rStyle w:val="InternetLink"/>
                <w:sz w:val="22"/>
                <w:u w:val="single"/>
                <w:b w:val="false"/>
                <w:rFonts w:ascii="Arial;sans-serif" w:hAnsi="Arial;sans-serif"/>
                <w:color w:val="000000"/>
              </w:rPr>
              <w:instrText xml:space="preserve"> HYPERLINK "https://www.sec.gov/Archives/edgar/data/78890/000007889025000059/a202410-kexhibit191.htm" \l "ia1846edda4e44ebfb4bf31d982425033"</w:instrText>
            </w:r>
            <w:r>
              <w:rPr>
                <w:rStyle w:val="InternetLink"/>
                <w:sz w:val="22"/>
                <w:u w:val="single"/>
                <w:b w:val="false"/>
                <w:rFonts w:ascii="Arial;sans-serif" w:hAnsi="Arial;sans-serif"/>
                <w:color w:val="000000"/>
              </w:rPr>
              <w:fldChar w:fldCharType="separate"/>
            </w:r>
            <w:r>
              <w:rPr>
                <w:rStyle w:val="InternetLink"/>
                <w:rFonts w:ascii="Arial;sans-serif" w:hAnsi="Arial;sans-serif"/>
                <w:b w:val="false"/>
                <w:color w:val="000000"/>
                <w:sz w:val="22"/>
                <w:u w:val="single"/>
              </w:rPr>
              <w:t>3</w:t>
            </w:r>
            <w:r>
              <w:rPr>
                <w:rStyle w:val="InternetLink"/>
                <w:sz w:val="22"/>
                <w:u w:val="single"/>
                <w:b w:val="false"/>
                <w:rFonts w:ascii="Arial;sans-serif" w:hAnsi="Arial;sans-serif"/>
                <w:color w:val="000000"/>
              </w:rPr>
              <w:fldChar w:fldCharType="end"/>
            </w:r>
          </w:p>
        </w:tc>
      </w:tr>
      <w:tr>
        <w:trPr/>
        <w:tc>
          <w:tcPr>
            <w:tcW w:w="9173" w:type="dxa"/>
            <w:gridSpan w:val="9"/>
            <w:tcBorders/>
            <w:tcMar>
              <w:top w:w="0" w:type="dxa"/>
              <w:left w:w="0" w:type="dxa"/>
              <w:bottom w:w="0" w:type="dxa"/>
              <w:right w:w="0" w:type="dxa"/>
            </w:tcMar>
            <w:vAlign w:val="center"/>
          </w:tcPr>
          <w:p>
            <w:pPr>
              <w:pStyle w:val="TableContents"/>
              <w:bidi w:val="0"/>
              <w:spacing w:lineRule="auto" w:line="288" w:before="0" w:after="100"/>
              <w:ind w:left="0" w:right="0" w:hanging="360"/>
              <w:jc w:val="left"/>
              <w:rPr/>
            </w:pPr>
            <w:r>
              <w:rPr>
                <w:rFonts w:ascii="Arial;sans-serif" w:hAnsi="Arial;sans-serif"/>
                <w:b w:val="false"/>
                <w:color w:val="000000"/>
                <w:sz w:val="22"/>
              </w:rPr>
              <w:t>B.</w:t>
            </w:r>
            <w:r>
              <w:fldChar w:fldCharType="begin"/>
            </w:r>
            <w:r>
              <w:rPr>
                <w:rStyle w:val="InternetLink"/>
                <w:dstrike w:val="false"/>
                <w:strike w:val="false"/>
                <w:sz w:val="22"/>
                <w:u w:val="none"/>
                <w:b w:val="false"/>
                <w:effect w:val="none"/>
                <w:rFonts w:ascii="Arial;sans-serif" w:hAnsi="Arial;sans-serif"/>
                <w:color w:val="000000"/>
              </w:rPr>
              <w:instrText xml:space="preserve"> HYPERLINK "https://www.sec.gov/Archives/edgar/data/78890/000007889025000059/a202410-kexhibit191.htm" \l "ic1c5df925b634661b09c99ce57de0852"</w:instrText>
            </w:r>
            <w:r>
              <w:rPr>
                <w:rStyle w:val="InternetLink"/>
                <w:dstrike w:val="false"/>
                <w:strike w:val="false"/>
                <w:sz w:val="22"/>
                <w:u w:val="none"/>
                <w:b w:val="false"/>
                <w:effect w:val="none"/>
                <w:rFonts w:ascii="Arial;sans-serif" w:hAnsi="Arial;sans-serif"/>
                <w:color w:val="000000"/>
              </w:rPr>
              <w:fldChar w:fldCharType="separate"/>
            </w:r>
            <w:r>
              <w:rPr>
                <w:rStyle w:val="InternetLink"/>
                <w:rFonts w:ascii="Arial;sans-serif" w:hAnsi="Arial;sans-serif"/>
                <w:b w:val="false"/>
                <w:strike w:val="false"/>
                <w:dstrike w:val="false"/>
                <w:color w:val="000000"/>
                <w:sz w:val="22"/>
                <w:u w:val="none"/>
                <w:effect w:val="none"/>
              </w:rPr>
              <w:t>Prohibition on “Tipping”</w:t>
            </w:r>
            <w:r>
              <w:rPr>
                <w:rStyle w:val="InternetLink"/>
                <w:dstrike w:val="false"/>
                <w:strike w:val="false"/>
                <w:sz w:val="22"/>
                <w:u w:val="none"/>
                <w:b w:val="false"/>
                <w:effect w:val="none"/>
                <w:rFonts w:ascii="Arial;sans-serif" w:hAnsi="Arial;sans-serif"/>
                <w:color w:val="000000"/>
              </w:rPr>
              <w:fldChar w:fldCharType="end"/>
            </w:r>
          </w:p>
        </w:tc>
        <w:tc>
          <w:tcPr>
            <w:tcW w:w="1032" w:type="dxa"/>
            <w:gridSpan w:val="9"/>
            <w:tcBorders/>
            <w:tcMar>
              <w:top w:w="0" w:type="dxa"/>
              <w:left w:w="0" w:type="dxa"/>
              <w:bottom w:w="0" w:type="dxa"/>
              <w:right w:w="0" w:type="dxa"/>
            </w:tcMar>
            <w:vAlign w:val="center"/>
          </w:tcPr>
          <w:p>
            <w:pPr>
              <w:pStyle w:val="TableContents"/>
              <w:bidi w:val="0"/>
              <w:spacing w:lineRule="auto" w:line="288" w:before="0" w:after="100"/>
              <w:jc w:val="right"/>
              <w:rPr/>
            </w:pPr>
            <w:r>
              <w:fldChar w:fldCharType="begin"/>
            </w:r>
            <w:r>
              <w:rPr>
                <w:rStyle w:val="InternetLink"/>
                <w:sz w:val="22"/>
                <w:u w:val="single"/>
                <w:b w:val="false"/>
                <w:rFonts w:ascii="Arial;sans-serif" w:hAnsi="Arial;sans-serif"/>
                <w:color w:val="000000"/>
              </w:rPr>
              <w:instrText xml:space="preserve"> HYPERLINK "https://www.sec.gov/Archives/edgar/data/78890/000007889025000059/a202410-kexhibit191.htm" \l "ic1c5df925b634661b09c99ce57de0852"</w:instrText>
            </w:r>
            <w:r>
              <w:rPr>
                <w:rStyle w:val="InternetLink"/>
                <w:sz w:val="22"/>
                <w:u w:val="single"/>
                <w:b w:val="false"/>
                <w:rFonts w:ascii="Arial;sans-serif" w:hAnsi="Arial;sans-serif"/>
                <w:color w:val="000000"/>
              </w:rPr>
              <w:fldChar w:fldCharType="separate"/>
            </w:r>
            <w:r>
              <w:rPr>
                <w:rStyle w:val="InternetLink"/>
                <w:rFonts w:ascii="Arial;sans-serif" w:hAnsi="Arial;sans-serif"/>
                <w:b w:val="false"/>
                <w:color w:val="000000"/>
                <w:sz w:val="22"/>
                <w:u w:val="single"/>
              </w:rPr>
              <w:t>4</w:t>
            </w:r>
            <w:r>
              <w:rPr>
                <w:rStyle w:val="InternetLink"/>
                <w:sz w:val="22"/>
                <w:u w:val="single"/>
                <w:b w:val="false"/>
                <w:rFonts w:ascii="Arial;sans-serif" w:hAnsi="Arial;sans-serif"/>
                <w:color w:val="000000"/>
              </w:rPr>
              <w:fldChar w:fldCharType="end"/>
            </w:r>
          </w:p>
        </w:tc>
      </w:tr>
      <w:tr>
        <w:trPr/>
        <w:tc>
          <w:tcPr>
            <w:tcW w:w="9173" w:type="dxa"/>
            <w:gridSpan w:val="9"/>
            <w:tcBorders/>
            <w:tcMar>
              <w:top w:w="0" w:type="dxa"/>
              <w:left w:w="0" w:type="dxa"/>
              <w:bottom w:w="0" w:type="dxa"/>
              <w:right w:w="0" w:type="dxa"/>
            </w:tcMar>
            <w:vAlign w:val="center"/>
          </w:tcPr>
          <w:p>
            <w:pPr>
              <w:pStyle w:val="TableContents"/>
              <w:bidi w:val="0"/>
              <w:spacing w:lineRule="auto" w:line="288" w:before="0" w:after="100"/>
              <w:ind w:left="0" w:right="0" w:hanging="360"/>
              <w:jc w:val="left"/>
              <w:rPr/>
            </w:pPr>
            <w:r>
              <w:rPr>
                <w:rFonts w:ascii="Arial;sans-serif" w:hAnsi="Arial;sans-serif"/>
                <w:b w:val="false"/>
                <w:color w:val="000000"/>
                <w:sz w:val="22"/>
              </w:rPr>
              <w:t>C.</w:t>
            </w:r>
            <w:r>
              <w:fldChar w:fldCharType="begin"/>
            </w:r>
            <w:r>
              <w:rPr>
                <w:rStyle w:val="InternetLink"/>
                <w:dstrike w:val="false"/>
                <w:strike w:val="false"/>
                <w:sz w:val="22"/>
                <w:u w:val="none"/>
                <w:b w:val="false"/>
                <w:effect w:val="none"/>
                <w:rFonts w:ascii="Arial;sans-serif" w:hAnsi="Arial;sans-serif"/>
                <w:color w:val="000000"/>
              </w:rPr>
              <w:instrText xml:space="preserve"> HYPERLINK "https://www.sec.gov/Archives/edgar/data/78890/000007889025000059/a202410-kexhibit191.htm" \l "i8cc89f1cc8404cb4b1d747a4761ab2ca"</w:instrText>
            </w:r>
            <w:r>
              <w:rPr>
                <w:rStyle w:val="InternetLink"/>
                <w:dstrike w:val="false"/>
                <w:strike w:val="false"/>
                <w:sz w:val="22"/>
                <w:u w:val="none"/>
                <w:b w:val="false"/>
                <w:effect w:val="none"/>
                <w:rFonts w:ascii="Arial;sans-serif" w:hAnsi="Arial;sans-serif"/>
                <w:color w:val="000000"/>
              </w:rPr>
              <w:fldChar w:fldCharType="separate"/>
            </w:r>
            <w:r>
              <w:rPr>
                <w:rStyle w:val="InternetLink"/>
                <w:rFonts w:ascii="Arial;sans-serif" w:hAnsi="Arial;sans-serif"/>
                <w:b w:val="false"/>
                <w:strike w:val="false"/>
                <w:dstrike w:val="false"/>
                <w:color w:val="000000"/>
                <w:sz w:val="22"/>
                <w:u w:val="none"/>
                <w:effect w:val="none"/>
              </w:rPr>
              <w:t>Family Members and Entities You Influence or Control</w:t>
            </w:r>
            <w:r>
              <w:rPr>
                <w:rStyle w:val="InternetLink"/>
                <w:dstrike w:val="false"/>
                <w:strike w:val="false"/>
                <w:sz w:val="22"/>
                <w:u w:val="none"/>
                <w:b w:val="false"/>
                <w:effect w:val="none"/>
                <w:rFonts w:ascii="Arial;sans-serif" w:hAnsi="Arial;sans-serif"/>
                <w:color w:val="000000"/>
              </w:rPr>
              <w:fldChar w:fldCharType="end"/>
            </w:r>
          </w:p>
        </w:tc>
        <w:tc>
          <w:tcPr>
            <w:tcW w:w="1032" w:type="dxa"/>
            <w:gridSpan w:val="9"/>
            <w:tcBorders/>
            <w:tcMar>
              <w:top w:w="0" w:type="dxa"/>
              <w:left w:w="0" w:type="dxa"/>
              <w:bottom w:w="0" w:type="dxa"/>
              <w:right w:w="0" w:type="dxa"/>
            </w:tcMar>
            <w:vAlign w:val="center"/>
          </w:tcPr>
          <w:p>
            <w:pPr>
              <w:pStyle w:val="TableContents"/>
              <w:bidi w:val="0"/>
              <w:spacing w:lineRule="auto" w:line="288" w:before="0" w:after="100"/>
              <w:jc w:val="right"/>
              <w:rPr/>
            </w:pPr>
            <w:r>
              <w:fldChar w:fldCharType="begin"/>
            </w:r>
            <w:r>
              <w:rPr>
                <w:rStyle w:val="InternetLink"/>
                <w:sz w:val="22"/>
                <w:u w:val="single"/>
                <w:b w:val="false"/>
                <w:rFonts w:ascii="Arial;sans-serif" w:hAnsi="Arial;sans-serif"/>
                <w:color w:val="000000"/>
              </w:rPr>
              <w:instrText xml:space="preserve"> HYPERLINK "https://www.sec.gov/Archives/edgar/data/78890/000007889025000059/a202410-kexhibit191.htm" \l "i8cc89f1cc8404cb4b1d747a4761ab2ca"</w:instrText>
            </w:r>
            <w:r>
              <w:rPr>
                <w:rStyle w:val="InternetLink"/>
                <w:sz w:val="22"/>
                <w:u w:val="single"/>
                <w:b w:val="false"/>
                <w:rFonts w:ascii="Arial;sans-serif" w:hAnsi="Arial;sans-serif"/>
                <w:color w:val="000000"/>
              </w:rPr>
              <w:fldChar w:fldCharType="separate"/>
            </w:r>
            <w:r>
              <w:rPr>
                <w:rStyle w:val="InternetLink"/>
                <w:rFonts w:ascii="Arial;sans-serif" w:hAnsi="Arial;sans-serif"/>
                <w:b w:val="false"/>
                <w:color w:val="000000"/>
                <w:sz w:val="22"/>
                <w:u w:val="single"/>
              </w:rPr>
              <w:t>4</w:t>
            </w:r>
            <w:r>
              <w:rPr>
                <w:rStyle w:val="InternetLink"/>
                <w:sz w:val="22"/>
                <w:u w:val="single"/>
                <w:b w:val="false"/>
                <w:rFonts w:ascii="Arial;sans-serif" w:hAnsi="Arial;sans-serif"/>
                <w:color w:val="000000"/>
              </w:rPr>
              <w:fldChar w:fldCharType="end"/>
            </w:r>
          </w:p>
        </w:tc>
      </w:tr>
      <w:tr>
        <w:trPr/>
        <w:tc>
          <w:tcPr>
            <w:tcW w:w="9173" w:type="dxa"/>
            <w:gridSpan w:val="9"/>
            <w:tcBorders/>
            <w:tcMar>
              <w:top w:w="0" w:type="dxa"/>
              <w:left w:w="0" w:type="dxa"/>
              <w:bottom w:w="0" w:type="dxa"/>
              <w:right w:w="0" w:type="dxa"/>
            </w:tcMar>
            <w:vAlign w:val="center"/>
          </w:tcPr>
          <w:p>
            <w:pPr>
              <w:pStyle w:val="TableContents"/>
              <w:bidi w:val="0"/>
              <w:spacing w:lineRule="auto" w:line="288" w:before="0" w:after="100"/>
              <w:ind w:left="0" w:right="0" w:hanging="360"/>
              <w:jc w:val="left"/>
              <w:rPr/>
            </w:pPr>
            <w:r>
              <w:rPr>
                <w:rFonts w:ascii="Arial;sans-serif" w:hAnsi="Arial;sans-serif"/>
                <w:b w:val="false"/>
                <w:color w:val="000000"/>
                <w:sz w:val="22"/>
              </w:rPr>
              <w:t>D.</w:t>
            </w:r>
            <w:r>
              <w:fldChar w:fldCharType="begin"/>
            </w:r>
            <w:r>
              <w:rPr>
                <w:rStyle w:val="InternetLink"/>
                <w:dstrike w:val="false"/>
                <w:strike w:val="false"/>
                <w:sz w:val="22"/>
                <w:u w:val="none"/>
                <w:b w:val="false"/>
                <w:effect w:val="none"/>
                <w:rFonts w:ascii="Arial;sans-serif" w:hAnsi="Arial;sans-serif"/>
                <w:color w:val="000000"/>
              </w:rPr>
              <w:instrText xml:space="preserve"> HYPERLINK "https://www.sec.gov/Archives/edgar/data/78890/000007889025000059/a202410-kexhibit191.htm" \l "i2f951583c00c4447969863c7f0130c6f"</w:instrText>
            </w:r>
            <w:r>
              <w:rPr>
                <w:rStyle w:val="InternetLink"/>
                <w:dstrike w:val="false"/>
                <w:strike w:val="false"/>
                <w:sz w:val="22"/>
                <w:u w:val="none"/>
                <w:b w:val="false"/>
                <w:effect w:val="none"/>
                <w:rFonts w:ascii="Arial;sans-serif" w:hAnsi="Arial;sans-serif"/>
                <w:color w:val="000000"/>
              </w:rPr>
              <w:fldChar w:fldCharType="separate"/>
            </w:r>
            <w:r>
              <w:rPr>
                <w:rStyle w:val="InternetLink"/>
                <w:rFonts w:ascii="Arial;sans-serif" w:hAnsi="Arial;sans-serif"/>
                <w:b w:val="false"/>
                <w:strike w:val="false"/>
                <w:dstrike w:val="false"/>
                <w:color w:val="000000"/>
                <w:sz w:val="22"/>
                <w:u w:val="none"/>
                <w:effect w:val="none"/>
              </w:rPr>
              <w:t>Enforcement and Penalties for Violations</w:t>
            </w:r>
            <w:r>
              <w:rPr>
                <w:rStyle w:val="InternetLink"/>
                <w:dstrike w:val="false"/>
                <w:strike w:val="false"/>
                <w:sz w:val="22"/>
                <w:u w:val="none"/>
                <w:b w:val="false"/>
                <w:effect w:val="none"/>
                <w:rFonts w:ascii="Arial;sans-serif" w:hAnsi="Arial;sans-serif"/>
                <w:color w:val="000000"/>
              </w:rPr>
              <w:fldChar w:fldCharType="end"/>
            </w:r>
          </w:p>
        </w:tc>
        <w:tc>
          <w:tcPr>
            <w:tcW w:w="1032" w:type="dxa"/>
            <w:gridSpan w:val="9"/>
            <w:tcBorders/>
            <w:tcMar>
              <w:top w:w="0" w:type="dxa"/>
              <w:left w:w="0" w:type="dxa"/>
              <w:bottom w:w="0" w:type="dxa"/>
              <w:right w:w="0" w:type="dxa"/>
            </w:tcMar>
            <w:vAlign w:val="center"/>
          </w:tcPr>
          <w:p>
            <w:pPr>
              <w:pStyle w:val="TableContents"/>
              <w:bidi w:val="0"/>
              <w:spacing w:lineRule="auto" w:line="288" w:before="0" w:after="100"/>
              <w:jc w:val="right"/>
              <w:rPr/>
            </w:pPr>
            <w:r>
              <w:fldChar w:fldCharType="begin"/>
            </w:r>
            <w:r>
              <w:rPr>
                <w:rStyle w:val="InternetLink"/>
                <w:sz w:val="22"/>
                <w:u w:val="single"/>
                <w:b w:val="false"/>
                <w:rFonts w:ascii="Arial;sans-serif" w:hAnsi="Arial;sans-serif"/>
                <w:color w:val="000000"/>
              </w:rPr>
              <w:instrText xml:space="preserve"> HYPERLINK "https://www.sec.gov/Archives/edgar/data/78890/000007889025000059/a202410-kexhibit191.htm" \l "i2f951583c00c4447969863c7f0130c6f"</w:instrText>
            </w:r>
            <w:r>
              <w:rPr>
                <w:rStyle w:val="InternetLink"/>
                <w:sz w:val="22"/>
                <w:u w:val="single"/>
                <w:b w:val="false"/>
                <w:rFonts w:ascii="Arial;sans-serif" w:hAnsi="Arial;sans-serif"/>
                <w:color w:val="000000"/>
              </w:rPr>
              <w:fldChar w:fldCharType="separate"/>
            </w:r>
            <w:r>
              <w:rPr>
                <w:rStyle w:val="InternetLink"/>
                <w:rFonts w:ascii="Arial;sans-serif" w:hAnsi="Arial;sans-serif"/>
                <w:b w:val="false"/>
                <w:color w:val="000000"/>
                <w:sz w:val="22"/>
                <w:u w:val="single"/>
              </w:rPr>
              <w:t>4</w:t>
            </w:r>
            <w:r>
              <w:rPr>
                <w:rStyle w:val="InternetLink"/>
                <w:sz w:val="22"/>
                <w:u w:val="single"/>
                <w:b w:val="false"/>
                <w:rFonts w:ascii="Arial;sans-serif" w:hAnsi="Arial;sans-serif"/>
                <w:color w:val="000000"/>
              </w:rPr>
              <w:fldChar w:fldCharType="end"/>
            </w:r>
          </w:p>
        </w:tc>
      </w:tr>
      <w:tr>
        <w:trPr/>
        <w:tc>
          <w:tcPr>
            <w:tcW w:w="9173" w:type="dxa"/>
            <w:gridSpan w:val="9"/>
            <w:tcBorders/>
            <w:tcMar>
              <w:top w:w="0" w:type="dxa"/>
              <w:left w:w="0" w:type="dxa"/>
              <w:bottom w:w="0" w:type="dxa"/>
              <w:right w:w="0" w:type="dxa"/>
            </w:tcMar>
            <w:vAlign w:val="center"/>
          </w:tcPr>
          <w:p>
            <w:pPr>
              <w:pStyle w:val="TableContents"/>
              <w:bidi w:val="0"/>
              <w:spacing w:lineRule="auto" w:line="288" w:before="0" w:after="100"/>
              <w:ind w:left="0" w:right="0" w:hanging="360"/>
              <w:jc w:val="left"/>
              <w:rPr/>
            </w:pPr>
            <w:r>
              <w:rPr>
                <w:rFonts w:ascii="Arial;sans-serif" w:hAnsi="Arial;sans-serif"/>
                <w:b w:val="false"/>
                <w:color w:val="000000"/>
                <w:sz w:val="22"/>
              </w:rPr>
              <w:t>E.</w:t>
            </w:r>
            <w:r>
              <w:fldChar w:fldCharType="begin"/>
            </w:r>
            <w:r>
              <w:rPr>
                <w:rStyle w:val="InternetLink"/>
                <w:dstrike w:val="false"/>
                <w:strike w:val="false"/>
                <w:sz w:val="22"/>
                <w:u w:val="none"/>
                <w:b w:val="false"/>
                <w:effect w:val="none"/>
                <w:rFonts w:ascii="Arial;sans-serif" w:hAnsi="Arial;sans-serif"/>
                <w:color w:val="000000"/>
              </w:rPr>
              <w:instrText xml:space="preserve"> HYPERLINK "https://www.sec.gov/Archives/edgar/data/78890/000007889025000059/a202410-kexhibit191.htm" \l "i95ec444b45ec454aabab21035d7bda13"</w:instrText>
            </w:r>
            <w:r>
              <w:rPr>
                <w:rStyle w:val="InternetLink"/>
                <w:dstrike w:val="false"/>
                <w:strike w:val="false"/>
                <w:sz w:val="22"/>
                <w:u w:val="none"/>
                <w:b w:val="false"/>
                <w:effect w:val="none"/>
                <w:rFonts w:ascii="Arial;sans-serif" w:hAnsi="Arial;sans-serif"/>
                <w:color w:val="000000"/>
              </w:rPr>
              <w:fldChar w:fldCharType="separate"/>
            </w:r>
            <w:r>
              <w:rPr>
                <w:rStyle w:val="InternetLink"/>
                <w:rFonts w:ascii="Arial;sans-serif" w:hAnsi="Arial;sans-serif"/>
                <w:b w:val="false"/>
                <w:strike w:val="false"/>
                <w:dstrike w:val="false"/>
                <w:color w:val="000000"/>
                <w:sz w:val="22"/>
                <w:u w:val="none"/>
                <w:effect w:val="none"/>
              </w:rPr>
              <w:t>Permitted Transactions in Company Securities During “Open Periods”</w:t>
            </w:r>
            <w:r>
              <w:rPr>
                <w:rStyle w:val="InternetLink"/>
                <w:dstrike w:val="false"/>
                <w:strike w:val="false"/>
                <w:sz w:val="22"/>
                <w:u w:val="none"/>
                <w:b w:val="false"/>
                <w:effect w:val="none"/>
                <w:rFonts w:ascii="Arial;sans-serif" w:hAnsi="Arial;sans-serif"/>
                <w:color w:val="000000"/>
              </w:rPr>
              <w:fldChar w:fldCharType="end"/>
            </w:r>
          </w:p>
        </w:tc>
        <w:tc>
          <w:tcPr>
            <w:tcW w:w="1032" w:type="dxa"/>
            <w:gridSpan w:val="9"/>
            <w:tcBorders/>
            <w:tcMar>
              <w:top w:w="0" w:type="dxa"/>
              <w:left w:w="0" w:type="dxa"/>
              <w:bottom w:w="0" w:type="dxa"/>
              <w:right w:w="0" w:type="dxa"/>
            </w:tcMar>
            <w:vAlign w:val="center"/>
          </w:tcPr>
          <w:p>
            <w:pPr>
              <w:pStyle w:val="TableContents"/>
              <w:bidi w:val="0"/>
              <w:spacing w:lineRule="auto" w:line="288" w:before="0" w:after="100"/>
              <w:jc w:val="right"/>
              <w:rPr/>
            </w:pPr>
            <w:r>
              <w:fldChar w:fldCharType="begin"/>
            </w:r>
            <w:r>
              <w:rPr>
                <w:rStyle w:val="InternetLink"/>
                <w:sz w:val="22"/>
                <w:u w:val="single"/>
                <w:b w:val="false"/>
                <w:rFonts w:ascii="Arial;sans-serif" w:hAnsi="Arial;sans-serif"/>
                <w:color w:val="000000"/>
              </w:rPr>
              <w:instrText xml:space="preserve"> HYPERLINK "https://www.sec.gov/Archives/edgar/data/78890/000007889025000059/a202410-kexhibit191.htm" \l "i95ec444b45ec454aabab21035d7bda13"</w:instrText>
            </w:r>
            <w:r>
              <w:rPr>
                <w:rStyle w:val="InternetLink"/>
                <w:sz w:val="22"/>
                <w:u w:val="single"/>
                <w:b w:val="false"/>
                <w:rFonts w:ascii="Arial;sans-serif" w:hAnsi="Arial;sans-serif"/>
                <w:color w:val="000000"/>
              </w:rPr>
              <w:fldChar w:fldCharType="separate"/>
            </w:r>
            <w:r>
              <w:rPr>
                <w:rStyle w:val="InternetLink"/>
                <w:rFonts w:ascii="Arial;sans-serif" w:hAnsi="Arial;sans-serif"/>
                <w:b w:val="false"/>
                <w:color w:val="000000"/>
                <w:sz w:val="22"/>
                <w:u w:val="single"/>
              </w:rPr>
              <w:t>5</w:t>
            </w:r>
            <w:r>
              <w:rPr>
                <w:rStyle w:val="InternetLink"/>
                <w:sz w:val="22"/>
                <w:u w:val="single"/>
                <w:b w:val="false"/>
                <w:rFonts w:ascii="Arial;sans-serif" w:hAnsi="Arial;sans-serif"/>
                <w:color w:val="000000"/>
              </w:rPr>
              <w:fldChar w:fldCharType="end"/>
            </w:r>
          </w:p>
        </w:tc>
      </w:tr>
      <w:tr>
        <w:trPr/>
        <w:tc>
          <w:tcPr>
            <w:tcW w:w="9173" w:type="dxa"/>
            <w:gridSpan w:val="9"/>
            <w:tcBorders/>
            <w:tcMar>
              <w:top w:w="0" w:type="dxa"/>
              <w:left w:w="0" w:type="dxa"/>
              <w:bottom w:w="0" w:type="dxa"/>
              <w:right w:w="0" w:type="dxa"/>
            </w:tcMar>
            <w:vAlign w:val="center"/>
          </w:tcPr>
          <w:p>
            <w:pPr>
              <w:pStyle w:val="TableContents"/>
              <w:bidi w:val="0"/>
              <w:spacing w:lineRule="auto" w:line="288" w:before="0" w:after="100"/>
              <w:ind w:left="0" w:right="0" w:hanging="360"/>
              <w:jc w:val="left"/>
              <w:rPr/>
            </w:pPr>
            <w:r>
              <w:rPr>
                <w:rFonts w:ascii="Arial;sans-serif" w:hAnsi="Arial;sans-serif"/>
                <w:b w:val="false"/>
                <w:color w:val="000000"/>
                <w:sz w:val="22"/>
              </w:rPr>
              <w:t>F.</w:t>
            </w:r>
            <w:r>
              <w:fldChar w:fldCharType="begin"/>
            </w:r>
            <w:r>
              <w:rPr>
                <w:rStyle w:val="InternetLink"/>
                <w:dstrike w:val="false"/>
                <w:strike w:val="false"/>
                <w:sz w:val="22"/>
                <w:u w:val="single"/>
                <w:b w:val="false"/>
                <w:effect w:val="none"/>
                <w:rFonts w:ascii="Arial;sans-serif" w:hAnsi="Arial;sans-serif"/>
                <w:color w:val="000080"/>
              </w:rPr>
              <w:instrText xml:space="preserve"> HYPERLINK "https://www.sec.gov/Archives/edgar/data/78890/000007889025000059/a202410-kexhibit191.htm" \l "i92b2f6f23b4b49ab8882a9ba27d70a70"</w:instrText>
            </w:r>
            <w:r>
              <w:rPr>
                <w:rStyle w:val="InternetLink"/>
                <w:dstrike w:val="false"/>
                <w:strike w:val="false"/>
                <w:sz w:val="22"/>
                <w:u w:val="single"/>
                <w:b w:val="false"/>
                <w:effect w:val="none"/>
                <w:rFonts w:ascii="Arial;sans-serif" w:hAnsi="Arial;sans-serif"/>
                <w:color w:val="000080"/>
              </w:rPr>
              <w:fldChar w:fldCharType="separate"/>
            </w:r>
            <w:r>
              <w:rPr>
                <w:rStyle w:val="InternetLink"/>
                <w:rFonts w:ascii="Arial;sans-serif" w:hAnsi="Arial;sans-serif"/>
                <w:b w:val="false"/>
                <w:strike w:val="false"/>
                <w:dstrike w:val="false"/>
                <w:color w:val="000080"/>
                <w:sz w:val="22"/>
                <w:u w:val="single"/>
                <w:effect w:val="none"/>
              </w:rPr>
              <w:t xml:space="preserve">Pre-Approval and Filing Requirements for Directors, Executive Officers and Other Specified </w:t>
            </w:r>
            <w:r>
              <w:rPr>
                <w:rStyle w:val="InternetLink"/>
                <w:dstrike w:val="false"/>
                <w:strike w:val="false"/>
                <w:sz w:val="22"/>
                <w:u w:val="single"/>
                <w:b w:val="false"/>
                <w:effect w:val="none"/>
                <w:rFonts w:ascii="Arial;sans-serif" w:hAnsi="Arial;sans-serif"/>
                <w:color w:val="000080"/>
              </w:rPr>
              <w:fldChar w:fldCharType="end"/>
            </w:r>
            <w:r>
              <w:fldChar w:fldCharType="begin"/>
            </w:r>
            <w:r>
              <w:rPr>
                <w:rStyle w:val="InternetLink"/>
                <w:dstrike w:val="false"/>
                <w:strike w:val="false"/>
                <w:sz w:val="22"/>
                <w:u w:val="single"/>
                <w:b w:val="false"/>
                <w:effect w:val="none"/>
                <w:rFonts w:ascii="Arial;sans-serif" w:hAnsi="Arial;sans-serif"/>
                <w:color w:val="000080"/>
              </w:rPr>
              <w:instrText xml:space="preserve"> HYPERLINK "https://www.sec.gov/Archives/edgar/data/78890/000007889025000059/a202410-kexhibit191.htm" \l "i92b2f6f23b4b49ab8882a9ba27d70a70"</w:instrText>
            </w:r>
            <w:r>
              <w:rPr>
                <w:rStyle w:val="InternetLink"/>
                <w:dstrike w:val="false"/>
                <w:strike w:val="false"/>
                <w:sz w:val="22"/>
                <w:u w:val="single"/>
                <w:b w:val="false"/>
                <w:effect w:val="none"/>
                <w:rFonts w:ascii="Arial;sans-serif" w:hAnsi="Arial;sans-serif"/>
                <w:color w:val="000080"/>
              </w:rPr>
              <w:fldChar w:fldCharType="separate"/>
            </w:r>
            <w:r>
              <w:rPr>
                <w:rStyle w:val="InternetLink"/>
                <w:rFonts w:ascii="Arial;sans-serif" w:hAnsi="Arial;sans-serif"/>
                <w:b w:val="false"/>
                <w:strike w:val="false"/>
                <w:dstrike w:val="false"/>
                <w:color w:val="000080"/>
                <w:sz w:val="22"/>
                <w:u w:val="single"/>
                <w:effect w:val="none"/>
              </w:rPr>
              <w:br/>
            </w:r>
            <w:r>
              <w:rPr>
                <w:rStyle w:val="InternetLink"/>
                <w:dstrike w:val="false"/>
                <w:strike w:val="false"/>
                <w:sz w:val="22"/>
                <w:u w:val="single"/>
                <w:b w:val="false"/>
                <w:effect w:val="none"/>
                <w:rFonts w:ascii="Arial;sans-serif" w:hAnsi="Arial;sans-serif"/>
                <w:color w:val="000080"/>
              </w:rPr>
              <w:fldChar w:fldCharType="end"/>
            </w:r>
            <w:r>
              <w:fldChar w:fldCharType="begin"/>
            </w:r>
            <w:r>
              <w:rPr>
                <w:rStyle w:val="InternetLink"/>
                <w:dstrike w:val="false"/>
                <w:strike w:val="false"/>
                <w:sz w:val="22"/>
                <w:u w:val="single"/>
                <w:b w:val="false"/>
                <w:effect w:val="none"/>
                <w:rFonts w:ascii="Arial;sans-serif" w:hAnsi="Arial;sans-serif"/>
                <w:color w:val="000080"/>
              </w:rPr>
              <w:instrText xml:space="preserve"> HYPERLINK "https://www.sec.gov/Archives/edgar/data/78890/000007889025000059/a202410-kexhibit191.htm" \l "i92b2f6f23b4b49ab8882a9ba27d70a70"</w:instrText>
            </w:r>
            <w:r>
              <w:rPr>
                <w:rStyle w:val="InternetLink"/>
                <w:dstrike w:val="false"/>
                <w:strike w:val="false"/>
                <w:sz w:val="22"/>
                <w:u w:val="single"/>
                <w:b w:val="false"/>
                <w:effect w:val="none"/>
                <w:rFonts w:ascii="Arial;sans-serif" w:hAnsi="Arial;sans-serif"/>
                <w:color w:val="000080"/>
              </w:rPr>
              <w:fldChar w:fldCharType="separate"/>
            </w:r>
            <w:r>
              <w:rPr>
                <w:rStyle w:val="InternetLink"/>
                <w:rFonts w:ascii="Arial;sans-serif" w:hAnsi="Arial;sans-serif"/>
                <w:b w:val="false"/>
                <w:strike w:val="false"/>
                <w:dstrike w:val="false"/>
                <w:color w:val="000080"/>
                <w:sz w:val="22"/>
                <w:u w:val="single"/>
                <w:effect w:val="none"/>
              </w:rPr>
              <w:t>Employees</w:t>
            </w:r>
            <w:r>
              <w:rPr>
                <w:rStyle w:val="InternetLink"/>
                <w:dstrike w:val="false"/>
                <w:strike w:val="false"/>
                <w:sz w:val="22"/>
                <w:u w:val="single"/>
                <w:b w:val="false"/>
                <w:effect w:val="none"/>
                <w:rFonts w:ascii="Arial;sans-serif" w:hAnsi="Arial;sans-serif"/>
                <w:color w:val="000080"/>
              </w:rPr>
              <w:fldChar w:fldCharType="end"/>
            </w:r>
          </w:p>
        </w:tc>
        <w:tc>
          <w:tcPr>
            <w:tcW w:w="1032" w:type="dxa"/>
            <w:gridSpan w:val="9"/>
            <w:tcBorders/>
            <w:tcMar>
              <w:top w:w="0" w:type="dxa"/>
              <w:left w:w="0" w:type="dxa"/>
              <w:bottom w:w="0" w:type="dxa"/>
              <w:right w:w="0" w:type="dxa"/>
            </w:tcMar>
            <w:vAlign w:val="center"/>
          </w:tcPr>
          <w:p>
            <w:pPr>
              <w:pStyle w:val="TableContents"/>
              <w:bidi w:val="0"/>
              <w:spacing w:lineRule="auto" w:line="288" w:before="0" w:after="100"/>
              <w:jc w:val="right"/>
              <w:rPr/>
            </w:pPr>
            <w:r>
              <w:fldChar w:fldCharType="begin"/>
            </w:r>
            <w:r>
              <w:rPr>
                <w:rStyle w:val="InternetLink"/>
                <w:sz w:val="22"/>
                <w:u w:val="single"/>
                <w:b w:val="false"/>
                <w:rFonts w:ascii="Arial;sans-serif" w:hAnsi="Arial;sans-serif"/>
                <w:color w:val="000000"/>
              </w:rPr>
              <w:instrText xml:space="preserve"> HYPERLINK "https://www.sec.gov/Archives/edgar/data/78890/000007889025000059/a202410-kexhibit191.htm" \l "i92b2f6f23b4b49ab8882a9ba27d70a70"</w:instrText>
            </w:r>
            <w:r>
              <w:rPr>
                <w:rStyle w:val="InternetLink"/>
                <w:sz w:val="22"/>
                <w:u w:val="single"/>
                <w:b w:val="false"/>
                <w:rFonts w:ascii="Arial;sans-serif" w:hAnsi="Arial;sans-serif"/>
                <w:color w:val="000000"/>
              </w:rPr>
              <w:fldChar w:fldCharType="separate"/>
            </w:r>
            <w:r>
              <w:rPr>
                <w:rStyle w:val="InternetLink"/>
                <w:rFonts w:ascii="Arial;sans-serif" w:hAnsi="Arial;sans-serif"/>
                <w:b w:val="false"/>
                <w:color w:val="000000"/>
                <w:sz w:val="22"/>
                <w:u w:val="single"/>
              </w:rPr>
              <w:t>5</w:t>
            </w:r>
            <w:r>
              <w:rPr>
                <w:rStyle w:val="InternetLink"/>
                <w:sz w:val="22"/>
                <w:u w:val="single"/>
                <w:b w:val="false"/>
                <w:rFonts w:ascii="Arial;sans-serif" w:hAnsi="Arial;sans-serif"/>
                <w:color w:val="000000"/>
              </w:rPr>
              <w:fldChar w:fldCharType="end"/>
            </w:r>
          </w:p>
        </w:tc>
      </w:tr>
      <w:tr>
        <w:trPr/>
        <w:tc>
          <w:tcPr>
            <w:tcW w:w="9173" w:type="dxa"/>
            <w:gridSpan w:val="9"/>
            <w:tcBorders/>
            <w:tcMar>
              <w:top w:w="0" w:type="dxa"/>
              <w:left w:w="0" w:type="dxa"/>
              <w:bottom w:w="0" w:type="dxa"/>
              <w:right w:w="0" w:type="dxa"/>
            </w:tcMar>
            <w:vAlign w:val="center"/>
          </w:tcPr>
          <w:p>
            <w:pPr>
              <w:pStyle w:val="TableContents"/>
              <w:bidi w:val="0"/>
              <w:spacing w:lineRule="auto" w:line="288" w:before="0" w:after="100"/>
              <w:ind w:left="0" w:right="0" w:hanging="360"/>
              <w:jc w:val="left"/>
              <w:rPr/>
            </w:pPr>
            <w:r>
              <w:rPr>
                <w:rFonts w:ascii="Arial;sans-serif" w:hAnsi="Arial;sans-serif"/>
                <w:b w:val="false"/>
                <w:color w:val="000000"/>
                <w:sz w:val="22"/>
              </w:rPr>
              <w:t>G.</w:t>
            </w:r>
            <w:r>
              <w:fldChar w:fldCharType="begin"/>
            </w:r>
            <w:r>
              <w:rPr>
                <w:rStyle w:val="InternetLink"/>
                <w:dstrike w:val="false"/>
                <w:strike w:val="false"/>
                <w:sz w:val="22"/>
                <w:u w:val="none"/>
                <w:b w:val="false"/>
                <w:effect w:val="none"/>
                <w:rFonts w:ascii="Arial;sans-serif" w:hAnsi="Arial;sans-serif"/>
                <w:color w:val="000000"/>
              </w:rPr>
              <w:instrText xml:space="preserve"> HYPERLINK "https://www.sec.gov/Archives/edgar/data/78890/000007889025000059/a202410-kexhibit191.htm" \l "i97055bcc771f493e95e2e19084f61363"</w:instrText>
            </w:r>
            <w:r>
              <w:rPr>
                <w:rStyle w:val="InternetLink"/>
                <w:dstrike w:val="false"/>
                <w:strike w:val="false"/>
                <w:sz w:val="22"/>
                <w:u w:val="none"/>
                <w:b w:val="false"/>
                <w:effect w:val="none"/>
                <w:rFonts w:ascii="Arial;sans-serif" w:hAnsi="Arial;sans-serif"/>
                <w:color w:val="000000"/>
              </w:rPr>
              <w:fldChar w:fldCharType="separate"/>
            </w:r>
            <w:r>
              <w:rPr>
                <w:rStyle w:val="InternetLink"/>
                <w:rFonts w:ascii="Arial;sans-serif" w:hAnsi="Arial;sans-serif"/>
                <w:b w:val="false"/>
                <w:strike w:val="false"/>
                <w:dstrike w:val="false"/>
                <w:color w:val="000000"/>
                <w:sz w:val="22"/>
                <w:u w:val="none"/>
                <w:effect w:val="none"/>
              </w:rPr>
              <w:t>Trading in the Stock of Other Corporations</w:t>
            </w:r>
            <w:r>
              <w:rPr>
                <w:rStyle w:val="InternetLink"/>
                <w:dstrike w:val="false"/>
                <w:strike w:val="false"/>
                <w:sz w:val="22"/>
                <w:u w:val="none"/>
                <w:b w:val="false"/>
                <w:effect w:val="none"/>
                <w:rFonts w:ascii="Arial;sans-serif" w:hAnsi="Arial;sans-serif"/>
                <w:color w:val="000000"/>
              </w:rPr>
              <w:fldChar w:fldCharType="end"/>
            </w:r>
          </w:p>
        </w:tc>
        <w:tc>
          <w:tcPr>
            <w:tcW w:w="1032" w:type="dxa"/>
            <w:gridSpan w:val="9"/>
            <w:tcBorders/>
            <w:tcMar>
              <w:top w:w="0" w:type="dxa"/>
              <w:left w:w="0" w:type="dxa"/>
              <w:bottom w:w="0" w:type="dxa"/>
              <w:right w:w="0" w:type="dxa"/>
            </w:tcMar>
            <w:vAlign w:val="center"/>
          </w:tcPr>
          <w:p>
            <w:pPr>
              <w:pStyle w:val="TableContents"/>
              <w:bidi w:val="0"/>
              <w:spacing w:lineRule="auto" w:line="288" w:before="0" w:after="100"/>
              <w:jc w:val="right"/>
              <w:rPr/>
            </w:pPr>
            <w:r>
              <w:fldChar w:fldCharType="begin"/>
            </w:r>
            <w:r>
              <w:rPr>
                <w:rStyle w:val="InternetLink"/>
                <w:sz w:val="22"/>
                <w:u w:val="single"/>
                <w:b w:val="false"/>
                <w:rFonts w:ascii="Arial;sans-serif" w:hAnsi="Arial;sans-serif"/>
                <w:color w:val="000000"/>
              </w:rPr>
              <w:instrText xml:space="preserve"> HYPERLINK "https://www.sec.gov/Archives/edgar/data/78890/000007889025000059/a202410-kexhibit191.htm" \l "i97055bcc771f493e95e2e19084f61363"</w:instrText>
            </w:r>
            <w:r>
              <w:rPr>
                <w:rStyle w:val="InternetLink"/>
                <w:sz w:val="22"/>
                <w:u w:val="single"/>
                <w:b w:val="false"/>
                <w:rFonts w:ascii="Arial;sans-serif" w:hAnsi="Arial;sans-serif"/>
                <w:color w:val="000000"/>
              </w:rPr>
              <w:fldChar w:fldCharType="separate"/>
            </w:r>
            <w:r>
              <w:rPr>
                <w:rStyle w:val="InternetLink"/>
                <w:rFonts w:ascii="Arial;sans-serif" w:hAnsi="Arial;sans-serif"/>
                <w:b w:val="false"/>
                <w:color w:val="000000"/>
                <w:sz w:val="22"/>
                <w:u w:val="single"/>
              </w:rPr>
              <w:t>6</w:t>
            </w:r>
            <w:r>
              <w:rPr>
                <w:rStyle w:val="InternetLink"/>
                <w:sz w:val="22"/>
                <w:u w:val="single"/>
                <w:b w:val="false"/>
                <w:rFonts w:ascii="Arial;sans-serif" w:hAnsi="Arial;sans-serif"/>
                <w:color w:val="000000"/>
              </w:rPr>
              <w:fldChar w:fldCharType="end"/>
            </w:r>
          </w:p>
        </w:tc>
      </w:tr>
      <w:tr>
        <w:trPr/>
        <w:tc>
          <w:tcPr>
            <w:tcW w:w="9173" w:type="dxa"/>
            <w:gridSpan w:val="9"/>
            <w:tcBorders/>
            <w:tcMar>
              <w:top w:w="0" w:type="dxa"/>
              <w:left w:w="0" w:type="dxa"/>
              <w:bottom w:w="0" w:type="dxa"/>
              <w:right w:w="0" w:type="dxa"/>
            </w:tcMar>
            <w:vAlign w:val="center"/>
          </w:tcPr>
          <w:p>
            <w:pPr>
              <w:pStyle w:val="TableContents"/>
              <w:bidi w:val="0"/>
              <w:spacing w:lineRule="auto" w:line="288" w:before="0" w:after="100"/>
              <w:ind w:left="0" w:right="0" w:hanging="360"/>
              <w:jc w:val="left"/>
              <w:rPr/>
            </w:pPr>
            <w:r>
              <w:rPr>
                <w:rFonts w:ascii="Arial;sans-serif" w:hAnsi="Arial;sans-serif"/>
                <w:b w:val="false"/>
                <w:color w:val="000000"/>
                <w:sz w:val="22"/>
              </w:rPr>
              <w:t>H.</w:t>
            </w:r>
            <w:r>
              <w:fldChar w:fldCharType="begin"/>
            </w:r>
            <w:r>
              <w:rPr>
                <w:rStyle w:val="InternetLink"/>
                <w:dstrike w:val="false"/>
                <w:strike w:val="false"/>
                <w:sz w:val="22"/>
                <w:u w:val="none"/>
                <w:b w:val="false"/>
                <w:effect w:val="none"/>
                <w:rFonts w:ascii="Arial;sans-serif" w:hAnsi="Arial;sans-serif"/>
                <w:color w:val="000000"/>
              </w:rPr>
              <w:instrText xml:space="preserve"> HYPERLINK "https://www.sec.gov/Archives/edgar/data/78890/000007889025000059/a202410-kexhibit191.htm" \l "i8e5300e60ae6442b8947497567110ffb"</w:instrText>
            </w:r>
            <w:r>
              <w:rPr>
                <w:rStyle w:val="InternetLink"/>
                <w:dstrike w:val="false"/>
                <w:strike w:val="false"/>
                <w:sz w:val="22"/>
                <w:u w:val="none"/>
                <w:b w:val="false"/>
                <w:effect w:val="none"/>
                <w:rFonts w:ascii="Arial;sans-serif" w:hAnsi="Arial;sans-serif"/>
                <w:color w:val="000000"/>
              </w:rPr>
              <w:fldChar w:fldCharType="separate"/>
            </w:r>
            <w:r>
              <w:rPr>
                <w:rStyle w:val="InternetLink"/>
                <w:rFonts w:ascii="Arial;sans-serif" w:hAnsi="Arial;sans-serif"/>
                <w:b w:val="false"/>
                <w:strike w:val="false"/>
                <w:dstrike w:val="false"/>
                <w:color w:val="000000"/>
                <w:sz w:val="22"/>
                <w:u w:val="none"/>
                <w:effect w:val="none"/>
              </w:rPr>
              <w:t>General Prohibition on Hedging</w:t>
            </w:r>
            <w:r>
              <w:rPr>
                <w:rStyle w:val="InternetLink"/>
                <w:dstrike w:val="false"/>
                <w:strike w:val="false"/>
                <w:sz w:val="22"/>
                <w:u w:val="none"/>
                <w:b w:val="false"/>
                <w:effect w:val="none"/>
                <w:rFonts w:ascii="Arial;sans-serif" w:hAnsi="Arial;sans-serif"/>
                <w:color w:val="000000"/>
              </w:rPr>
              <w:fldChar w:fldCharType="end"/>
            </w:r>
          </w:p>
        </w:tc>
        <w:tc>
          <w:tcPr>
            <w:tcW w:w="1032" w:type="dxa"/>
            <w:gridSpan w:val="9"/>
            <w:tcBorders/>
            <w:tcMar>
              <w:top w:w="0" w:type="dxa"/>
              <w:left w:w="0" w:type="dxa"/>
              <w:bottom w:w="0" w:type="dxa"/>
              <w:right w:w="0" w:type="dxa"/>
            </w:tcMar>
            <w:vAlign w:val="center"/>
          </w:tcPr>
          <w:p>
            <w:pPr>
              <w:pStyle w:val="TableContents"/>
              <w:bidi w:val="0"/>
              <w:spacing w:lineRule="auto" w:line="288" w:before="0" w:after="100"/>
              <w:jc w:val="right"/>
              <w:rPr/>
            </w:pPr>
            <w:r>
              <w:fldChar w:fldCharType="begin"/>
            </w:r>
            <w:r>
              <w:rPr>
                <w:rStyle w:val="InternetLink"/>
                <w:sz w:val="22"/>
                <w:u w:val="single"/>
                <w:b w:val="false"/>
                <w:rFonts w:ascii="Arial;sans-serif" w:hAnsi="Arial;sans-serif"/>
                <w:color w:val="000000"/>
              </w:rPr>
              <w:instrText xml:space="preserve"> HYPERLINK "https://www.sec.gov/Archives/edgar/data/78890/000007889025000059/a202410-kexhibit191.htm" \l "i8e5300e60ae6442b8947497567110ffb"</w:instrText>
            </w:r>
            <w:r>
              <w:rPr>
                <w:rStyle w:val="InternetLink"/>
                <w:sz w:val="22"/>
                <w:u w:val="single"/>
                <w:b w:val="false"/>
                <w:rFonts w:ascii="Arial;sans-serif" w:hAnsi="Arial;sans-serif"/>
                <w:color w:val="000000"/>
              </w:rPr>
              <w:fldChar w:fldCharType="separate"/>
            </w:r>
            <w:r>
              <w:rPr>
                <w:rStyle w:val="InternetLink"/>
                <w:rFonts w:ascii="Arial;sans-serif" w:hAnsi="Arial;sans-serif"/>
                <w:b w:val="false"/>
                <w:color w:val="000000"/>
                <w:sz w:val="22"/>
                <w:u w:val="single"/>
              </w:rPr>
              <w:t>6</w:t>
            </w:r>
            <w:r>
              <w:rPr>
                <w:rStyle w:val="InternetLink"/>
                <w:sz w:val="22"/>
                <w:u w:val="single"/>
                <w:b w:val="false"/>
                <w:rFonts w:ascii="Arial;sans-serif" w:hAnsi="Arial;sans-serif"/>
                <w:color w:val="000000"/>
              </w:rPr>
              <w:fldChar w:fldCharType="end"/>
            </w:r>
          </w:p>
        </w:tc>
      </w:tr>
      <w:tr>
        <w:trPr/>
        <w:tc>
          <w:tcPr>
            <w:tcW w:w="9173" w:type="dxa"/>
            <w:gridSpan w:val="9"/>
            <w:tcBorders/>
            <w:tcMar>
              <w:top w:w="0" w:type="dxa"/>
              <w:left w:w="0" w:type="dxa"/>
              <w:bottom w:w="0" w:type="dxa"/>
              <w:right w:w="0" w:type="dxa"/>
            </w:tcMar>
            <w:vAlign w:val="center"/>
          </w:tcPr>
          <w:p>
            <w:pPr>
              <w:pStyle w:val="TableContents"/>
              <w:bidi w:val="0"/>
              <w:spacing w:lineRule="auto" w:line="288" w:before="0" w:after="100"/>
              <w:ind w:left="0" w:right="0" w:hanging="360"/>
              <w:jc w:val="left"/>
              <w:rPr/>
            </w:pPr>
            <w:r>
              <w:rPr>
                <w:rFonts w:ascii="Arial;sans-serif" w:hAnsi="Arial;sans-serif"/>
                <w:b w:val="false"/>
                <w:color w:val="000000"/>
                <w:sz w:val="22"/>
              </w:rPr>
              <w:t>I.</w:t>
            </w:r>
            <w:r>
              <w:fldChar w:fldCharType="begin"/>
            </w:r>
            <w:r>
              <w:rPr>
                <w:rStyle w:val="InternetLink"/>
                <w:dstrike w:val="false"/>
                <w:strike w:val="false"/>
                <w:sz w:val="22"/>
                <w:u w:val="none"/>
                <w:b w:val="false"/>
                <w:effect w:val="none"/>
                <w:rFonts w:ascii="Arial;sans-serif" w:hAnsi="Arial;sans-serif"/>
                <w:color w:val="000000"/>
              </w:rPr>
              <w:instrText xml:space="preserve"> HYPERLINK "https://www.sec.gov/Archives/edgar/data/78890/000007889025000059/a202410-kexhibit191.htm" \l "ifa52beefe6b148ba98cf5d8ecfc131c6"</w:instrText>
            </w:r>
            <w:r>
              <w:rPr>
                <w:rStyle w:val="InternetLink"/>
                <w:dstrike w:val="false"/>
                <w:strike w:val="false"/>
                <w:sz w:val="22"/>
                <w:u w:val="none"/>
                <w:b w:val="false"/>
                <w:effect w:val="none"/>
                <w:rFonts w:ascii="Arial;sans-serif" w:hAnsi="Arial;sans-serif"/>
                <w:color w:val="000000"/>
              </w:rPr>
              <w:fldChar w:fldCharType="separate"/>
            </w:r>
            <w:r>
              <w:rPr>
                <w:rStyle w:val="InternetLink"/>
                <w:rFonts w:ascii="Arial;sans-serif" w:hAnsi="Arial;sans-serif"/>
                <w:b w:val="false"/>
                <w:strike w:val="false"/>
                <w:dstrike w:val="false"/>
                <w:color w:val="000000"/>
                <w:sz w:val="22"/>
                <w:u w:val="none"/>
                <w:effect w:val="none"/>
              </w:rPr>
              <w:t>Rule 10b5-1 Plans</w:t>
            </w:r>
            <w:r>
              <w:rPr>
                <w:rStyle w:val="InternetLink"/>
                <w:dstrike w:val="false"/>
                <w:strike w:val="false"/>
                <w:sz w:val="22"/>
                <w:u w:val="none"/>
                <w:b w:val="false"/>
                <w:effect w:val="none"/>
                <w:rFonts w:ascii="Arial;sans-serif" w:hAnsi="Arial;sans-serif"/>
                <w:color w:val="000000"/>
              </w:rPr>
              <w:fldChar w:fldCharType="end"/>
            </w:r>
          </w:p>
        </w:tc>
        <w:tc>
          <w:tcPr>
            <w:tcW w:w="1032" w:type="dxa"/>
            <w:gridSpan w:val="9"/>
            <w:tcBorders/>
            <w:tcMar>
              <w:top w:w="0" w:type="dxa"/>
              <w:left w:w="0" w:type="dxa"/>
              <w:bottom w:w="0" w:type="dxa"/>
              <w:right w:w="0" w:type="dxa"/>
            </w:tcMar>
            <w:vAlign w:val="center"/>
          </w:tcPr>
          <w:p>
            <w:pPr>
              <w:pStyle w:val="TableContents"/>
              <w:bidi w:val="0"/>
              <w:spacing w:lineRule="auto" w:line="288" w:before="0" w:after="100"/>
              <w:jc w:val="right"/>
              <w:rPr/>
            </w:pPr>
            <w:r>
              <w:fldChar w:fldCharType="begin"/>
            </w:r>
            <w:r>
              <w:rPr>
                <w:rStyle w:val="InternetLink"/>
                <w:sz w:val="22"/>
                <w:u w:val="single"/>
                <w:b w:val="false"/>
                <w:rFonts w:ascii="Arial;sans-serif" w:hAnsi="Arial;sans-serif"/>
                <w:color w:val="000000"/>
              </w:rPr>
              <w:instrText xml:space="preserve"> HYPERLINK "https://www.sec.gov/Archives/edgar/data/78890/000007889025000059/a202410-kexhibit191.htm" \l "ifa52beefe6b148ba98cf5d8ecfc131c6"</w:instrText>
            </w:r>
            <w:r>
              <w:rPr>
                <w:rStyle w:val="InternetLink"/>
                <w:sz w:val="22"/>
                <w:u w:val="single"/>
                <w:b w:val="false"/>
                <w:rFonts w:ascii="Arial;sans-serif" w:hAnsi="Arial;sans-serif"/>
                <w:color w:val="000000"/>
              </w:rPr>
              <w:fldChar w:fldCharType="separate"/>
            </w:r>
            <w:r>
              <w:rPr>
                <w:rStyle w:val="InternetLink"/>
                <w:rFonts w:ascii="Arial;sans-serif" w:hAnsi="Arial;sans-serif"/>
                <w:b w:val="false"/>
                <w:color w:val="000000"/>
                <w:sz w:val="22"/>
                <w:u w:val="single"/>
              </w:rPr>
              <w:t>7</w:t>
            </w:r>
            <w:r>
              <w:rPr>
                <w:rStyle w:val="InternetLink"/>
                <w:sz w:val="22"/>
                <w:u w:val="single"/>
                <w:b w:val="false"/>
                <w:rFonts w:ascii="Arial;sans-serif" w:hAnsi="Arial;sans-serif"/>
                <w:color w:val="000000"/>
              </w:rPr>
              <w:fldChar w:fldCharType="end"/>
            </w:r>
          </w:p>
        </w:tc>
      </w:tr>
      <w:tr>
        <w:trPr/>
        <w:tc>
          <w:tcPr>
            <w:tcW w:w="9173" w:type="dxa"/>
            <w:gridSpan w:val="9"/>
            <w:tcBorders/>
            <w:tcMar>
              <w:top w:w="0" w:type="dxa"/>
              <w:left w:w="0" w:type="dxa"/>
              <w:bottom w:w="0" w:type="dxa"/>
              <w:right w:w="0" w:type="dxa"/>
            </w:tcMar>
            <w:vAlign w:val="center"/>
          </w:tcPr>
          <w:p>
            <w:pPr>
              <w:pStyle w:val="TableContents"/>
              <w:bidi w:val="0"/>
              <w:spacing w:lineRule="auto" w:line="288" w:before="0" w:after="100"/>
              <w:ind w:left="0" w:right="0" w:hanging="360"/>
              <w:jc w:val="left"/>
              <w:rPr/>
            </w:pPr>
            <w:r>
              <w:rPr>
                <w:rFonts w:ascii="Arial;sans-serif" w:hAnsi="Arial;sans-serif"/>
                <w:b w:val="false"/>
                <w:color w:val="000000"/>
                <w:sz w:val="22"/>
              </w:rPr>
              <w:t>J.</w:t>
            </w:r>
            <w:r>
              <w:fldChar w:fldCharType="begin"/>
            </w:r>
            <w:r>
              <w:rPr>
                <w:rStyle w:val="InternetLink"/>
                <w:dstrike w:val="false"/>
                <w:strike w:val="false"/>
                <w:sz w:val="22"/>
                <w:u w:val="none"/>
                <w:b w:val="false"/>
                <w:effect w:val="none"/>
                <w:rFonts w:ascii="Arial;sans-serif" w:hAnsi="Arial;sans-serif"/>
                <w:color w:val="000000"/>
              </w:rPr>
              <w:instrText xml:space="preserve"> HYPERLINK "https://www.sec.gov/Archives/edgar/data/78890/000007889025000059/a202410-kexhibit191.htm" \l "i74ddd3a3957448cc92ec694157dc6ff5"</w:instrText>
            </w:r>
            <w:r>
              <w:rPr>
                <w:rStyle w:val="InternetLink"/>
                <w:dstrike w:val="false"/>
                <w:strike w:val="false"/>
                <w:sz w:val="22"/>
                <w:u w:val="none"/>
                <w:b w:val="false"/>
                <w:effect w:val="none"/>
                <w:rFonts w:ascii="Arial;sans-serif" w:hAnsi="Arial;sans-serif"/>
                <w:color w:val="000000"/>
              </w:rPr>
              <w:fldChar w:fldCharType="separate"/>
            </w:r>
            <w:r>
              <w:rPr>
                <w:rStyle w:val="InternetLink"/>
                <w:rFonts w:ascii="Arial;sans-serif" w:hAnsi="Arial;sans-serif"/>
                <w:b w:val="false"/>
                <w:strike w:val="false"/>
                <w:dstrike w:val="false"/>
                <w:color w:val="000000"/>
                <w:sz w:val="22"/>
                <w:u w:val="none"/>
                <w:effect w:val="none"/>
              </w:rPr>
              <w:t>Margin Trading and Pledging</w:t>
            </w:r>
            <w:r>
              <w:rPr>
                <w:rStyle w:val="InternetLink"/>
                <w:dstrike w:val="false"/>
                <w:strike w:val="false"/>
                <w:sz w:val="22"/>
                <w:u w:val="none"/>
                <w:b w:val="false"/>
                <w:effect w:val="none"/>
                <w:rFonts w:ascii="Arial;sans-serif" w:hAnsi="Arial;sans-serif"/>
                <w:color w:val="000000"/>
              </w:rPr>
              <w:fldChar w:fldCharType="end"/>
            </w:r>
          </w:p>
        </w:tc>
        <w:tc>
          <w:tcPr>
            <w:tcW w:w="1032" w:type="dxa"/>
            <w:gridSpan w:val="9"/>
            <w:tcBorders/>
            <w:tcMar>
              <w:top w:w="0" w:type="dxa"/>
              <w:left w:w="0" w:type="dxa"/>
              <w:bottom w:w="0" w:type="dxa"/>
              <w:right w:w="0" w:type="dxa"/>
            </w:tcMar>
            <w:vAlign w:val="center"/>
          </w:tcPr>
          <w:p>
            <w:pPr>
              <w:pStyle w:val="TableContents"/>
              <w:bidi w:val="0"/>
              <w:spacing w:lineRule="auto" w:line="288" w:before="0" w:after="100"/>
              <w:jc w:val="right"/>
              <w:rPr/>
            </w:pPr>
            <w:r>
              <w:fldChar w:fldCharType="begin"/>
            </w:r>
            <w:r>
              <w:rPr>
                <w:rStyle w:val="InternetLink"/>
                <w:sz w:val="22"/>
                <w:u w:val="single"/>
                <w:b w:val="false"/>
                <w:rFonts w:ascii="Arial;sans-serif" w:hAnsi="Arial;sans-serif"/>
                <w:color w:val="000000"/>
              </w:rPr>
              <w:instrText xml:space="preserve"> HYPERLINK "https://www.sec.gov/Archives/edgar/data/78890/000007889025000059/a202410-kexhibit191.htm" \l "i74ddd3a3957448cc92ec694157dc6ff5"</w:instrText>
            </w:r>
            <w:r>
              <w:rPr>
                <w:rStyle w:val="InternetLink"/>
                <w:sz w:val="22"/>
                <w:u w:val="single"/>
                <w:b w:val="false"/>
                <w:rFonts w:ascii="Arial;sans-serif" w:hAnsi="Arial;sans-serif"/>
                <w:color w:val="000000"/>
              </w:rPr>
              <w:fldChar w:fldCharType="separate"/>
            </w:r>
            <w:r>
              <w:rPr>
                <w:rStyle w:val="InternetLink"/>
                <w:rFonts w:ascii="Arial;sans-serif" w:hAnsi="Arial;sans-serif"/>
                <w:b w:val="false"/>
                <w:color w:val="000000"/>
                <w:sz w:val="22"/>
                <w:u w:val="single"/>
              </w:rPr>
              <w:t>7</w:t>
            </w:r>
            <w:r>
              <w:rPr>
                <w:rStyle w:val="InternetLink"/>
                <w:sz w:val="22"/>
                <w:u w:val="single"/>
                <w:b w:val="false"/>
                <w:rFonts w:ascii="Arial;sans-serif" w:hAnsi="Arial;sans-serif"/>
                <w:color w:val="000000"/>
              </w:rPr>
              <w:fldChar w:fldCharType="end"/>
            </w:r>
          </w:p>
        </w:tc>
      </w:tr>
      <w:tr>
        <w:trPr/>
        <w:tc>
          <w:tcPr>
            <w:tcW w:w="9173" w:type="dxa"/>
            <w:gridSpan w:val="9"/>
            <w:tcBorders/>
            <w:tcMar>
              <w:top w:w="0" w:type="dxa"/>
              <w:left w:w="0" w:type="dxa"/>
              <w:bottom w:w="0" w:type="dxa"/>
              <w:right w:w="0" w:type="dxa"/>
            </w:tcMar>
            <w:vAlign w:val="center"/>
          </w:tcPr>
          <w:p>
            <w:pPr>
              <w:pStyle w:val="TableContents"/>
              <w:bidi w:val="0"/>
              <w:spacing w:lineRule="auto" w:line="288" w:before="0" w:after="100"/>
              <w:ind w:left="0" w:right="0" w:hanging="360"/>
              <w:jc w:val="left"/>
              <w:rPr/>
            </w:pPr>
            <w:r>
              <w:rPr>
                <w:rFonts w:ascii="Arial;sans-serif" w:hAnsi="Arial;sans-serif"/>
                <w:b w:val="false"/>
                <w:color w:val="000000"/>
                <w:sz w:val="22"/>
              </w:rPr>
              <w:t>K.</w:t>
            </w:r>
            <w:r>
              <w:fldChar w:fldCharType="begin"/>
            </w:r>
            <w:r>
              <w:rPr>
                <w:rStyle w:val="InternetLink"/>
                <w:dstrike w:val="false"/>
                <w:strike w:val="false"/>
                <w:sz w:val="22"/>
                <w:u w:val="none"/>
                <w:b w:val="false"/>
                <w:effect w:val="none"/>
                <w:rFonts w:ascii="Arial;sans-serif" w:hAnsi="Arial;sans-serif"/>
                <w:color w:val="000000"/>
              </w:rPr>
              <w:instrText xml:space="preserve"> HYPERLINK "https://www.sec.gov/Archives/edgar/data/78890/000007889025000059/a202410-kexhibit191.htm" \l "i2c07e8e2d9f44548927ef840419a96cf"</w:instrText>
            </w:r>
            <w:r>
              <w:rPr>
                <w:rStyle w:val="InternetLink"/>
                <w:dstrike w:val="false"/>
                <w:strike w:val="false"/>
                <w:sz w:val="22"/>
                <w:u w:val="none"/>
                <w:b w:val="false"/>
                <w:effect w:val="none"/>
                <w:rFonts w:ascii="Arial;sans-serif" w:hAnsi="Arial;sans-serif"/>
                <w:color w:val="000000"/>
              </w:rPr>
              <w:fldChar w:fldCharType="separate"/>
            </w:r>
            <w:r>
              <w:rPr>
                <w:rStyle w:val="InternetLink"/>
                <w:rFonts w:ascii="Arial;sans-serif" w:hAnsi="Arial;sans-serif"/>
                <w:b w:val="false"/>
                <w:strike w:val="false"/>
                <w:dstrike w:val="false"/>
                <w:color w:val="000000"/>
                <w:sz w:val="22"/>
                <w:u w:val="none"/>
                <w:effect w:val="none"/>
              </w:rPr>
              <w:t>Stock Option Transactions</w:t>
            </w:r>
            <w:r>
              <w:rPr>
                <w:rStyle w:val="InternetLink"/>
                <w:dstrike w:val="false"/>
                <w:strike w:val="false"/>
                <w:sz w:val="22"/>
                <w:u w:val="none"/>
                <w:b w:val="false"/>
                <w:effect w:val="none"/>
                <w:rFonts w:ascii="Arial;sans-serif" w:hAnsi="Arial;sans-serif"/>
                <w:color w:val="000000"/>
              </w:rPr>
              <w:fldChar w:fldCharType="end"/>
            </w:r>
          </w:p>
        </w:tc>
        <w:tc>
          <w:tcPr>
            <w:tcW w:w="1032" w:type="dxa"/>
            <w:gridSpan w:val="9"/>
            <w:tcBorders/>
            <w:tcMar>
              <w:top w:w="0" w:type="dxa"/>
              <w:left w:w="0" w:type="dxa"/>
              <w:bottom w:w="0" w:type="dxa"/>
              <w:right w:w="0" w:type="dxa"/>
            </w:tcMar>
            <w:vAlign w:val="center"/>
          </w:tcPr>
          <w:p>
            <w:pPr>
              <w:pStyle w:val="TableContents"/>
              <w:bidi w:val="0"/>
              <w:spacing w:lineRule="auto" w:line="288" w:before="0" w:after="100"/>
              <w:jc w:val="right"/>
              <w:rPr/>
            </w:pPr>
            <w:r>
              <w:fldChar w:fldCharType="begin"/>
            </w:r>
            <w:r>
              <w:rPr>
                <w:rStyle w:val="InternetLink"/>
                <w:sz w:val="22"/>
                <w:u w:val="single"/>
                <w:b w:val="false"/>
                <w:rFonts w:ascii="Arial;sans-serif" w:hAnsi="Arial;sans-serif"/>
                <w:color w:val="000000"/>
              </w:rPr>
              <w:instrText xml:space="preserve"> HYPERLINK "https://www.sec.gov/Archives/edgar/data/78890/000007889025000059/a202410-kexhibit191.htm" \l "i2c07e8e2d9f44548927ef840419a96cf"</w:instrText>
            </w:r>
            <w:r>
              <w:rPr>
                <w:rStyle w:val="InternetLink"/>
                <w:sz w:val="22"/>
                <w:u w:val="single"/>
                <w:b w:val="false"/>
                <w:rFonts w:ascii="Arial;sans-serif" w:hAnsi="Arial;sans-serif"/>
                <w:color w:val="000000"/>
              </w:rPr>
              <w:fldChar w:fldCharType="separate"/>
            </w:r>
            <w:r>
              <w:rPr>
                <w:rStyle w:val="InternetLink"/>
                <w:rFonts w:ascii="Arial;sans-serif" w:hAnsi="Arial;sans-serif"/>
                <w:b w:val="false"/>
                <w:color w:val="000000"/>
                <w:sz w:val="22"/>
                <w:u w:val="single"/>
              </w:rPr>
              <w:t>7</w:t>
            </w:r>
            <w:r>
              <w:rPr>
                <w:rStyle w:val="InternetLink"/>
                <w:sz w:val="22"/>
                <w:u w:val="single"/>
                <w:b w:val="false"/>
                <w:rFonts w:ascii="Arial;sans-serif" w:hAnsi="Arial;sans-serif"/>
                <w:color w:val="000000"/>
              </w:rPr>
              <w:fldChar w:fldCharType="end"/>
            </w:r>
          </w:p>
        </w:tc>
      </w:tr>
      <w:tr>
        <w:trPr/>
        <w:tc>
          <w:tcPr>
            <w:tcW w:w="9173" w:type="dxa"/>
            <w:gridSpan w:val="9"/>
            <w:tcBorders/>
            <w:tcMar>
              <w:top w:w="0" w:type="dxa"/>
              <w:left w:w="0" w:type="dxa"/>
              <w:bottom w:w="0" w:type="dxa"/>
              <w:right w:w="0" w:type="dxa"/>
            </w:tcMar>
            <w:vAlign w:val="center"/>
          </w:tcPr>
          <w:p>
            <w:pPr>
              <w:pStyle w:val="TableContents"/>
              <w:bidi w:val="0"/>
              <w:spacing w:lineRule="auto" w:line="288" w:before="0" w:after="100"/>
              <w:ind w:left="0" w:right="0" w:hanging="360"/>
              <w:jc w:val="left"/>
              <w:rPr/>
            </w:pPr>
            <w:r>
              <w:rPr>
                <w:rFonts w:ascii="Arial;sans-serif" w:hAnsi="Arial;sans-serif"/>
                <w:b w:val="false"/>
                <w:color w:val="000000"/>
                <w:sz w:val="22"/>
              </w:rPr>
              <w:t>L.</w:t>
            </w:r>
            <w:r>
              <w:fldChar w:fldCharType="begin"/>
            </w:r>
            <w:r>
              <w:rPr>
                <w:rStyle w:val="InternetLink"/>
                <w:dstrike w:val="false"/>
                <w:strike w:val="false"/>
                <w:sz w:val="22"/>
                <w:u w:val="none"/>
                <w:b w:val="false"/>
                <w:effect w:val="none"/>
                <w:rFonts w:ascii="Arial;sans-serif" w:hAnsi="Arial;sans-serif"/>
                <w:color w:val="000000"/>
              </w:rPr>
              <w:instrText xml:space="preserve"> HYPERLINK "https://www.sec.gov/Archives/edgar/data/78890/000007889025000059/a202410-kexhibit191.htm" \l "i367e52233c874edeac1fe6f1bcb6962e"</w:instrText>
            </w:r>
            <w:r>
              <w:rPr>
                <w:rStyle w:val="InternetLink"/>
                <w:dstrike w:val="false"/>
                <w:strike w:val="false"/>
                <w:sz w:val="22"/>
                <w:u w:val="none"/>
                <w:b w:val="false"/>
                <w:effect w:val="none"/>
                <w:rFonts w:ascii="Arial;sans-serif" w:hAnsi="Arial;sans-serif"/>
                <w:color w:val="000000"/>
              </w:rPr>
              <w:fldChar w:fldCharType="separate"/>
            </w:r>
            <w:r>
              <w:rPr>
                <w:rStyle w:val="InternetLink"/>
                <w:rFonts w:ascii="Arial;sans-serif" w:hAnsi="Arial;sans-serif"/>
                <w:b w:val="false"/>
                <w:strike w:val="false"/>
                <w:dstrike w:val="false"/>
                <w:color w:val="000000"/>
                <w:sz w:val="22"/>
                <w:u w:val="none"/>
                <w:effect w:val="none"/>
              </w:rPr>
              <w:t>Employee Stock Plan</w:t>
            </w:r>
            <w:r>
              <w:rPr>
                <w:rStyle w:val="InternetLink"/>
                <w:dstrike w:val="false"/>
                <w:strike w:val="false"/>
                <w:sz w:val="22"/>
                <w:u w:val="none"/>
                <w:b w:val="false"/>
                <w:effect w:val="none"/>
                <w:rFonts w:ascii="Arial;sans-serif" w:hAnsi="Arial;sans-serif"/>
                <w:color w:val="000000"/>
              </w:rPr>
              <w:fldChar w:fldCharType="end"/>
            </w:r>
          </w:p>
        </w:tc>
        <w:tc>
          <w:tcPr>
            <w:tcW w:w="1032" w:type="dxa"/>
            <w:gridSpan w:val="9"/>
            <w:tcBorders/>
            <w:tcMar>
              <w:top w:w="0" w:type="dxa"/>
              <w:left w:w="0" w:type="dxa"/>
              <w:bottom w:w="0" w:type="dxa"/>
              <w:right w:w="0" w:type="dxa"/>
            </w:tcMar>
            <w:vAlign w:val="center"/>
          </w:tcPr>
          <w:p>
            <w:pPr>
              <w:pStyle w:val="TableContents"/>
              <w:bidi w:val="0"/>
              <w:spacing w:lineRule="auto" w:line="288" w:before="0" w:after="100"/>
              <w:jc w:val="right"/>
              <w:rPr/>
            </w:pPr>
            <w:r>
              <w:fldChar w:fldCharType="begin"/>
            </w:r>
            <w:r>
              <w:rPr>
                <w:rStyle w:val="InternetLink"/>
                <w:sz w:val="22"/>
                <w:u w:val="single"/>
                <w:b w:val="false"/>
                <w:rFonts w:ascii="Arial;sans-serif" w:hAnsi="Arial;sans-serif"/>
                <w:color w:val="000000"/>
              </w:rPr>
              <w:instrText xml:space="preserve"> HYPERLINK "https://www.sec.gov/Archives/edgar/data/78890/000007889025000059/a202410-kexhibit191.htm" \l "i367e52233c874edeac1fe6f1bcb6962e"</w:instrText>
            </w:r>
            <w:r>
              <w:rPr>
                <w:rStyle w:val="InternetLink"/>
                <w:sz w:val="22"/>
                <w:u w:val="single"/>
                <w:b w:val="false"/>
                <w:rFonts w:ascii="Arial;sans-serif" w:hAnsi="Arial;sans-serif"/>
                <w:color w:val="000000"/>
              </w:rPr>
              <w:fldChar w:fldCharType="separate"/>
            </w:r>
            <w:r>
              <w:rPr>
                <w:rStyle w:val="InternetLink"/>
                <w:rFonts w:ascii="Arial;sans-serif" w:hAnsi="Arial;sans-serif"/>
                <w:b w:val="false"/>
                <w:color w:val="000000"/>
                <w:sz w:val="22"/>
                <w:u w:val="single"/>
              </w:rPr>
              <w:t>7</w:t>
            </w:r>
            <w:r>
              <w:rPr>
                <w:rStyle w:val="InternetLink"/>
                <w:sz w:val="22"/>
                <w:u w:val="single"/>
                <w:b w:val="false"/>
                <w:rFonts w:ascii="Arial;sans-serif" w:hAnsi="Arial;sans-serif"/>
                <w:color w:val="000000"/>
              </w:rPr>
              <w:fldChar w:fldCharType="end"/>
            </w:r>
          </w:p>
        </w:tc>
      </w:tr>
      <w:tr>
        <w:trPr/>
        <w:tc>
          <w:tcPr>
            <w:tcW w:w="9173" w:type="dxa"/>
            <w:gridSpan w:val="9"/>
            <w:tcBorders/>
            <w:tcMar>
              <w:top w:w="0" w:type="dxa"/>
              <w:left w:w="0" w:type="dxa"/>
              <w:bottom w:w="0" w:type="dxa"/>
              <w:right w:w="0" w:type="dxa"/>
            </w:tcMar>
            <w:vAlign w:val="center"/>
          </w:tcPr>
          <w:p>
            <w:pPr>
              <w:pStyle w:val="TableContents"/>
              <w:bidi w:val="0"/>
              <w:spacing w:lineRule="auto" w:line="288" w:before="0" w:after="100"/>
              <w:ind w:left="0" w:right="0" w:hanging="360"/>
              <w:jc w:val="left"/>
              <w:rPr/>
            </w:pPr>
            <w:r>
              <w:rPr>
                <w:rFonts w:ascii="Arial;sans-serif" w:hAnsi="Arial;sans-serif"/>
                <w:b w:val="false"/>
                <w:color w:val="000000"/>
                <w:sz w:val="22"/>
              </w:rPr>
              <w:t>M.</w:t>
            </w:r>
            <w:r>
              <w:fldChar w:fldCharType="begin"/>
            </w:r>
            <w:r>
              <w:rPr>
                <w:rStyle w:val="InternetLink"/>
                <w:dstrike w:val="false"/>
                <w:strike w:val="false"/>
                <w:sz w:val="22"/>
                <w:u w:val="none"/>
                <w:b w:val="false"/>
                <w:effect w:val="none"/>
                <w:rFonts w:ascii="Arial;sans-serif" w:hAnsi="Arial;sans-serif"/>
                <w:color w:val="000000"/>
              </w:rPr>
              <w:instrText xml:space="preserve"> HYPERLINK "https://www.sec.gov/Archives/edgar/data/78890/000007889025000059/a202410-kexhibit191.htm" \l "ieaecd0b01e9c4ed7b8e72148d0df9fc2"</w:instrText>
            </w:r>
            <w:r>
              <w:rPr>
                <w:rStyle w:val="InternetLink"/>
                <w:dstrike w:val="false"/>
                <w:strike w:val="false"/>
                <w:sz w:val="22"/>
                <w:u w:val="none"/>
                <w:b w:val="false"/>
                <w:effect w:val="none"/>
                <w:rFonts w:ascii="Arial;sans-serif" w:hAnsi="Arial;sans-serif"/>
                <w:color w:val="000000"/>
              </w:rPr>
              <w:fldChar w:fldCharType="separate"/>
            </w:r>
            <w:r>
              <w:rPr>
                <w:rStyle w:val="InternetLink"/>
                <w:rFonts w:ascii="Arial;sans-serif" w:hAnsi="Arial;sans-serif"/>
                <w:b w:val="false"/>
                <w:strike w:val="false"/>
                <w:dstrike w:val="false"/>
                <w:color w:val="000000"/>
                <w:sz w:val="22"/>
                <w:u w:val="none"/>
                <w:effect w:val="none"/>
              </w:rPr>
              <w:t>Bona Fide Gifts</w:t>
            </w:r>
            <w:r>
              <w:rPr>
                <w:rStyle w:val="InternetLink"/>
                <w:dstrike w:val="false"/>
                <w:strike w:val="false"/>
                <w:sz w:val="22"/>
                <w:u w:val="none"/>
                <w:b w:val="false"/>
                <w:effect w:val="none"/>
                <w:rFonts w:ascii="Arial;sans-serif" w:hAnsi="Arial;sans-serif"/>
                <w:color w:val="000000"/>
              </w:rPr>
              <w:fldChar w:fldCharType="end"/>
            </w:r>
          </w:p>
        </w:tc>
        <w:tc>
          <w:tcPr>
            <w:tcW w:w="1032" w:type="dxa"/>
            <w:gridSpan w:val="9"/>
            <w:tcBorders/>
            <w:tcMar>
              <w:top w:w="0" w:type="dxa"/>
              <w:left w:w="0" w:type="dxa"/>
              <w:bottom w:w="0" w:type="dxa"/>
              <w:right w:w="0" w:type="dxa"/>
            </w:tcMar>
            <w:vAlign w:val="center"/>
          </w:tcPr>
          <w:p>
            <w:pPr>
              <w:pStyle w:val="TableContents"/>
              <w:bidi w:val="0"/>
              <w:spacing w:lineRule="auto" w:line="288" w:before="0" w:after="100"/>
              <w:jc w:val="right"/>
              <w:rPr/>
            </w:pPr>
            <w:r>
              <w:fldChar w:fldCharType="begin"/>
            </w:r>
            <w:r>
              <w:rPr>
                <w:rStyle w:val="InternetLink"/>
                <w:sz w:val="22"/>
                <w:u w:val="single"/>
                <w:b w:val="false"/>
                <w:rFonts w:ascii="Arial;sans-serif" w:hAnsi="Arial;sans-serif"/>
                <w:color w:val="000000"/>
              </w:rPr>
              <w:instrText xml:space="preserve"> HYPERLINK "https://www.sec.gov/Archives/edgar/data/78890/000007889025000059/a202410-kexhibit191.htm" \l "ieaecd0b01e9c4ed7b8e72148d0df9fc2"</w:instrText>
            </w:r>
            <w:r>
              <w:rPr>
                <w:rStyle w:val="InternetLink"/>
                <w:sz w:val="22"/>
                <w:u w:val="single"/>
                <w:b w:val="false"/>
                <w:rFonts w:ascii="Arial;sans-serif" w:hAnsi="Arial;sans-serif"/>
                <w:color w:val="000000"/>
              </w:rPr>
              <w:fldChar w:fldCharType="separate"/>
            </w:r>
            <w:r>
              <w:rPr>
                <w:rStyle w:val="InternetLink"/>
                <w:rFonts w:ascii="Arial;sans-serif" w:hAnsi="Arial;sans-serif"/>
                <w:b w:val="false"/>
                <w:color w:val="000000"/>
                <w:sz w:val="22"/>
                <w:u w:val="single"/>
              </w:rPr>
              <w:t>8</w:t>
            </w:r>
            <w:r>
              <w:rPr>
                <w:rStyle w:val="InternetLink"/>
                <w:sz w:val="22"/>
                <w:u w:val="single"/>
                <w:b w:val="false"/>
                <w:rFonts w:ascii="Arial;sans-serif" w:hAnsi="Arial;sans-serif"/>
                <w:color w:val="000000"/>
              </w:rPr>
              <w:fldChar w:fldCharType="end"/>
            </w:r>
          </w:p>
        </w:tc>
      </w:tr>
      <w:tr>
        <w:trPr/>
        <w:tc>
          <w:tcPr>
            <w:tcW w:w="9173" w:type="dxa"/>
            <w:gridSpan w:val="9"/>
            <w:tcBorders/>
            <w:tcMar>
              <w:top w:w="0" w:type="dxa"/>
              <w:left w:w="0" w:type="dxa"/>
              <w:bottom w:w="0" w:type="dxa"/>
              <w:right w:w="0" w:type="dxa"/>
            </w:tcMar>
            <w:vAlign w:val="center"/>
          </w:tcPr>
          <w:p>
            <w:pPr>
              <w:pStyle w:val="TableContents"/>
              <w:bidi w:val="0"/>
              <w:spacing w:lineRule="auto" w:line="288" w:before="0" w:after="100"/>
              <w:jc w:val="left"/>
              <w:rPr/>
            </w:pPr>
            <w:r>
              <w:fldChar w:fldCharType="begin"/>
            </w:r>
            <w:r>
              <w:rPr>
                <w:rStyle w:val="InternetLink"/>
                <w:dstrike w:val="false"/>
                <w:strike w:val="false"/>
                <w:sz w:val="22"/>
                <w:u w:val="none"/>
                <w:b w:val="false"/>
                <w:effect w:val="none"/>
                <w:rFonts w:ascii="Arial;sans-serif" w:hAnsi="Arial;sans-serif"/>
                <w:color w:val="000000"/>
              </w:rPr>
              <w:instrText xml:space="preserve"> HYPERLINK "https://www.sec.gov/Archives/edgar/data/78890/000007889025000059/a202410-kexhibit191.htm" \l "i182ce40e0ebd40baaeb4105c7959ab66"</w:instrText>
            </w:r>
            <w:r>
              <w:rPr>
                <w:rStyle w:val="InternetLink"/>
                <w:dstrike w:val="false"/>
                <w:strike w:val="false"/>
                <w:sz w:val="22"/>
                <w:u w:val="none"/>
                <w:b w:val="false"/>
                <w:effect w:val="none"/>
                <w:rFonts w:ascii="Arial;sans-serif" w:hAnsi="Arial;sans-serif"/>
                <w:color w:val="000000"/>
              </w:rPr>
              <w:fldChar w:fldCharType="separate"/>
            </w:r>
            <w:r>
              <w:rPr>
                <w:rStyle w:val="InternetLink"/>
                <w:rFonts w:ascii="Arial;sans-serif" w:hAnsi="Arial;sans-serif"/>
                <w:b w:val="false"/>
                <w:strike w:val="false"/>
                <w:dstrike w:val="false"/>
                <w:color w:val="000000"/>
                <w:sz w:val="22"/>
                <w:u w:val="none"/>
                <w:effect w:val="none"/>
              </w:rPr>
              <w:t>IV:    Key Contacts</w:t>
            </w:r>
            <w:r>
              <w:rPr>
                <w:rStyle w:val="InternetLink"/>
                <w:dstrike w:val="false"/>
                <w:strike w:val="false"/>
                <w:sz w:val="22"/>
                <w:u w:val="none"/>
                <w:b w:val="false"/>
                <w:effect w:val="none"/>
                <w:rFonts w:ascii="Arial;sans-serif" w:hAnsi="Arial;sans-serif"/>
                <w:color w:val="000000"/>
              </w:rPr>
              <w:fldChar w:fldCharType="end"/>
            </w:r>
          </w:p>
        </w:tc>
        <w:tc>
          <w:tcPr>
            <w:tcW w:w="1032" w:type="dxa"/>
            <w:gridSpan w:val="9"/>
            <w:tcBorders/>
            <w:tcMar>
              <w:top w:w="0" w:type="dxa"/>
              <w:left w:w="0" w:type="dxa"/>
              <w:bottom w:w="0" w:type="dxa"/>
              <w:right w:w="0" w:type="dxa"/>
            </w:tcMar>
            <w:vAlign w:val="center"/>
          </w:tcPr>
          <w:p>
            <w:pPr>
              <w:pStyle w:val="TableContents"/>
              <w:bidi w:val="0"/>
              <w:spacing w:lineRule="auto" w:line="288" w:before="0" w:after="100"/>
              <w:jc w:val="right"/>
              <w:rPr/>
            </w:pPr>
            <w:r>
              <w:fldChar w:fldCharType="begin"/>
            </w:r>
            <w:r>
              <w:rPr>
                <w:rStyle w:val="InternetLink"/>
                <w:sz w:val="22"/>
                <w:u w:val="single"/>
                <w:b w:val="false"/>
                <w:rFonts w:ascii="Arial;sans-serif" w:hAnsi="Arial;sans-serif"/>
                <w:color w:val="000000"/>
              </w:rPr>
              <w:instrText xml:space="preserve"> HYPERLINK "https://www.sec.gov/Archives/edgar/data/78890/000007889025000059/a202410-kexhibit191.htm" \l "i182ce40e0ebd40baaeb4105c7959ab66"</w:instrText>
            </w:r>
            <w:r>
              <w:rPr>
                <w:rStyle w:val="InternetLink"/>
                <w:sz w:val="22"/>
                <w:u w:val="single"/>
                <w:b w:val="false"/>
                <w:rFonts w:ascii="Arial;sans-serif" w:hAnsi="Arial;sans-serif"/>
                <w:color w:val="000000"/>
              </w:rPr>
              <w:fldChar w:fldCharType="separate"/>
            </w:r>
            <w:r>
              <w:rPr>
                <w:rStyle w:val="InternetLink"/>
                <w:rFonts w:ascii="Arial;sans-serif" w:hAnsi="Arial;sans-serif"/>
                <w:b w:val="false"/>
                <w:color w:val="000000"/>
                <w:sz w:val="22"/>
                <w:u w:val="single"/>
              </w:rPr>
              <w:t>8</w:t>
            </w:r>
            <w:r>
              <w:rPr>
                <w:rStyle w:val="InternetLink"/>
                <w:sz w:val="22"/>
                <w:u w:val="single"/>
                <w:b w:val="false"/>
                <w:rFonts w:ascii="Arial;sans-serif" w:hAnsi="Arial;sans-serif"/>
                <w:color w:val="000000"/>
              </w:rPr>
              <w:fldChar w:fldCharType="end"/>
            </w:r>
          </w:p>
        </w:tc>
      </w:tr>
    </w:tbl>
    <w:p>
      <w:pPr>
        <w:pStyle w:val="TextBody"/>
        <w:bidi w:val="0"/>
        <w:spacing w:before="0" w:after="16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388620"/>
                <wp:effectExtent l="0" t="0" r="0" b="0"/>
                <wp:wrapNone/>
                <wp:docPr id="160" name="Frame158"/>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lineRule="auto" w:line="288" w:before="0" w:after="0"/>
                              <w:jc w:val="center"/>
                              <w:rPr>
                                <w:rFonts w:ascii="Aptos;sans-serif" w:hAnsi="Aptos;sans-serif"/>
                                <w:b w:val="false"/>
                                <w:color w:val="000000"/>
                                <w:sz w:val="24"/>
                              </w:rPr>
                            </w:pPr>
                            <w:r>
                              <w:rPr>
                                <w:rFonts w:ascii="Aptos;sans-serif" w:hAnsi="Aptos;sans-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ptos;sans-serif" w:hAnsi="Aptos;sans-serif"/>
                          <w:b w:val="false"/>
                          <w:color w:val="000000"/>
                          <w:sz w:val="24"/>
                        </w:rPr>
                      </w:pPr>
                      <w:r>
                        <w:rPr>
                          <w:rFonts w:ascii="Aptos;sans-serif" w:hAnsi="Aptos;sans-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540"/>
        <w:jc w:val="both"/>
        <w:rPr>
          <w:rFonts w:ascii="Arial;sans-serif" w:hAnsi="Arial;sans-serif"/>
          <w:b/>
          <w:color w:val="2E74B5"/>
          <w:sz w:val="32"/>
        </w:rPr>
      </w:pPr>
      <w:r>
        <w:rPr>
          <w:rFonts w:ascii="Arial;sans-serif" w:hAnsi="Arial;sans-serif"/>
          <w:b/>
          <w:color w:val="2E74B5"/>
          <w:sz w:val="32"/>
        </w:rPr>
        <w:t>I:    Purpose</w:t>
      </w:r>
    </w:p>
    <w:p>
      <w:pPr>
        <w:pStyle w:val="TextBody"/>
        <w:bidi w:val="0"/>
        <w:spacing w:before="0" w:after="0"/>
        <w:jc w:val="both"/>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The Brink’s Company and its subsidiaries (the “Company”) maintain this Insider Trading Policy (this “Policy”) to: (1) promote compliance with applicable U.S. securities laws that prohibit trading based on material non-public information and (2) avoid the appearance of impropriety in connection with trading in the Company’s securities and in the securities of entities with which the Company does business or competes.</w:t>
      </w:r>
    </w:p>
    <w:p>
      <w:pPr>
        <w:pStyle w:val="TextBody"/>
        <w:bidi w:val="0"/>
        <w:spacing w:before="0" w:after="0"/>
        <w:jc w:val="both"/>
        <w:rPr/>
      </w:pPr>
      <w:r>
        <w:rPr/>
      </w:r>
    </w:p>
    <w:p>
      <w:pPr>
        <w:pStyle w:val="TextBody"/>
        <w:bidi w:val="0"/>
        <w:spacing w:lineRule="auto" w:line="288" w:before="0" w:after="0"/>
        <w:ind w:left="0" w:right="0" w:hanging="540"/>
        <w:jc w:val="both"/>
        <w:rPr>
          <w:rFonts w:ascii="Arial;sans-serif" w:hAnsi="Arial;sans-serif"/>
          <w:b/>
          <w:color w:val="2E74B5"/>
          <w:sz w:val="32"/>
        </w:rPr>
      </w:pPr>
      <w:r>
        <w:rPr>
          <w:rFonts w:ascii="Arial;sans-serif" w:hAnsi="Arial;sans-serif"/>
          <w:b/>
          <w:color w:val="2E74B5"/>
          <w:sz w:val="32"/>
        </w:rPr>
        <w:t>II:    Scope</w:t>
      </w:r>
    </w:p>
    <w:p>
      <w:pPr>
        <w:pStyle w:val="TextBody"/>
        <w:bidi w:val="0"/>
        <w:spacing w:before="0" w:after="0"/>
        <w:jc w:val="both"/>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This Policy applies to:</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all employees, officers and directors of the Company worldwide, as well as to family members and other members of a person’s household and entities controlled by a person covered by this Policy. The Company may also determine that other persons should be subject to this Policy, such as contractors or consultants who have access to material non-public information.</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transactions in the Company’s securities including common stock, preferred stock, options to purchase common stock, or any other securities that the Company may issue as well as derivative securities, whether or not issued by the Company, such as publicly traded options (collectively referred to in this Policy as “Securities”).</w:t>
      </w:r>
    </w:p>
    <w:p>
      <w:pPr>
        <w:pStyle w:val="TextBody"/>
        <w:bidi w:val="0"/>
        <w:spacing w:before="0" w:after="0"/>
        <w:jc w:val="both"/>
        <w:rPr/>
      </w:pPr>
      <w:r>
        <w:rPr/>
      </w:r>
    </w:p>
    <w:p>
      <w:pPr>
        <w:pStyle w:val="TextBody"/>
        <w:bidi w:val="0"/>
        <w:spacing w:lineRule="auto" w:line="288" w:before="0" w:after="0"/>
        <w:ind w:left="0" w:right="0" w:hanging="540"/>
        <w:jc w:val="both"/>
        <w:rPr>
          <w:rFonts w:ascii="Arial;sans-serif" w:hAnsi="Arial;sans-serif"/>
          <w:b/>
          <w:color w:val="2E74B5"/>
          <w:sz w:val="32"/>
        </w:rPr>
      </w:pPr>
      <w:r>
        <w:rPr>
          <w:rFonts w:ascii="Arial;sans-serif" w:hAnsi="Arial;sans-serif"/>
          <w:b/>
          <w:color w:val="2E74B5"/>
          <w:sz w:val="32"/>
        </w:rPr>
        <w:t>III:    Policy</w:t>
      </w:r>
    </w:p>
    <w:p>
      <w:pPr>
        <w:pStyle w:val="TextBody"/>
        <w:bidi w:val="0"/>
        <w:spacing w:before="0" w:after="0"/>
        <w:ind w:left="0" w:right="0" w:hanging="540"/>
        <w:jc w:val="both"/>
        <w:rPr/>
      </w:pPr>
      <w:r>
        <w:rPr/>
      </w:r>
    </w:p>
    <w:p>
      <w:pPr>
        <w:pStyle w:val="TextBody"/>
        <w:bidi w:val="0"/>
        <w:spacing w:lineRule="auto" w:line="288" w:before="0" w:after="0"/>
        <w:ind w:left="0" w:right="0" w:hanging="360"/>
        <w:jc w:val="left"/>
        <w:rPr>
          <w:rFonts w:ascii="Arial;sans-serif" w:hAnsi="Arial;sans-serif"/>
          <w:b w:val="false"/>
          <w:color w:val="2E74B5"/>
          <w:sz w:val="28"/>
        </w:rPr>
      </w:pPr>
      <w:r>
        <w:rPr>
          <w:rFonts w:ascii="Arial;sans-serif" w:hAnsi="Arial;sans-serif"/>
          <w:b w:val="false"/>
          <w:color w:val="2E74B5"/>
          <w:sz w:val="28"/>
        </w:rPr>
        <w:t>A.    Restrictions on Trading in Company Securities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Any employee, officer or director of the Company who is in possession of material non-public (or “inside”) information may not:</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trade in the Company’s Securities; or</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recommend the purchase or sale of any Company Securities.</w:t>
      </w:r>
    </w:p>
    <w:p>
      <w:pPr>
        <w:pStyle w:val="TextBody"/>
        <w:bidi w:val="0"/>
        <w:spacing w:before="0" w:after="0"/>
        <w:jc w:val="both"/>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This Policy continues to apply to transactions in Company Securities even after termination of service to the Company. If an individual is in possession of material non-public information at the time his or her service terminates, that individual may not trade in Company Securities until that information has become public or is no longer material.</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Arial;sans-serif" w:hAnsi="Arial;sans-serif"/>
          <w:b w:val="false"/>
          <w:color w:val="000000"/>
          <w:sz w:val="20"/>
        </w:rPr>
        <w:t>Generally, information is considered “</w:t>
      </w:r>
      <w:r>
        <w:rPr>
          <w:rFonts w:ascii="Arial;sans-serif" w:hAnsi="Arial;sans-serif"/>
          <w:b/>
          <w:color w:val="000000"/>
          <w:sz w:val="20"/>
        </w:rPr>
        <w:t>non-public</w:t>
      </w:r>
      <w:r>
        <w:rPr>
          <w:color w:val="000000"/>
        </w:rPr>
        <w:t xml:space="preserve">” </w:t>
      </w:r>
      <w:r>
        <w:rPr>
          <w:rFonts w:ascii="Arial;sans-serif" w:hAnsi="Arial;sans-serif"/>
          <w:b w:val="false"/>
          <w:color w:val="000000"/>
          <w:sz w:val="20"/>
        </w:rPr>
        <w:t>if it has not yet been widely disseminated to the public. In order for information to be considered public, it must be widely disseminated in a way that makes the information generally available to investors. In addition, a reasonable period (generally at least one full business day) must elapse to allow the market to react to the information.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Arial;sans-serif" w:hAnsi="Arial;sans-serif"/>
          <w:b w:val="false"/>
          <w:color w:val="000000"/>
          <w:sz w:val="20"/>
        </w:rPr>
        <w:t>Information is considered “</w:t>
      </w:r>
      <w:r>
        <w:rPr>
          <w:rFonts w:ascii="Arial;sans-serif" w:hAnsi="Arial;sans-serif"/>
          <w:b/>
          <w:color w:val="000000"/>
          <w:sz w:val="20"/>
        </w:rPr>
        <w:t>material</w:t>
      </w:r>
      <w:r>
        <w:rPr>
          <w:color w:val="000000"/>
        </w:rPr>
        <w:t xml:space="preserve">” </w:t>
      </w:r>
      <w:r>
        <w:rPr>
          <w:rFonts w:ascii="Arial;sans-serif" w:hAnsi="Arial;sans-serif"/>
          <w:b w:val="false"/>
          <w:color w:val="000000"/>
          <w:sz w:val="20"/>
        </w:rPr>
        <w:t>if a reasonable investor would consider that information important in making a decision to buy, sell or hold securities. Any information that could be expected to affect the Company’s stock price, whether positive or negative, should be considered material. Examples of information that likely would be considered material include, but are not limited to, information about:</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projections of future earnings or losses, or other earnings guidance;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changes to previously announced earnings guidance, or the decision to suspend earnings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guidance;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 pending or proposed merger or acquisition;</w:t>
      </w:r>
    </w:p>
    <w:p>
      <w:pPr>
        <w:pStyle w:val="TextBody"/>
        <w:bidi w:val="0"/>
        <w:spacing w:lineRule="auto" w:line="288"/>
        <w:ind w:left="0" w:right="0" w:hanging="360"/>
        <w:jc w:val="both"/>
        <w:rPr/>
      </w:pPr>
      <w:r>
        <w:rPr>
          <w:color w:val="000000"/>
        </w:rPr>
        <w:t>•</w:t>
      </w:r>
      <w:r>
        <w:rPr>
          <w:rFonts w:ascii="Arial;sans-serif" w:hAnsi="Arial;sans-serif"/>
          <w:b w:val="false"/>
          <w:color w:val="000000"/>
          <w:sz w:val="20"/>
        </w:rPr>
        <w:t>a pending or proposed acquisition or divestiture of a significant business or asset;</w:t>
      </w:r>
    </w:p>
    <w:p>
      <w:pPr>
        <w:pStyle w:val="TextBody"/>
        <w:bidi w:val="0"/>
        <w:spacing w:before="0" w:after="16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388620"/>
                <wp:effectExtent l="0" t="0" r="0" b="0"/>
                <wp:wrapNone/>
                <wp:docPr id="161" name="Frame159"/>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lineRule="auto" w:line="288" w:before="0" w:after="0"/>
                              <w:jc w:val="center"/>
                              <w:rPr>
                                <w:rFonts w:ascii="Aptos;sans-serif" w:hAnsi="Aptos;sans-serif"/>
                                <w:b w:val="false"/>
                                <w:color w:val="000000"/>
                                <w:sz w:val="24"/>
                              </w:rPr>
                            </w:pPr>
                            <w:r>
                              <w:rPr>
                                <w:rFonts w:ascii="Aptos;sans-serif" w:hAnsi="Aptos;sans-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ptos;sans-serif" w:hAnsi="Aptos;sans-serif"/>
                          <w:b w:val="false"/>
                          <w:color w:val="000000"/>
                          <w:sz w:val="24"/>
                        </w:rPr>
                      </w:pPr>
                      <w:r>
                        <w:rPr>
                          <w:rFonts w:ascii="Aptos;sans-serif" w:hAnsi="Aptos;sans-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 change in dividend policy, the declaration of a stock split, or an offering of additional Company</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Securities;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changes in the Company’s strategy;</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bank borrowings or other financing transactions out of the ordinary course;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establishment of a repurchase program for Company securities;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significant customer or supplier wins or losses;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management changes involving The Brink’s Company’s executive officers;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 change in auditors or notification that the auditor’s reports may no longer be relied upon;</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 significant cybersecurity incident;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actual, pending or threatened significant litigation or investigation developments.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There are no exceptions to the laws that prohibit trading while in possession of material non-public information and securities transactions are likely to be viewed after the fact, regardless of whether your trading resulted in a gain or a loss. You should carefully consider how a transaction in Company Securities may be construed with the benefit of hindsight.</w:t>
      </w:r>
    </w:p>
    <w:p>
      <w:pPr>
        <w:pStyle w:val="TextBody"/>
        <w:bidi w:val="0"/>
        <w:spacing w:before="0" w:after="0"/>
        <w:ind w:left="0" w:right="0" w:firstLine="360"/>
        <w:jc w:val="both"/>
        <w:rPr/>
      </w:pPr>
      <w:r>
        <w:rPr/>
      </w:r>
    </w:p>
    <w:p>
      <w:pPr>
        <w:pStyle w:val="TextBody"/>
        <w:bidi w:val="0"/>
        <w:spacing w:lineRule="auto" w:line="288" w:before="0" w:after="0"/>
        <w:ind w:left="0" w:right="0" w:hanging="360"/>
        <w:jc w:val="left"/>
        <w:rPr>
          <w:rFonts w:ascii="Arial;sans-serif" w:hAnsi="Arial;sans-serif"/>
          <w:b w:val="false"/>
          <w:color w:val="2E74B5"/>
          <w:sz w:val="28"/>
        </w:rPr>
      </w:pPr>
      <w:r>
        <w:rPr>
          <w:rFonts w:ascii="Arial;sans-serif" w:hAnsi="Arial;sans-serif"/>
          <w:b w:val="false"/>
          <w:color w:val="2E74B5"/>
          <w:sz w:val="28"/>
        </w:rPr>
        <w:t>B.    Prohibition on “Tipping”</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You may not share material non-public information with others, and you could be liable under the federal securities laws (and in violation of this Policy) if you provide (or “tip”) material information to others who trade in the Company’s Securities while in possession of that information.</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Similarly, you may not make recommendations or express opinions to others on the basis of material non-public information as to trading in Company Securities.</w:t>
      </w:r>
    </w:p>
    <w:p>
      <w:pPr>
        <w:pStyle w:val="TextBody"/>
        <w:bidi w:val="0"/>
        <w:spacing w:before="0" w:after="0"/>
        <w:ind w:left="0" w:right="0" w:firstLine="360"/>
        <w:jc w:val="left"/>
        <w:rPr/>
      </w:pPr>
      <w:r>
        <w:rPr/>
      </w:r>
    </w:p>
    <w:p>
      <w:pPr>
        <w:pStyle w:val="TextBody"/>
        <w:bidi w:val="0"/>
        <w:spacing w:lineRule="auto" w:line="288" w:before="0" w:after="0"/>
        <w:ind w:left="0" w:right="0" w:hanging="360"/>
        <w:jc w:val="left"/>
        <w:rPr>
          <w:rFonts w:ascii="Arial;sans-serif" w:hAnsi="Arial;sans-serif"/>
          <w:b w:val="false"/>
          <w:color w:val="2E74B5"/>
          <w:sz w:val="28"/>
        </w:rPr>
      </w:pPr>
      <w:r>
        <w:rPr>
          <w:rFonts w:ascii="Arial;sans-serif" w:hAnsi="Arial;sans-serif"/>
          <w:b w:val="false"/>
          <w:color w:val="2E74B5"/>
          <w:sz w:val="28"/>
        </w:rPr>
        <w:t>C.    Family Members and Entities You Influence or Control</w:t>
      </w:r>
    </w:p>
    <w:p>
      <w:pPr>
        <w:pStyle w:val="TextBody"/>
        <w:bidi w:val="0"/>
        <w:spacing w:before="0" w:after="0"/>
        <w:ind w:left="0" w:right="0" w:firstLine="7"/>
        <w:jc w:val="both"/>
        <w:rPr/>
      </w:pPr>
      <w:r>
        <w:rPr/>
      </w:r>
    </w:p>
    <w:p>
      <w:pPr>
        <w:pStyle w:val="TextBody"/>
        <w:bidi w:val="0"/>
        <w:spacing w:lineRule="auto" w:line="288" w:before="0" w:after="0"/>
        <w:ind w:left="0" w:right="0" w:firstLine="360"/>
        <w:jc w:val="both"/>
        <w:rPr/>
      </w:pPr>
      <w:r>
        <w:rPr>
          <w:rFonts w:ascii="Arial;sans-serif" w:hAnsi="Arial;sans-serif"/>
          <w:b w:val="false"/>
          <w:color w:val="000000"/>
          <w:sz w:val="20"/>
        </w:rPr>
        <w:t>This Policy applies to your family members who reside with you (including a spouse, a child, a child away at college, stepchildren, grandchildren, parents, stepparents, grandparents, siblings and in-laws), anyone else who lives in your household, and any family members who do not live in your household but whose transactions in Company Securities are directed by you or are subject to your influence or control, such as parents or children who consult with you before they trade in Company Securities (collectively referred to as “Family Members”). You are responsible for the transactions of these other persons and therefore should make them aware of the need to confer with you before they trade in Company Securities, and you should treat all such transactions for the purposes of this Policy and applicable securities laws as if the transactions were for your own account. </w:t>
      </w:r>
      <w:r>
        <w:rPr>
          <w:rFonts w:ascii="Arial;sans-serif" w:hAnsi="Arial;sans-serif"/>
          <w:b/>
          <w:color w:val="000000"/>
          <w:sz w:val="20"/>
        </w:rPr>
        <w:t>This means that if you are restricted to trading in an Open Period or are required to pre-clear your transactions, your Family Members are similarly restricted.</w:t>
      </w:r>
      <w:r>
        <w:rPr>
          <w:color w:val="000000"/>
        </w:rPr>
        <w:t> </w:t>
      </w:r>
      <w:r>
        <w:rPr>
          <w:rFonts w:ascii="Arial;sans-serif" w:hAnsi="Arial;sans-serif"/>
          <w:b w:val="false"/>
          <w:color w:val="000000"/>
          <w:sz w:val="20"/>
        </w:rPr>
        <w:t>This Policy does not, however, apply to personal securities transactions of Family Members where the purchase or sale decision is made by a third party not controlled by, influenced by or related to you or your Family Members.</w:t>
      </w:r>
    </w:p>
    <w:p>
      <w:pPr>
        <w:pStyle w:val="TextBody"/>
        <w:bidi w:val="0"/>
        <w:spacing w:before="0" w:after="0"/>
        <w:ind w:left="0" w:right="0" w:firstLine="7"/>
        <w:jc w:val="both"/>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This Policy also applies to any entities that you influence or control, including any corporations, partnerships or trusts (collectively referred to as “Controlled Entities”), and transactions by these Controlled Entities should be treated for the purposes of this Policy and applicable securities laws as if they were for your own account. This means that if you are restricted to trading in an Open Period or are required to pre-clear your transactions, your Controlled Entities are similarly restricted.</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ind w:left="0" w:right="0" w:firstLine="720"/>
        <w:jc w:val="both"/>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388620"/>
                <wp:effectExtent l="0" t="0" r="0" b="0"/>
                <wp:wrapNone/>
                <wp:docPr id="162" name="Frame160"/>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lineRule="auto" w:line="288" w:before="0" w:after="0"/>
                              <w:jc w:val="center"/>
                              <w:rPr>
                                <w:rFonts w:ascii="Aptos;sans-serif" w:hAnsi="Aptos;sans-serif"/>
                                <w:b w:val="false"/>
                                <w:color w:val="000000"/>
                                <w:sz w:val="24"/>
                              </w:rPr>
                            </w:pPr>
                            <w:r>
                              <w:rPr>
                                <w:rFonts w:ascii="Aptos;sans-serif" w:hAnsi="Aptos;sans-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ptos;sans-serif" w:hAnsi="Aptos;sans-serif"/>
                          <w:b w:val="false"/>
                          <w:color w:val="000000"/>
                          <w:sz w:val="24"/>
                        </w:rPr>
                      </w:pPr>
                      <w:r>
                        <w:rPr>
                          <w:rFonts w:ascii="Aptos;sans-serif" w:hAnsi="Aptos;sans-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left"/>
        <w:rPr>
          <w:rFonts w:ascii="Arial;sans-serif" w:hAnsi="Arial;sans-serif"/>
          <w:b w:val="false"/>
          <w:color w:val="2E74B5"/>
          <w:sz w:val="28"/>
        </w:rPr>
      </w:pPr>
      <w:r>
        <w:rPr>
          <w:rFonts w:ascii="Arial;sans-serif" w:hAnsi="Arial;sans-serif"/>
          <w:b w:val="false"/>
          <w:color w:val="2E74B5"/>
          <w:sz w:val="28"/>
        </w:rPr>
        <w:t>D.    Enforcement and Penalties for Violations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Violations of insider trading laws can have significant consequences for individuals as well as the Company, including:</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civil penalties;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criminal fines;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imprisonment.</w:t>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Please note that many countries other than the U.S. have laws regarding insider trading. Even if the activities in this Policy are not prohibited in the country where you are located, the Policy applies to all employees, officers and directors regardless of location.</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In addition, failure to comply with this Policy may subject you to disciplinary action by the Company up to and including termination of employment, whether or not your failure to comply results in a violation of law.</w:t>
      </w:r>
    </w:p>
    <w:p>
      <w:pPr>
        <w:pStyle w:val="TextBody"/>
        <w:bidi w:val="0"/>
        <w:spacing w:before="0" w:after="0"/>
        <w:ind w:left="0" w:right="0" w:firstLine="360"/>
        <w:jc w:val="both"/>
        <w:rPr/>
      </w:pPr>
      <w:r>
        <w:rPr/>
      </w:r>
    </w:p>
    <w:p>
      <w:pPr>
        <w:pStyle w:val="TextBody"/>
        <w:bidi w:val="0"/>
        <w:spacing w:lineRule="auto" w:line="288" w:before="0" w:after="0"/>
        <w:ind w:left="0" w:right="0" w:hanging="360"/>
        <w:jc w:val="left"/>
        <w:rPr>
          <w:rFonts w:ascii="Arial;sans-serif" w:hAnsi="Arial;sans-serif"/>
          <w:b w:val="false"/>
          <w:color w:val="2E74B5"/>
          <w:sz w:val="28"/>
        </w:rPr>
      </w:pPr>
      <w:r>
        <w:rPr>
          <w:rFonts w:ascii="Arial;sans-serif" w:hAnsi="Arial;sans-serif"/>
          <w:b w:val="false"/>
          <w:color w:val="2E74B5"/>
          <w:sz w:val="28"/>
        </w:rPr>
        <w:t>E.    Permitted Transactions in Company Securities During “Open Periods”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Arial;sans-serif" w:hAnsi="Arial;sans-serif"/>
          <w:b w:val="false"/>
          <w:color w:val="000000"/>
          <w:sz w:val="20"/>
        </w:rPr>
        <w:t>All employees are </w:t>
      </w:r>
      <w:r>
        <w:rPr>
          <w:rFonts w:ascii="Arial;sans-serif" w:hAnsi="Arial;sans-serif"/>
          <w:b w:val="false"/>
          <w:i/>
          <w:color w:val="000000"/>
          <w:sz w:val="20"/>
          <w:u w:val="single"/>
        </w:rPr>
        <w:t>encouraged</w:t>
      </w:r>
      <w:r>
        <w:rPr>
          <w:color w:val="000000"/>
        </w:rPr>
        <w:t> </w:t>
      </w:r>
      <w:r>
        <w:rPr>
          <w:rFonts w:ascii="Arial;sans-serif" w:hAnsi="Arial;sans-serif"/>
          <w:b w:val="false"/>
          <w:color w:val="000000"/>
          <w:sz w:val="20"/>
        </w:rPr>
        <w:t>to engage in transactions in Company Securities within an “Open Period” which begins after one full market trading day following the Company's public release of its quarterly earnings reports or filing of its quarterly report on Form 10-Q (or annual report on Form 10-K), whichever is later, and continues through the 15th day of the last calendar month of the then current fiscal quarter (i.e., March 15, June 15, September 15 or December 15). For example, if a quarterly earnings release were issued and the Form 10-Q were filed before the market opens on Wednesday, May 1, the Open Period would begin on Thursday, May 2, and would continue through and including June 15. If a quarterly earnings release were issued before the market opens on Wednesday, May 1, but the Form 10-Q were filed Thursday, May 2, during market hours, then the Open Period would begin on Monday, May 6, and would continue through and including June 15.</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Even during an Open Period, if you possess material non-public information, you may not engage in any transactions in Company Securities until the information has been made public or is no longer material. You should contact the Legal Department if you have any questions about materiality, non-public information, or the operation of this Policy.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Arial;sans-serif" w:hAnsi="Arial;sans-serif"/>
          <w:b w:val="false"/>
          <w:color w:val="000000"/>
          <w:sz w:val="20"/>
        </w:rPr>
        <w:t>Certain individuals are </w:t>
      </w:r>
      <w:r>
        <w:rPr>
          <w:rFonts w:ascii="Arial;sans-serif" w:hAnsi="Arial;sans-serif"/>
          <w:b w:val="false"/>
          <w:i/>
          <w:color w:val="000000"/>
          <w:sz w:val="20"/>
          <w:u w:val="single"/>
        </w:rPr>
        <w:t>required</w:t>
      </w:r>
      <w:r>
        <w:rPr>
          <w:color w:val="000000"/>
        </w:rPr>
        <w:t> </w:t>
      </w:r>
      <w:r>
        <w:rPr>
          <w:rFonts w:ascii="Arial;sans-serif" w:hAnsi="Arial;sans-serif"/>
          <w:b w:val="false"/>
          <w:color w:val="000000"/>
          <w:sz w:val="20"/>
        </w:rPr>
        <w:t>by this Policy to limit their transactions in Company Securities to Open Periods. These individuals include: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Directors of the Company,</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Executive Officers of the Company (so designated by the Board of Directors),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Direct reports to the Company’s Chief Executive Officer,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Direct reports to the Company’s Chief Financial Officer,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Direct reports to the Company's Controller,</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Direct reports to the Company's head of Financial Planning &amp; Analysis,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Direct reports to the Company's head of Business Development,</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Direct reports to the Company's head of Investor Relations,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Certain individuals who have been designated by the Chief Legal Officer because they have regular access to information regarding the Company’s results of operations or financial condition.</w:t>
      </w:r>
    </w:p>
    <w:p>
      <w:pPr>
        <w:pStyle w:val="TextBody"/>
        <w:bidi w:val="0"/>
        <w:spacing w:before="0" w:after="0"/>
        <w:jc w:val="both"/>
        <w:rPr/>
      </w:pPr>
      <w:r>
        <w:rPr/>
      </w:r>
    </w:p>
    <w:p>
      <w:pPr>
        <w:pStyle w:val="TextBody"/>
        <w:bidi w:val="0"/>
        <w:spacing w:lineRule="auto" w:line="288"/>
        <w:ind w:left="0" w:right="0" w:firstLine="360"/>
        <w:jc w:val="both"/>
        <w:rPr>
          <w:rFonts w:ascii="Arial;sans-serif" w:hAnsi="Arial;sans-serif"/>
          <w:b w:val="false"/>
          <w:color w:val="000000"/>
          <w:sz w:val="20"/>
        </w:rPr>
      </w:pPr>
      <w:r>
        <w:rPr>
          <w:rFonts w:ascii="Arial;sans-serif" w:hAnsi="Arial;sans-serif"/>
          <w:b w:val="false"/>
          <w:color w:val="000000"/>
          <w:sz w:val="20"/>
        </w:rPr>
        <w:t xml:space="preserve">The Company may from time to time “close” an Open Period without prior notice or impose an event-specific trading restriction, during which persons designated by the Chief Legal Officer may not trade in Company Securities. If such a restriction period is imposed, the Company will notify affected individuals </w:t>
      </w:r>
    </w:p>
    <w:p>
      <w:pPr>
        <w:pStyle w:val="TextBody"/>
        <w:bidi w:val="0"/>
        <w:spacing w:before="0" w:after="16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388620"/>
                <wp:effectExtent l="0" t="0" r="0" b="0"/>
                <wp:wrapNone/>
                <wp:docPr id="163" name="Frame161"/>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lineRule="auto" w:line="288" w:before="0" w:after="0"/>
                              <w:jc w:val="center"/>
                              <w:rPr>
                                <w:rFonts w:ascii="Aptos;sans-serif" w:hAnsi="Aptos;sans-serif"/>
                                <w:b w:val="false"/>
                                <w:color w:val="000000"/>
                                <w:sz w:val="24"/>
                              </w:rPr>
                            </w:pPr>
                            <w:r>
                              <w:rPr>
                                <w:rFonts w:ascii="Aptos;sans-serif" w:hAnsi="Aptos;sans-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ptos;sans-serif" w:hAnsi="Aptos;sans-serif"/>
                          <w:b w:val="false"/>
                          <w:color w:val="000000"/>
                          <w:sz w:val="24"/>
                        </w:rPr>
                      </w:pPr>
                      <w:r>
                        <w:rPr>
                          <w:rFonts w:ascii="Aptos;sans-serif" w:hAnsi="Aptos;sans-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who will be prohibited from trading in Company Securities. Those individuals should not disclose to others that an event-specific trading restriction period is in effect.</w:t>
      </w:r>
    </w:p>
    <w:p>
      <w:pPr>
        <w:pStyle w:val="TextBody"/>
        <w:bidi w:val="0"/>
        <w:spacing w:before="0" w:after="0"/>
        <w:ind w:left="0" w:right="0" w:firstLine="360"/>
        <w:jc w:val="both"/>
        <w:rPr/>
      </w:pPr>
      <w:r>
        <w:rPr/>
      </w:r>
    </w:p>
    <w:p>
      <w:pPr>
        <w:pStyle w:val="TextBody"/>
        <w:bidi w:val="0"/>
        <w:spacing w:lineRule="auto" w:line="288" w:before="0" w:after="0"/>
        <w:ind w:left="0" w:right="0" w:hanging="360"/>
        <w:jc w:val="left"/>
        <w:rPr>
          <w:rFonts w:ascii="Arial;sans-serif" w:hAnsi="Arial;sans-serif"/>
          <w:b w:val="false"/>
          <w:color w:val="2E74B5"/>
          <w:sz w:val="28"/>
        </w:rPr>
      </w:pPr>
      <w:r>
        <w:rPr>
          <w:rFonts w:ascii="Arial;sans-serif" w:hAnsi="Arial;sans-serif"/>
          <w:b w:val="false"/>
          <w:color w:val="2E74B5"/>
          <w:sz w:val="28"/>
        </w:rPr>
        <w:t>F.    Pre-Approval and Filing Requirements for Directors, Executive Officers and Other Specified Employees</w:t>
      </w:r>
    </w:p>
    <w:p>
      <w:pPr>
        <w:pStyle w:val="TextBody"/>
        <w:bidi w:val="0"/>
        <w:spacing w:before="0" w:after="0"/>
        <w:ind w:left="0" w:right="0" w:hanging="360"/>
        <w:jc w:val="left"/>
        <w:rPr/>
      </w:pPr>
      <w:r>
        <w:rPr/>
      </w:r>
    </w:p>
    <w:p>
      <w:pPr>
        <w:pStyle w:val="TextBody"/>
        <w:bidi w:val="0"/>
        <w:spacing w:lineRule="auto" w:line="288" w:before="0" w:after="0"/>
        <w:ind w:left="0" w:right="0" w:firstLine="360"/>
        <w:jc w:val="both"/>
        <w:rPr/>
      </w:pPr>
      <w:r>
        <w:rPr>
          <w:rFonts w:ascii="Arial;sans-serif" w:hAnsi="Arial;sans-serif"/>
          <w:b w:val="false"/>
          <w:color w:val="000000"/>
          <w:sz w:val="20"/>
        </w:rPr>
        <w:t>Any transaction in Company Securities by a Director of the Company, an Executive Officer of the Company (so designated by the Board of Directors), a direct report to the Company Chief Executive Officer, a direct report to the Company's Chief Financial Officer, a direct report to the Company's Chief Legal Officer, a direct report to the Company's Chief Transformation Officer, or by certain other employees whose roles involve exposure on a regular basis to material non-public information</w:t>
      </w:r>
      <w:r>
        <w:rPr>
          <w:color w:val="000000"/>
        </w:rPr>
        <w:t> </w:t>
      </w:r>
      <w:r>
        <w:rPr>
          <w:rFonts w:ascii="Arial;sans-serif" w:hAnsi="Arial;sans-serif"/>
          <w:b w:val="false"/>
          <w:color w:val="000000"/>
          <w:sz w:val="20"/>
        </w:rPr>
        <w:t>must:</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occur during an Open Period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be reviewed and approved in advance by the Company’s Chief Legal Officer or designee.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Arial;sans-serif" w:hAnsi="Arial;sans-serif"/>
          <w:b w:val="false"/>
          <w:color w:val="000000"/>
          <w:sz w:val="20"/>
        </w:rPr>
        <w:t>Pre-approval is valid for five business days, including the day on which approval is granted (the "Approval Period"). For example, if approval is granted on Tuesday, the approval would be valid through the</w:t>
      </w:r>
      <w:r>
        <w:rPr>
          <w:color w:val="000000"/>
        </w:rPr>
        <w:t xml:space="preserve"> </w:t>
      </w:r>
      <w:r>
        <w:rPr>
          <w:rFonts w:ascii="Arial;sans-serif" w:hAnsi="Arial;sans-serif"/>
          <w:b w:val="false"/>
          <w:color w:val="000000"/>
          <w:sz w:val="20"/>
        </w:rPr>
        <w:t>close of business on the following Monday but the approval always remains subject to the general prohibition on trading while in possession of material non-public information. </w:t>
      </w:r>
      <w:r>
        <w:rPr>
          <w:rFonts w:ascii="Arial;sans-serif" w:hAnsi="Arial;sans-serif"/>
          <w:b/>
          <w:color w:val="000000"/>
          <w:sz w:val="20"/>
        </w:rPr>
        <w:t>If during the Approval Period you become aware of and are in possession of material non-public information, it is your responsibility to refrain from trading. </w:t>
      </w:r>
      <w:r>
        <w:rPr>
          <w:rFonts w:ascii="Arial;sans-serif" w:hAnsi="Arial;sans-serif"/>
          <w:b w:val="false"/>
          <w:color w:val="000000"/>
          <w:sz w:val="20"/>
        </w:rPr>
        <w:t>If a transaction order is not placed during the Approval Period, approval must be re-requested. If approval is denied, the fact of such denial must be kept confidential.</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Directors and Executive Officers of the Company are required to comply with Section 16 of the Securities Exchange Act of 1934, as amended (the “Exchange Act”), and related rules and regulations (collectively, “Section 16”), which set forth reporting obligations as well as limitations on “short swing” transactions (i.e., a purchase followed by a sale, or sale followed by a purchase, within any six-month period). The Company assists Directors and Executive Officers with filing Section 16 reports, however, the obligation to comply with Section 16 is personal. Please direct any inquiries regarding Section 16 to the Chief Legal Officer.</w:t>
      </w:r>
    </w:p>
    <w:p>
      <w:pPr>
        <w:pStyle w:val="TextBody"/>
        <w:bidi w:val="0"/>
        <w:spacing w:before="0" w:after="0"/>
        <w:ind w:left="0" w:right="0" w:firstLine="360"/>
        <w:jc w:val="both"/>
        <w:rPr/>
      </w:pPr>
      <w:r>
        <w:rPr/>
      </w:r>
    </w:p>
    <w:p>
      <w:pPr>
        <w:pStyle w:val="TextBody"/>
        <w:bidi w:val="0"/>
        <w:spacing w:lineRule="auto" w:line="288" w:before="0" w:after="0"/>
        <w:ind w:left="0" w:right="0" w:hanging="360"/>
        <w:jc w:val="left"/>
        <w:rPr>
          <w:rFonts w:ascii="Arial;sans-serif" w:hAnsi="Arial;sans-serif"/>
          <w:b w:val="false"/>
          <w:color w:val="2E74B5"/>
          <w:sz w:val="28"/>
        </w:rPr>
      </w:pPr>
      <w:r>
        <w:rPr>
          <w:rFonts w:ascii="Arial;sans-serif" w:hAnsi="Arial;sans-serif"/>
          <w:b w:val="false"/>
          <w:color w:val="2E74B5"/>
          <w:sz w:val="28"/>
        </w:rPr>
        <w:t>G.    Trading in the Stock of Other Corporations</w:t>
      </w:r>
    </w:p>
    <w:p>
      <w:pPr>
        <w:pStyle w:val="TextBody"/>
        <w:bidi w:val="0"/>
        <w:spacing w:before="0" w:after="0"/>
        <w:ind w:left="0" w:right="0" w:hanging="36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In the course of your employment, you may gain access to material non-public information regarding another company with which the Company does business (such as a customer, vendor, supplier, partner or other potential counterparty in a business transaction) or competes. You could be held liable under federal securities laws if you trade in the securities of another company when you are in possession of material non-public information about that company. In order to avoid both the possibility of litigation and possible embarrassment to the Company, you should not trade in the stock or other securities of other companies when in possession of material non-public information about them.</w:t>
      </w:r>
    </w:p>
    <w:p>
      <w:pPr>
        <w:pStyle w:val="TextBody"/>
        <w:bidi w:val="0"/>
        <w:spacing w:before="0" w:after="0"/>
        <w:ind w:left="0" w:right="0" w:firstLine="360"/>
        <w:jc w:val="both"/>
        <w:rPr/>
      </w:pPr>
      <w:r>
        <w:rPr/>
      </w:r>
    </w:p>
    <w:p>
      <w:pPr>
        <w:pStyle w:val="TextBody"/>
        <w:bidi w:val="0"/>
        <w:spacing w:lineRule="auto" w:line="288" w:before="0" w:after="0"/>
        <w:ind w:left="0" w:right="0" w:hanging="360"/>
        <w:jc w:val="left"/>
        <w:rPr>
          <w:rFonts w:ascii="Arial;sans-serif" w:hAnsi="Arial;sans-serif"/>
          <w:b w:val="false"/>
          <w:color w:val="2E74B5"/>
          <w:sz w:val="28"/>
        </w:rPr>
      </w:pPr>
      <w:r>
        <w:rPr>
          <w:rFonts w:ascii="Arial;sans-serif" w:hAnsi="Arial;sans-serif"/>
          <w:b w:val="false"/>
          <w:color w:val="2E74B5"/>
          <w:sz w:val="28"/>
        </w:rPr>
        <w:t>H.    General Prohibition on Hedging</w:t>
      </w:r>
    </w:p>
    <w:p>
      <w:pPr>
        <w:pStyle w:val="TextBody"/>
        <w:bidi w:val="0"/>
        <w:spacing w:before="0" w:after="0"/>
        <w:ind w:left="0" w:right="0" w:hanging="36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No Director or Executive Officer of the Company may, directly or indirectly, engage in any kind of hedging transaction that could reduce or limit the Director’s or Executive Officer’s economic risk relative to the Director's or Executive Officer's holdings, ownership or interest in Company Securities. Prohibited transactions include the purchase by a Director or Executive Officer of financial instruments designed to hedge or offset any decrease in the market value of the Company’s equity securities.</w:t>
      </w:r>
    </w:p>
    <w:p>
      <w:pPr>
        <w:pStyle w:val="TextBody"/>
        <w:bidi w:val="0"/>
        <w:spacing w:before="0" w:after="0"/>
        <w:ind w:left="0" w:right="0" w:firstLine="360"/>
        <w:jc w:val="both"/>
        <w:rPr/>
      </w:pPr>
      <w:r>
        <w:rPr/>
      </w:r>
    </w:p>
    <w:p>
      <w:pPr>
        <w:pStyle w:val="TextBody"/>
        <w:bidi w:val="0"/>
        <w:ind w:left="0" w:right="0" w:firstLine="360"/>
        <w:jc w:val="both"/>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388620"/>
                <wp:effectExtent l="0" t="0" r="0" b="0"/>
                <wp:wrapNone/>
                <wp:docPr id="164" name="Frame162"/>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lineRule="auto" w:line="288" w:before="0" w:after="0"/>
                              <w:jc w:val="center"/>
                              <w:rPr>
                                <w:rFonts w:ascii="Aptos;sans-serif" w:hAnsi="Aptos;sans-serif"/>
                                <w:b w:val="false"/>
                                <w:color w:val="000000"/>
                                <w:sz w:val="24"/>
                              </w:rPr>
                            </w:pPr>
                            <w:r>
                              <w:rPr>
                                <w:rFonts w:ascii="Aptos;sans-serif" w:hAnsi="Aptos;sans-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ptos;sans-serif" w:hAnsi="Aptos;sans-serif"/>
                          <w:b w:val="false"/>
                          <w:color w:val="000000"/>
                          <w:sz w:val="24"/>
                        </w:rPr>
                      </w:pPr>
                      <w:r>
                        <w:rPr>
                          <w:rFonts w:ascii="Aptos;sans-serif" w:hAnsi="Aptos;sans-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Arial;sans-serif" w:hAnsi="Arial;sans-serif"/>
          <w:b w:val="false"/>
          <w:i/>
          <w:color w:val="000000"/>
          <w:sz w:val="20"/>
        </w:rPr>
      </w:pPr>
      <w:r>
        <w:rPr>
          <w:rFonts w:ascii="Arial;sans-serif" w:hAnsi="Arial;sans-serif"/>
          <w:b w:val="false"/>
          <w:i/>
          <w:color w:val="000000"/>
          <w:sz w:val="20"/>
        </w:rPr>
        <w:t>Short Sales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The federal securities laws make it unlawful for Directors and Executive Officers of the Company to make any short sale of Company Securities (sale of stock that the seller does not own). It is also against Company policy for any employee to make any short sale of Company Securities. This is equally true in the case of short sales “against the box,” i.e., where the employee holds a number of shares of the Company’s stock at least equal to the number of such shares sold short. Short sales tend to be speculative in nature and can reflect a profit objective that is inconsistent with that of the Company’s shareholders generally. In addition, short sales have the potential to signal to the market that the seller lacks confidence in a company’s performance.</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Arial;sans-serif" w:hAnsi="Arial;sans-serif"/>
          <w:b w:val="false"/>
          <w:i/>
          <w:color w:val="000000"/>
          <w:sz w:val="20"/>
        </w:rPr>
      </w:pPr>
      <w:r>
        <w:rPr>
          <w:rFonts w:ascii="Arial;sans-serif" w:hAnsi="Arial;sans-serif"/>
          <w:b w:val="false"/>
          <w:i/>
          <w:color w:val="000000"/>
          <w:sz w:val="20"/>
        </w:rPr>
        <w:t>Puts and Calls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Directors, Executive Officers and employees of the Company may not write options, including call options (generally the right to buy stock at a specific price before a set date) and put options (generally the right to sell stock at a specific price before a set date) relative to Company Securities. Transactions of this kind may be analogous to short sales or may create the appearance that trading is based on material non-public information. In addition, under the Securities and Exchange Commission’s rules governing “short-swing” transactions, the writing by a Director or an Executive Officer of a call or put with respect to Company Securities would constitute the sale or purchase, respectively, of the underlying Securities and could expose such officer to “short-swing” liability.</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Arial;sans-serif" w:hAnsi="Arial;sans-serif"/>
          <w:b w:val="false"/>
          <w:i/>
          <w:color w:val="000000"/>
          <w:sz w:val="20"/>
        </w:rPr>
      </w:pPr>
      <w:r>
        <w:rPr>
          <w:rFonts w:ascii="Arial;sans-serif" w:hAnsi="Arial;sans-serif"/>
          <w:b w:val="false"/>
          <w:i/>
          <w:color w:val="000000"/>
          <w:sz w:val="20"/>
        </w:rPr>
        <w:t>Standing and Limit Orders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Standing and limit orders are orders that are placed with a bank or brokerage to buy or sell a set amount of Company Securities at a specified price during a certain period of time. The Company discourages placing standing or limit orders on Company Securities because, due to the lack of control over the timing of the transaction, a broker could execute a transaction while a Director, Executive Officer or employee possesses material non-public information. If a Director, Executive Officer or employee determines that they must use a standing order or a limit order, the order must be limited to a transaction that is executed during the Approval Period for those subject to pre-approval, or during the Open Period for those not subject to pre-approval; and the individual must automatically cancel the order if he or she becomes aware of material non-public information.</w:t>
      </w:r>
    </w:p>
    <w:p>
      <w:pPr>
        <w:pStyle w:val="TextBody"/>
        <w:bidi w:val="0"/>
        <w:spacing w:before="0" w:after="0"/>
        <w:ind w:left="0" w:right="0" w:firstLine="360"/>
        <w:jc w:val="both"/>
        <w:rPr/>
      </w:pPr>
      <w:r>
        <w:rPr/>
      </w:r>
    </w:p>
    <w:p>
      <w:pPr>
        <w:pStyle w:val="TextBody"/>
        <w:bidi w:val="0"/>
        <w:spacing w:lineRule="auto" w:line="288" w:before="0" w:after="0"/>
        <w:ind w:left="0" w:right="0" w:hanging="720"/>
        <w:jc w:val="left"/>
        <w:rPr>
          <w:rFonts w:ascii="Arial;sans-serif" w:hAnsi="Arial;sans-serif"/>
          <w:b w:val="false"/>
          <w:color w:val="2E74B5"/>
          <w:sz w:val="28"/>
        </w:rPr>
      </w:pPr>
      <w:r>
        <w:rPr>
          <w:rFonts w:ascii="Arial;sans-serif" w:hAnsi="Arial;sans-serif"/>
          <w:b w:val="false"/>
          <w:color w:val="2E74B5"/>
          <w:sz w:val="28"/>
        </w:rPr>
        <w:t>I.Rule 10b5-1 Plans</w:t>
      </w:r>
    </w:p>
    <w:p>
      <w:pPr>
        <w:pStyle w:val="TextBody"/>
        <w:bidi w:val="0"/>
        <w:spacing w:before="0" w:after="0"/>
        <w:jc w:val="left"/>
        <w:rPr/>
      </w:pPr>
      <w:r>
        <w:rPr/>
      </w:r>
    </w:p>
    <w:p>
      <w:pPr>
        <w:pStyle w:val="TextBody"/>
        <w:bidi w:val="0"/>
        <w:spacing w:lineRule="auto" w:line="288"/>
        <w:ind w:left="0" w:right="0" w:firstLine="360"/>
        <w:jc w:val="both"/>
        <w:rPr>
          <w:rFonts w:ascii="Arial;sans-serif" w:hAnsi="Arial;sans-serif"/>
          <w:b w:val="false"/>
          <w:color w:val="000000"/>
          <w:sz w:val="20"/>
        </w:rPr>
      </w:pPr>
      <w:r>
        <w:rPr>
          <w:rFonts w:ascii="Arial;sans-serif" w:hAnsi="Arial;sans-serif"/>
          <w:b w:val="false"/>
          <w:color w:val="000000"/>
          <w:sz w:val="20"/>
        </w:rPr>
        <w:t>Rule 10b5-1 under the Exchange Act provides a defense from insider trading liability under Rule 10b-5. In order to be eligible to rely on this defense, a person subject to this Policy must enter into a Rule 10b5-1 plan for transactions in Company Securities that meets certain conditions specified in the Rule (a “Rule 10b5-1 Plan”). If the plan meets the requirements of Rule 10b5-1, Company Securities may be purchased or sold without regard to certain insider trading restrictions. To comply with this Policy, a Rule 10b5-1 Plan (including any modification or termination) must be approved by the Company's Chief Legal Officer or designee and meet the requirements of Rule 10b5-1, including the requirements that a Rule 10b5-1 Plan must be entered into at a time when the person is not aware of material non-public information. Once the Plan is adopted, the person must not exercise any influence over the amount of securities to be traded, the price at which they are to be traded or the date of the trade. The Plan must either specify the amount, pricing and timing of transactions in advance or delegate discretion to an independent third party. Any Rule 10b5-1 Plan must be submitted for pre-approval by the Company's Chief Legal Officer five days in advance. Once a Rule 10b5-1 Plan has been approved, no further pre-approval of transactions conducted under the Rule 10b5-1 Plan will be required, except for any requests to modify or terminate the Plan.</w:t>
      </w:r>
    </w:p>
    <w:p>
      <w:pPr>
        <w:pStyle w:val="TextBody"/>
        <w:bidi w:val="0"/>
        <w:spacing w:before="0" w:after="16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388620"/>
                <wp:effectExtent l="0" t="0" r="0" b="0"/>
                <wp:wrapNone/>
                <wp:docPr id="165" name="Frame163"/>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lineRule="auto" w:line="288" w:before="0" w:after="0"/>
                              <w:jc w:val="center"/>
                              <w:rPr>
                                <w:rFonts w:ascii="Aptos;sans-serif" w:hAnsi="Aptos;sans-serif"/>
                                <w:b w:val="false"/>
                                <w:color w:val="000000"/>
                                <w:sz w:val="24"/>
                              </w:rPr>
                            </w:pPr>
                            <w:r>
                              <w:rPr>
                                <w:rFonts w:ascii="Aptos;sans-serif" w:hAnsi="Aptos;sans-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ptos;sans-serif" w:hAnsi="Aptos;sans-serif"/>
                          <w:b w:val="false"/>
                          <w:color w:val="000000"/>
                          <w:sz w:val="24"/>
                        </w:rPr>
                      </w:pPr>
                      <w:r>
                        <w:rPr>
                          <w:rFonts w:ascii="Aptos;sans-serif" w:hAnsi="Aptos;sans-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lineRule="auto" w:line="288" w:before="0" w:after="0"/>
        <w:ind w:left="0" w:right="0" w:hanging="360"/>
        <w:jc w:val="left"/>
        <w:rPr>
          <w:rFonts w:ascii="Arial;sans-serif" w:hAnsi="Arial;sans-serif"/>
          <w:b w:val="false"/>
          <w:color w:val="2E74B5"/>
          <w:sz w:val="28"/>
        </w:rPr>
      </w:pPr>
      <w:r>
        <w:rPr>
          <w:rFonts w:ascii="Arial;sans-serif" w:hAnsi="Arial;sans-serif"/>
          <w:b w:val="false"/>
          <w:color w:val="2E74B5"/>
          <w:sz w:val="28"/>
        </w:rPr>
        <w:t>J.    Margin Trading and Pledging</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Open market purchases of Company Securities by use of margin credit should be avoided. Such purchases give the appearance of speculation, and for various reasons it may become necessary or desirable to reduce the margin indebtedness by selling the Securities during a period when the purchaser may be in possession of material non-public information. Similarly, Securities pledged as collateral for a loan may be sold in foreclosure if the borrower defaults on the loan. For this reason, employees should refrain from pledging Company Securities. Directors and Executive Officers of the Company are prohibited from pledging Company Securities.</w:t>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lineRule="auto" w:line="288" w:before="0" w:after="0"/>
        <w:ind w:left="0" w:right="0" w:hanging="360"/>
        <w:jc w:val="left"/>
        <w:rPr>
          <w:rFonts w:ascii="Arial;sans-serif" w:hAnsi="Arial;sans-serif"/>
          <w:b w:val="false"/>
          <w:color w:val="2E74B5"/>
          <w:sz w:val="28"/>
        </w:rPr>
      </w:pPr>
      <w:r>
        <w:rPr>
          <w:rFonts w:ascii="Arial;sans-serif" w:hAnsi="Arial;sans-serif"/>
          <w:b w:val="false"/>
          <w:color w:val="2E74B5"/>
          <w:sz w:val="28"/>
        </w:rPr>
        <w:t>K.    Stock Option Transactions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Arial;sans-serif" w:hAnsi="Arial;sans-serif"/>
          <w:b w:val="false"/>
          <w:color w:val="000000"/>
          <w:sz w:val="20"/>
        </w:rPr>
        <w:t>An option exercise (i.e., the purchase of shares pursuant to an option grant) may take place at any time if the optionee tenders cash for the exercise price of the option, but sales of stock as part of a cashless exercise of an option and/or the open market sale of stock resulting from an option exercise for the purpose of generating the cash needed to pay the exercise price of the option must comply with the rules that apply to any transactions in Company Securities (see </w:t>
      </w:r>
      <w:r>
        <w:rPr>
          <w:rFonts w:ascii="Arial;sans-serif" w:hAnsi="Arial;sans-serif"/>
          <w:b/>
          <w:color w:val="000000"/>
          <w:sz w:val="20"/>
        </w:rPr>
        <w:t>Permitted Transactions in Company Securities During “Open Periods” </w:t>
      </w:r>
      <w:r>
        <w:rPr>
          <w:rFonts w:ascii="Arial;sans-serif" w:hAnsi="Arial;sans-serif"/>
          <w:b w:val="false"/>
          <w:color w:val="000000"/>
          <w:sz w:val="20"/>
        </w:rPr>
        <w:t>and</w:t>
      </w:r>
      <w:r>
        <w:rPr>
          <w:color w:val="000000"/>
        </w:rPr>
        <w:t> </w:t>
      </w:r>
      <w:r>
        <w:rPr>
          <w:rFonts w:ascii="Arial;sans-serif" w:hAnsi="Arial;sans-serif"/>
          <w:b/>
          <w:color w:val="000000"/>
          <w:sz w:val="20"/>
        </w:rPr>
        <w:t>Pre-approval and Filing Requirements for Directors, Executive Officers and Other Specified Employees</w:t>
      </w:r>
      <w:r>
        <w:rPr>
          <w:rFonts w:ascii="Arial;sans-serif" w:hAnsi="Arial;sans-serif"/>
          <w:b w:val="false"/>
          <w:color w:val="000000"/>
          <w:sz w:val="20"/>
        </w:rPr>
        <w:t>, above</w:t>
      </w:r>
      <w:r>
        <w:rPr>
          <w:rFonts w:ascii="Arial;sans-serif" w:hAnsi="Arial;sans-serif"/>
          <w:b/>
          <w:color w:val="000000"/>
          <w:sz w:val="20"/>
        </w:rPr>
        <w:t>)</w:t>
      </w:r>
      <w:r>
        <w:rPr>
          <w:rFonts w:ascii="Arial;sans-serif" w:hAnsi="Arial;sans-serif"/>
          <w:b w:val="false"/>
          <w:color w:val="000000"/>
          <w:sz w:val="20"/>
        </w:rPr>
        <w:t>. Further, this Policy does not apply to any withholding of shares subject to an option to satisfy tax withholding requirements.</w:t>
      </w:r>
    </w:p>
    <w:p>
      <w:pPr>
        <w:pStyle w:val="TextBody"/>
        <w:bidi w:val="0"/>
        <w:spacing w:before="0" w:after="0"/>
        <w:ind w:left="0" w:right="0" w:firstLine="360"/>
        <w:jc w:val="both"/>
        <w:rPr/>
      </w:pPr>
      <w:r>
        <w:rPr/>
      </w:r>
    </w:p>
    <w:p>
      <w:pPr>
        <w:pStyle w:val="TextBody"/>
        <w:bidi w:val="0"/>
        <w:spacing w:lineRule="auto" w:line="288" w:before="0" w:after="0"/>
        <w:ind w:left="0" w:right="0" w:hanging="360"/>
        <w:jc w:val="left"/>
        <w:rPr>
          <w:rFonts w:ascii="Arial;sans-serif" w:hAnsi="Arial;sans-serif"/>
          <w:b w:val="false"/>
          <w:color w:val="2E74B5"/>
          <w:sz w:val="28"/>
        </w:rPr>
      </w:pPr>
      <w:r>
        <w:rPr>
          <w:rFonts w:ascii="Arial;sans-serif" w:hAnsi="Arial;sans-serif"/>
          <w:b w:val="false"/>
          <w:color w:val="2E74B5"/>
          <w:sz w:val="28"/>
        </w:rPr>
        <w:t>L.    Employee Stock Plan</w:t>
      </w:r>
    </w:p>
    <w:p>
      <w:pPr>
        <w:pStyle w:val="TextBody"/>
        <w:bidi w:val="0"/>
        <w:spacing w:before="0" w:after="0"/>
        <w:ind w:left="0" w:right="0" w:hanging="360"/>
        <w:jc w:val="left"/>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This Policy applies to your election to participate in the Company’s Employee Stock Purchase Plan (the “ESPP”) for any enrollment period and to your sales of Company Securities purchased pursuant to the ESPP. This Policy does not apply to the purchases of Company Securities in the ESPP resulting from your periodic contribution of money to the ESPP pursuant to the election you made at the time of your enrollment in the ESPP.</w:t>
      </w:r>
    </w:p>
    <w:p>
      <w:pPr>
        <w:pStyle w:val="TextBody"/>
        <w:bidi w:val="0"/>
        <w:spacing w:before="0" w:after="0"/>
        <w:jc w:val="both"/>
        <w:rPr/>
      </w:pPr>
      <w:r>
        <w:rPr/>
      </w:r>
    </w:p>
    <w:p>
      <w:pPr>
        <w:pStyle w:val="TextBody"/>
        <w:bidi w:val="0"/>
        <w:spacing w:lineRule="auto" w:line="288" w:before="0" w:after="0"/>
        <w:ind w:left="0" w:right="0" w:hanging="360"/>
        <w:jc w:val="left"/>
        <w:rPr>
          <w:rFonts w:ascii="Arial;sans-serif" w:hAnsi="Arial;sans-serif"/>
          <w:b w:val="false"/>
          <w:color w:val="2E74B5"/>
          <w:sz w:val="28"/>
        </w:rPr>
      </w:pPr>
      <w:r>
        <w:rPr>
          <w:rFonts w:ascii="Arial;sans-serif" w:hAnsi="Arial;sans-serif"/>
          <w:b w:val="false"/>
          <w:color w:val="2E74B5"/>
          <w:sz w:val="28"/>
        </w:rPr>
        <w:t>M.  Gifts of Company Securities</w:t>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Any gifts of Company Securities are transactions subject to this Policy. You are encouraged to consult the Chief Legal Officer when contemplating a gift.</w:t>
      </w:r>
    </w:p>
    <w:p>
      <w:pPr>
        <w:pStyle w:val="TextBody"/>
        <w:bidi w:val="0"/>
        <w:spacing w:before="0" w:after="0"/>
        <w:jc w:val="both"/>
        <w:rPr/>
      </w:pPr>
      <w:r>
        <w:rPr/>
      </w:r>
    </w:p>
    <w:p>
      <w:pPr>
        <w:pStyle w:val="TextBody"/>
        <w:bidi w:val="0"/>
        <w:spacing w:lineRule="auto" w:line="288" w:before="0" w:after="0"/>
        <w:ind w:left="0" w:right="0" w:hanging="540"/>
        <w:jc w:val="both"/>
        <w:rPr>
          <w:rFonts w:ascii="Arial;sans-serif" w:hAnsi="Arial;sans-serif"/>
          <w:b/>
          <w:color w:val="2E74B5"/>
          <w:sz w:val="32"/>
        </w:rPr>
      </w:pPr>
      <w:r>
        <w:rPr>
          <w:rFonts w:ascii="Arial;sans-serif" w:hAnsi="Arial;sans-serif"/>
          <w:b/>
          <w:color w:val="2E74B5"/>
          <w:sz w:val="32"/>
        </w:rPr>
        <w:t>IV:    Key Contacts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Chief Legal Officer                     Kristen Cook 469.451.2266</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Vice President - Investor Relations            Jesse Jenkins 214.972.4011</w:t>
      </w:r>
    </w:p>
    <w:p>
      <w:pPr>
        <w:pStyle w:val="TextBody"/>
        <w:bidi w:val="0"/>
        <w:spacing w:before="0" w:after="0"/>
        <w:jc w:val="both"/>
        <w:rPr/>
      </w:pPr>
      <w:r>
        <w:rPr/>
      </w:r>
    </w:p>
    <w:p>
      <w:pPr>
        <w:pStyle w:val="TextBody"/>
        <w:bidi w:val="0"/>
        <w:spacing w:before="0" w:after="0"/>
        <w:jc w:val="right"/>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388620"/>
                <wp:effectExtent l="0" t="0" r="0" b="0"/>
                <wp:wrapNone/>
                <wp:docPr id="166" name="Frame164"/>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lineRule="auto" w:line="288" w:before="0" w:after="0"/>
                              <w:jc w:val="center"/>
                              <w:rPr>
                                <w:rFonts w:ascii="Aptos;sans-serif" w:hAnsi="Aptos;sans-serif"/>
                                <w:b w:val="false"/>
                                <w:color w:val="000000"/>
                                <w:sz w:val="24"/>
                              </w:rPr>
                            </w:pPr>
                            <w:r>
                              <w:rPr>
                                <w:rFonts w:ascii="Aptos;sans-serif" w:hAnsi="Aptos;sans-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ptos;sans-serif" w:hAnsi="Aptos;sans-serif"/>
                          <w:b w:val="false"/>
                          <w:color w:val="000000"/>
                          <w:sz w:val="24"/>
                        </w:rPr>
                      </w:pPr>
                      <w:r>
                        <w:rPr>
                          <w:rFonts w:ascii="Aptos;sans-serif" w:hAnsi="Aptos;sans-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388620"/>
                <wp:effectExtent l="0" t="0" r="0" b="0"/>
                <wp:wrapNone/>
                <wp:docPr id="167" name="Frame165"/>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lineRule="auto" w:line="288" w:before="0" w:after="0"/>
                              <w:jc w:val="center"/>
                              <w:rPr>
                                <w:rFonts w:ascii="Aptos;sans-serif" w:hAnsi="Aptos;sans-serif"/>
                                <w:b w:val="false"/>
                                <w:color w:val="000000"/>
                                <w:sz w:val="24"/>
                              </w:rPr>
                            </w:pPr>
                            <w:r>
                              <w:rPr>
                                <w:rFonts w:ascii="Aptos;sans-serif" w:hAnsi="Aptos;sans-serif"/>
                                <w:b w:val="false"/>
                                <w:color w:val="000000"/>
                                <w:sz w:val="24"/>
                              </w:rPr>
                              <w:t>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Aptos;sans-serif" w:hAnsi="Aptos;sans-serif"/>
                          <w:b w:val="false"/>
                          <w:color w:val="000000"/>
                          <w:sz w:val="24"/>
                        </w:rPr>
                      </w:pPr>
                      <w:r>
                        <w:rPr>
                          <w:rFonts w:ascii="Aptos;sans-serif" w:hAnsi="Aptos;sans-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center"/>
        <w:rPr>
          <w:rFonts w:ascii="Arial;sans-serif" w:hAnsi="Arial;sans-serif"/>
          <w:b w:val="false"/>
          <w:color w:val="000000"/>
          <w:sz w:val="18"/>
        </w:rPr>
      </w:pPr>
      <w:r>
        <w:rPr>
          <w:rFonts w:ascii="Arial;sans-serif" w:hAnsi="Arial;sans-serif"/>
          <w:b w:val="false"/>
          <w:color w:val="000000"/>
          <w:sz w:val="18"/>
        </w:rPr>
        <w:t>SUBSIDIARIES OF THE BRINK’S COMPANY</w:t>
      </w:r>
    </w:p>
    <w:p>
      <w:pPr>
        <w:pStyle w:val="TextBody"/>
        <w:bidi w:val="0"/>
        <w:spacing w:lineRule="auto" w:line="276" w:before="0" w:after="0"/>
        <w:jc w:val="center"/>
        <w:rPr>
          <w:rFonts w:ascii="Arial;sans-serif" w:hAnsi="Arial;sans-serif"/>
          <w:b w:val="false"/>
          <w:color w:val="000000"/>
          <w:sz w:val="18"/>
        </w:rPr>
      </w:pPr>
      <w:r>
        <w:rPr>
          <w:rFonts w:ascii="Arial;sans-serif" w:hAnsi="Arial;sans-serif"/>
          <w:b w:val="false"/>
          <w:color w:val="000000"/>
          <w:sz w:val="18"/>
        </w:rPr>
        <w:t>AS OF DECEMBER 31, 2025</w:t>
      </w:r>
    </w:p>
    <w:p>
      <w:pPr>
        <w:pStyle w:val="TextBody"/>
        <w:bidi w:val="0"/>
        <w:spacing w:lineRule="auto" w:line="276" w:before="0" w:after="0"/>
        <w:jc w:val="center"/>
        <w:rPr>
          <w:rFonts w:ascii="Arial;sans-serif" w:hAnsi="Arial;sans-serif"/>
          <w:b w:val="false"/>
          <w:color w:val="000000"/>
          <w:sz w:val="18"/>
        </w:rPr>
      </w:pPr>
      <w:r>
        <w:rPr>
          <w:rFonts w:ascii="Arial;sans-serif" w:hAnsi="Arial;sans-serif"/>
          <w:b w:val="false"/>
          <w:color w:val="000000"/>
          <w:sz w:val="18"/>
        </w:rPr>
        <w:t>(The subsidiaries listed below are owned 100%, directly or indirectly, by The Brink’s Company unless otherwise noted.)</w:t>
      </w:r>
    </w:p>
    <w:p>
      <w:pPr>
        <w:pStyle w:val="TextBody"/>
        <w:bidi w:val="0"/>
        <w:spacing w:before="0" w:after="0"/>
        <w:jc w:val="center"/>
        <w:rPr/>
      </w:pPr>
      <w:r>
        <w:rPr/>
      </w:r>
    </w:p>
    <w:tbl>
      <w:tblPr>
        <w:tblW w:w="9179" w:type="dxa"/>
        <w:jc w:val="left"/>
        <w:tblInd w:w="0" w:type="dxa"/>
        <w:tblLayout w:type="fixed"/>
        <w:tblCellMar>
          <w:top w:w="28" w:type="dxa"/>
          <w:left w:w="28" w:type="dxa"/>
          <w:bottom w:w="28" w:type="dxa"/>
          <w:right w:w="28" w:type="dxa"/>
        </w:tblCellMar>
      </w:tblPr>
      <w:tblGrid>
        <w:gridCol w:w="2451"/>
        <w:gridCol w:w="2156"/>
        <w:gridCol w:w="2172"/>
        <w:gridCol w:w="702"/>
        <w:gridCol w:w="702"/>
        <w:gridCol w:w="996"/>
      </w:tblGrid>
      <w:tr>
        <w:trPr/>
        <w:tc>
          <w:tcPr>
            <w:tcW w:w="2451" w:type="dxa"/>
            <w:tcBorders/>
            <w:vAlign w:val="center"/>
          </w:tcPr>
          <w:p>
            <w:pPr>
              <w:pStyle w:val="TableContents"/>
              <w:bidi w:val="0"/>
              <w:spacing w:before="0" w:after="283"/>
              <w:jc w:val="left"/>
              <w:rPr>
                <w:sz w:val="4"/>
                <w:szCs w:val="4"/>
              </w:rPr>
            </w:pPr>
            <w:r>
              <w:rPr>
                <w:sz w:val="4"/>
                <w:szCs w:val="4"/>
              </w:rPr>
            </w:r>
          </w:p>
        </w:tc>
        <w:tc>
          <w:tcPr>
            <w:tcW w:w="2156" w:type="dxa"/>
            <w:tcBorders/>
            <w:vAlign w:val="center"/>
          </w:tcPr>
          <w:p>
            <w:pPr>
              <w:pStyle w:val="TableContents"/>
              <w:bidi w:val="0"/>
              <w:spacing w:before="0" w:after="283"/>
              <w:jc w:val="left"/>
              <w:rPr>
                <w:sz w:val="4"/>
                <w:szCs w:val="4"/>
              </w:rPr>
            </w:pPr>
            <w:r>
              <w:rPr>
                <w:sz w:val="4"/>
                <w:szCs w:val="4"/>
              </w:rPr>
            </w:r>
          </w:p>
        </w:tc>
        <w:tc>
          <w:tcPr>
            <w:tcW w:w="217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Company</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rPr>
              <w:t xml:space="preserve">Jurisdiction of </w:t>
            </w:r>
            <w:r>
              <w:rPr>
                <w:rFonts w:ascii="Arial;sans-serif" w:hAnsi="Arial;sans-serif"/>
                <w:b w:val="false"/>
                <w:color w:val="000000"/>
                <w:sz w:val="18"/>
                <w:u w:val="single"/>
              </w:rPr>
              <w:t>Incorporation</w:t>
            </w:r>
          </w:p>
        </w:tc>
      </w:tr>
      <w:tr>
        <w:trPr/>
        <w:tc>
          <w:tcPr>
            <w:tcW w:w="6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Pittston Company</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Delaware</w:t>
            </w:r>
          </w:p>
        </w:tc>
      </w:tr>
      <w:tr>
        <w:trPr/>
        <w:tc>
          <w:tcPr>
            <w:tcW w:w="6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Glen Allen Development, Inc.</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Delaware</w:t>
            </w:r>
          </w:p>
        </w:tc>
      </w:tr>
      <w:tr>
        <w:trPr/>
        <w:tc>
          <w:tcPr>
            <w:tcW w:w="6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Liberty National Development Company, LLC (32.5%)</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Delaware</w:t>
            </w:r>
          </w:p>
        </w:tc>
      </w:tr>
      <w:tr>
        <w:trPr/>
        <w:tc>
          <w:tcPr>
            <w:tcW w:w="6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 Liberty Residential Urban Renewal Company, LLC (17.5%)</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New Jersey</w:t>
            </w:r>
          </w:p>
        </w:tc>
      </w:tr>
      <w:tr>
        <w:trPr/>
        <w:tc>
          <w:tcPr>
            <w:tcW w:w="6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Pittston Services Group Inc.</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Virginia</w:t>
            </w:r>
          </w:p>
        </w:tc>
      </w:tr>
      <w:tr>
        <w:trPr/>
        <w:tc>
          <w:tcPr>
            <w:tcW w:w="6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Holding Company</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Delaware</w:t>
            </w:r>
          </w:p>
        </w:tc>
      </w:tr>
      <w:tr>
        <w:trPr/>
        <w:tc>
          <w:tcPr>
            <w:tcW w:w="6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Finance Holding Company, LLC</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Delaware</w:t>
            </w:r>
          </w:p>
        </w:tc>
      </w:tr>
      <w:tr>
        <w:trPr/>
        <w:tc>
          <w:tcPr>
            <w:tcW w:w="6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Capital Holding Company, LLC</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Delaware</w:t>
            </w:r>
          </w:p>
        </w:tc>
      </w:tr>
      <w:tr>
        <w:trPr/>
        <w:tc>
          <w:tcPr>
            <w:tcW w:w="6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Capital, LLC</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Delaware</w:t>
            </w:r>
          </w:p>
        </w:tc>
      </w:tr>
      <w:tr>
        <w:trPr/>
        <w:tc>
          <w:tcPr>
            <w:tcW w:w="6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Capital Canada Holding Company Ltd</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Canada</w:t>
            </w:r>
          </w:p>
        </w:tc>
      </w:tr>
      <w:tr>
        <w:trPr/>
        <w:tc>
          <w:tcPr>
            <w:tcW w:w="6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Capital Canada Ltd</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Canada</w:t>
            </w:r>
          </w:p>
        </w:tc>
      </w:tr>
      <w:tr>
        <w:trPr/>
        <w:tc>
          <w:tcPr>
            <w:tcW w:w="6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Finance Holding Brasil Ltda.</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Brazil</w:t>
            </w:r>
          </w:p>
        </w:tc>
      </w:tr>
      <w:tr>
        <w:trPr/>
        <w:tc>
          <w:tcPr>
            <w:tcW w:w="6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Pay Instituicao de Pagamento LTDA</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Brazil</w:t>
            </w:r>
          </w:p>
        </w:tc>
      </w:tr>
      <w:tr>
        <w:trPr/>
        <w:tc>
          <w:tcPr>
            <w:tcW w:w="6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Incorporated</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Delaware</w:t>
            </w:r>
          </w:p>
        </w:tc>
      </w:tr>
      <w:tr>
        <w:trPr/>
        <w:tc>
          <w:tcPr>
            <w:tcW w:w="6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Delaware, LLC</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Delaware</w:t>
            </w:r>
          </w:p>
        </w:tc>
      </w:tr>
      <w:tr>
        <w:trPr/>
        <w:tc>
          <w:tcPr>
            <w:tcW w:w="6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AR LLC</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Delaware</w:t>
            </w:r>
          </w:p>
        </w:tc>
      </w:tr>
      <w:tr>
        <w:trPr/>
        <w:tc>
          <w:tcPr>
            <w:tcW w:w="6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PAI Midco, Inc.</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Delaware</w:t>
            </w:r>
          </w:p>
        </w:tc>
      </w:tr>
      <w:tr>
        <w:trPr/>
        <w:tc>
          <w:tcPr>
            <w:tcW w:w="6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 Alliance Processing Corporation</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Delaware</w:t>
            </w:r>
          </w:p>
        </w:tc>
      </w:tr>
      <w:tr>
        <w:trPr/>
        <w:tc>
          <w:tcPr>
            <w:tcW w:w="6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Testlink USA, Inc.</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Delaware</w:t>
            </w:r>
          </w:p>
        </w:tc>
      </w:tr>
      <w:tr>
        <w:trPr/>
        <w:tc>
          <w:tcPr>
            <w:tcW w:w="6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 Alliance International, Inc.</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Delaware</w:t>
            </w:r>
          </w:p>
        </w:tc>
      </w:tr>
      <w:tr>
        <w:trPr/>
        <w:tc>
          <w:tcPr>
            <w:tcW w:w="6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Vantage Technical Services, Inc.</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Delaware</w:t>
            </w:r>
          </w:p>
        </w:tc>
      </w:tr>
      <w:tr>
        <w:trPr/>
        <w:tc>
          <w:tcPr>
            <w:tcW w:w="6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PAI Digital, LLC</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Delaware</w:t>
            </w:r>
          </w:p>
        </w:tc>
      </w:tr>
      <w:tr>
        <w:trPr/>
        <w:tc>
          <w:tcPr>
            <w:tcW w:w="6779" w:type="dxa"/>
            <w:gridSpan w:val="3"/>
            <w:tcBorders/>
            <w:vAlign w:val="center"/>
          </w:tcPr>
          <w:p>
            <w:pPr>
              <w:pStyle w:val="TableContents"/>
              <w:bidi w:val="0"/>
              <w:spacing w:before="0" w:after="283"/>
              <w:jc w:val="left"/>
              <w:rPr>
                <w:sz w:val="4"/>
                <w:szCs w:val="4"/>
              </w:rPr>
            </w:pPr>
            <w:r>
              <w:rPr>
                <w:sz w:val="4"/>
                <w:szCs w:val="4"/>
              </w:rPr>
            </w:r>
          </w:p>
        </w:tc>
        <w:tc>
          <w:tcPr>
            <w:tcW w:w="2400" w:type="dxa"/>
            <w:gridSpan w:val="3"/>
            <w:tcBorders/>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Express Company</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Illinois</w:t>
            </w:r>
          </w:p>
        </w:tc>
      </w:tr>
      <w:tr>
        <w:trPr/>
        <w:tc>
          <w:tcPr>
            <w:tcW w:w="6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Global Payments, LLC</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Delaware</w:t>
            </w:r>
          </w:p>
        </w:tc>
      </w:tr>
      <w:tr>
        <w:trPr/>
        <w:tc>
          <w:tcPr>
            <w:tcW w:w="6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Complete Holding Company, LLC</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Delaware</w:t>
            </w:r>
          </w:p>
        </w:tc>
      </w:tr>
      <w:tr>
        <w:trPr/>
        <w:tc>
          <w:tcPr>
            <w:tcW w:w="67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Brink's Capital Mexico, S.A. de C.V., S.D.F.O.M., E.N.R.</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Mexico</w:t>
            </w:r>
          </w:p>
        </w:tc>
      </w:tr>
      <w:tr>
        <w:trPr/>
        <w:tc>
          <w:tcPr>
            <w:tcW w:w="6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St. Lucia Ltd. (26%)</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 Lucia</w:t>
            </w:r>
          </w:p>
        </w:tc>
      </w:tr>
      <w:tr>
        <w:trPr/>
        <w:tc>
          <w:tcPr>
            <w:tcW w:w="6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Security Services (Brink’s Jordan) Company Ltd (95%)</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Jordan</w:t>
            </w:r>
          </w:p>
        </w:tc>
      </w:tr>
      <w:tr>
        <w:trPr/>
        <w:tc>
          <w:tcPr>
            <w:tcW w:w="67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Servicio Pan Americano de Proteccion S.A. de C.V. (“Serpaprosa”) (99.75%)</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Mexico</w:t>
            </w:r>
          </w:p>
        </w:tc>
      </w:tr>
      <w:tr>
        <w:trPr/>
        <w:tc>
          <w:tcPr>
            <w:tcW w:w="6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Inmobiliaria, A.J., S.A. de C.V. (99.75%)</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Mexico</w:t>
            </w:r>
          </w:p>
        </w:tc>
      </w:tr>
      <w:tr>
        <w:trPr/>
        <w:tc>
          <w:tcPr>
            <w:tcW w:w="6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Operadora Especializada de Transportes, S.A. de C.V. (99.75%)</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Mexico</w:t>
            </w:r>
          </w:p>
        </w:tc>
      </w:tr>
      <w:tr>
        <w:trPr/>
        <w:tc>
          <w:tcPr>
            <w:tcW w:w="6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Procesos Integrales en Distribucion y Logistica, S.A. de C.V. (99.75%)</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Mexico</w:t>
            </w:r>
          </w:p>
        </w:tc>
      </w:tr>
      <w:tr>
        <w:trPr/>
        <w:tc>
          <w:tcPr>
            <w:tcW w:w="67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Brink’s Security International, Inc. </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Delaware</w:t>
            </w:r>
          </w:p>
        </w:tc>
      </w:tr>
      <w:tr>
        <w:trPr/>
        <w:tc>
          <w:tcPr>
            <w:tcW w:w="6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Support Services (MY) Sdn. Bhd.</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Malaysia</w:t>
            </w:r>
          </w:p>
        </w:tc>
      </w:tr>
      <w:tr>
        <w:trPr/>
        <w:tc>
          <w:tcPr>
            <w:tcW w:w="6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G4S Group Holding (Asia) Limited</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British Virgin Islands</w:t>
            </w:r>
          </w:p>
        </w:tc>
      </w:tr>
      <w:tr>
        <w:trPr/>
        <w:tc>
          <w:tcPr>
            <w:tcW w:w="6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Safeguards Secure Solution Sdn Bhd (48.88%)</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Malaysia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68" name="Frame1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8130" w:type="dxa"/>
        <w:jc w:val="left"/>
        <w:tblInd w:w="0" w:type="dxa"/>
        <w:tblLayout w:type="fixed"/>
        <w:tblCellMar>
          <w:top w:w="28" w:type="dxa"/>
          <w:left w:w="28" w:type="dxa"/>
          <w:bottom w:w="28" w:type="dxa"/>
          <w:right w:w="28" w:type="dxa"/>
        </w:tblCellMar>
      </w:tblPr>
      <w:tblGrid>
        <w:gridCol w:w="2069"/>
        <w:gridCol w:w="1819"/>
        <w:gridCol w:w="1842"/>
        <w:gridCol w:w="702"/>
        <w:gridCol w:w="702"/>
        <w:gridCol w:w="996"/>
      </w:tblGrid>
      <w:tr>
        <w:trPr/>
        <w:tc>
          <w:tcPr>
            <w:tcW w:w="2069"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Company</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rPr>
              <w:t xml:space="preserve">Jurisdiction of </w:t>
            </w:r>
            <w:r>
              <w:rPr>
                <w:rFonts w:ascii="Arial;sans-serif" w:hAnsi="Arial;sans-serif"/>
                <w:b w:val="false"/>
                <w:color w:val="000000"/>
                <w:sz w:val="18"/>
                <w:u w:val="single"/>
              </w:rPr>
              <w:t>Incorporation</w:t>
            </w:r>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Viva Powertech Sdn. Bhd. (48.88%)</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Malaysia</w:t>
            </w:r>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Safeguards Secure Solution (Sabah) Sdn Bhd (48.88%)</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Malaysia</w:t>
            </w:r>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Almo Systems Sdn Bhd (48.88%)</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Malaysia</w:t>
            </w:r>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Group 4 Falck CMS Sdn Bhd (48.88%)</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Malaysia</w:t>
            </w:r>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Gwenkens Security Services Sdn Bhd (43.99%)</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Malaysia</w:t>
            </w:r>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Safeguards Academy Sdn Bhd (43.99%)</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Malaysia</w:t>
            </w:r>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Gwenkens Central Monitoring Sdn Bhd (43.99%)</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Malaysia</w:t>
            </w:r>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Safeguards Secure Solution (Sarawak) Sdn Bhd (48.88%)</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Malaysia</w:t>
            </w:r>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Safeguards Security Systems Solutions Sdn. Bhd. (48.88%)</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Malaysia</w:t>
            </w:r>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Cash Solutions S.A.</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Dominican Republic</w:t>
            </w:r>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Secure Solutions S.A.</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Dominican Republic</w:t>
            </w:r>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Brink’s Si International Logistics (Hong Kong) Limited </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Hong Kong</w:t>
            </w:r>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G4S International Logistics Holdings (Thailand) Limited (48.99%)</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Thailand</w:t>
            </w:r>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Si International Logistics (Middle East) FZE</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Dubai (UAE)</w:t>
            </w:r>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Brokerage Company, Incorporated</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Delaware</w:t>
            </w:r>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C.l.S., Inc.</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Delaware</w:t>
            </w:r>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Cambodia, Inc.</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Delaware</w:t>
            </w:r>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Global Services International, Inc</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Delaware</w:t>
            </w:r>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ATM Operations East, Inc.</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Delaware</w:t>
            </w:r>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Global Services USA, Inc.</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Delaware</w:t>
            </w:r>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International Management Group, Inc.</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Delaware</w:t>
            </w:r>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Network, Incorporated</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Delaware</w:t>
            </w:r>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Myanmar, Limited</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Delaware</w:t>
            </w:r>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Vietnam, Incorporated</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Delaware</w:t>
            </w:r>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Asia Pacific Limited</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Hong Kong</w:t>
            </w:r>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Australia Pty Ltd.</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Australia</w:t>
            </w:r>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Cavalier Insurance Company Ltd.</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Bermuda</w:t>
            </w:r>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Global Services FZE</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Dubai (UAE)</w:t>
            </w:r>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Diamond Title DMCC</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Dubai (UAE)</w:t>
            </w:r>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Gulf LLC (49%)</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Dubai (UAE)</w:t>
            </w:r>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for Logistics Services (Limited Liability One Person Co.)</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Saudi Arabia</w:t>
            </w:r>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Beteiligungsgesellschaft mbH</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Germany</w:t>
            </w:r>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Global Services Deutschland GmbH</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Germany</w:t>
            </w:r>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Far East Limited</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Hong Kong</w:t>
            </w:r>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Ireland Limited</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Ireland</w:t>
            </w:r>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ATM Services Limited</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Ireland</w:t>
            </w:r>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Holdings Limited</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Israel</w:t>
            </w:r>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(Israel) Limited (90%)</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Israel</w:t>
            </w:r>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Blue Ltd (90%)</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Israel</w:t>
            </w:r>
          </w:p>
        </w:tc>
      </w:tr>
      <w:tr>
        <w:trPr/>
        <w:tc>
          <w:tcPr>
            <w:tcW w:w="5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Global Services S.r.L.</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Italy</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69" name="Frame1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2</w:t>
                      </w:r>
                    </w:p>
                  </w:txbxContent>
                </v:textbox>
                <w10:wrap type="none"/>
              </v:rect>
            </w:pict>
          </mc:Fallback>
        </mc:AlternateContent>
      </w:r>
    </w:p>
    <w:tbl>
      <w:tblPr>
        <w:tblW w:w="7274" w:type="dxa"/>
        <w:jc w:val="left"/>
        <w:tblInd w:w="0" w:type="dxa"/>
        <w:tblLayout w:type="fixed"/>
        <w:tblCellMar>
          <w:top w:w="28" w:type="dxa"/>
          <w:left w:w="28" w:type="dxa"/>
          <w:bottom w:w="28" w:type="dxa"/>
          <w:right w:w="28" w:type="dxa"/>
        </w:tblCellMar>
      </w:tblPr>
      <w:tblGrid>
        <w:gridCol w:w="1762"/>
        <w:gridCol w:w="1551"/>
        <w:gridCol w:w="1561"/>
        <w:gridCol w:w="702"/>
        <w:gridCol w:w="702"/>
        <w:gridCol w:w="996"/>
      </w:tblGrid>
      <w:tr>
        <w:trPr/>
        <w:tc>
          <w:tcPr>
            <w:tcW w:w="1762"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Company</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rPr>
              <w:t xml:space="preserve">Jurisdiction of </w:t>
            </w:r>
            <w:r>
              <w:rPr>
                <w:rFonts w:ascii="Arial;sans-serif" w:hAnsi="Arial;sans-serif"/>
                <w:b w:val="false"/>
                <w:color w:val="000000"/>
                <w:sz w:val="18"/>
                <w:u w:val="single"/>
              </w:rPr>
              <w:t>Incorporation</w:t>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Brink’s Japan Limited </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Japan</w:t>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Luxembourg S.A.</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Luxembourg</w:t>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Security Luxembourg S.A.</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Luxembourg</w:t>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BK Services S.a.r.l.</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Luxembourg</w:t>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Brink’s Cash Solutions (Luxembourg) S.a.r.l. </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Luxembourg</w:t>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Alarm &amp; Security Technologies</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Luxembourg</w:t>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Baltics AS</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Estonia</w:t>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Brink’s Estonia OÜ </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Estonia</w:t>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UAB Brink’s Lithuania</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Lithuania</w:t>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 Brink’s Latvia</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Latvia</w:t>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Brink’s Global Services </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Mexico</w:t>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Proteccion de Valores, S.A.</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Panama</w:t>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Transportadora de Valores del Sur Limitada</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Colombia</w:t>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TVS Pagos, Recaudos y Procesos S.A.S.</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630"/>
              <w:jc w:val="left"/>
              <w:rPr>
                <w:rFonts w:ascii="Arial;sans-serif" w:hAnsi="Arial;sans-serif"/>
                <w:b w:val="false"/>
                <w:color w:val="000000"/>
                <w:sz w:val="18"/>
              </w:rPr>
            </w:pPr>
            <w:r>
              <w:rPr>
                <w:rFonts w:ascii="Arial;sans-serif" w:hAnsi="Arial;sans-serif"/>
                <w:b w:val="false"/>
                <w:color w:val="000000"/>
                <w:sz w:val="18"/>
              </w:rPr>
              <w:t>Colombia</w:t>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Korala Associates Limited (13.93%)</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70"/>
              <w:jc w:val="left"/>
              <w:rPr>
                <w:rFonts w:ascii="Arial;sans-serif" w:hAnsi="Arial;sans-serif"/>
                <w:b w:val="false"/>
                <w:color w:val="000000"/>
                <w:sz w:val="18"/>
              </w:rPr>
            </w:pPr>
            <w:r>
              <w:rPr>
                <w:rFonts w:ascii="Arial;sans-serif" w:hAnsi="Arial;sans-serif"/>
                <w:b w:val="false"/>
                <w:color w:val="000000"/>
                <w:sz w:val="18"/>
              </w:rPr>
              <w:t>United Kingdom</w:t>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KAL Software, Inc. (13.93%)</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70"/>
              <w:jc w:val="left"/>
              <w:rPr>
                <w:rFonts w:ascii="Arial;sans-serif" w:hAnsi="Arial;sans-serif"/>
                <w:b w:val="false"/>
                <w:color w:val="000000"/>
                <w:sz w:val="18"/>
              </w:rPr>
            </w:pPr>
            <w:r>
              <w:rPr>
                <w:rFonts w:ascii="Arial;sans-serif" w:hAnsi="Arial;sans-serif"/>
                <w:b w:val="false"/>
                <w:color w:val="000000"/>
                <w:sz w:val="18"/>
              </w:rPr>
              <w:t>Ohio</w:t>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KAL Software Mexico S.A. de C.V. (13.93%)</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70"/>
              <w:jc w:val="left"/>
              <w:rPr>
                <w:rFonts w:ascii="Arial;sans-serif" w:hAnsi="Arial;sans-serif"/>
                <w:b w:val="false"/>
                <w:color w:val="000000"/>
                <w:sz w:val="18"/>
              </w:rPr>
            </w:pPr>
            <w:r>
              <w:rPr>
                <w:rFonts w:ascii="Arial;sans-serif" w:hAnsi="Arial;sans-serif"/>
                <w:b w:val="false"/>
                <w:color w:val="000000"/>
                <w:sz w:val="18"/>
              </w:rPr>
              <w:t>Mexico</w:t>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KAL ATM Software India Pvt Ltd (13.93%)</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70"/>
              <w:jc w:val="left"/>
              <w:rPr>
                <w:rFonts w:ascii="Arial;sans-serif" w:hAnsi="Arial;sans-serif"/>
                <w:b w:val="false"/>
                <w:color w:val="000000"/>
                <w:sz w:val="18"/>
              </w:rPr>
            </w:pPr>
            <w:r>
              <w:rPr>
                <w:rFonts w:ascii="Arial;sans-serif" w:hAnsi="Arial;sans-serif"/>
                <w:b w:val="false"/>
                <w:color w:val="000000"/>
                <w:sz w:val="18"/>
              </w:rPr>
              <w:t>India</w:t>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KAL Italy S.R.L. (13.93%)</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70"/>
              <w:jc w:val="left"/>
              <w:rPr>
                <w:rFonts w:ascii="Arial;sans-serif" w:hAnsi="Arial;sans-serif"/>
                <w:b w:val="false"/>
                <w:color w:val="000000"/>
                <w:sz w:val="18"/>
              </w:rPr>
            </w:pPr>
            <w:r>
              <w:rPr>
                <w:rFonts w:ascii="Arial;sans-serif" w:hAnsi="Arial;sans-serif"/>
                <w:b w:val="false"/>
                <w:color w:val="000000"/>
                <w:sz w:val="18"/>
              </w:rPr>
              <w:t>Italy</w:t>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KAL Software Bucharest SRL (13.93%)</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70"/>
              <w:jc w:val="left"/>
              <w:rPr>
                <w:rFonts w:ascii="Arial;sans-serif" w:hAnsi="Arial;sans-serif"/>
                <w:b w:val="false"/>
                <w:color w:val="000000"/>
                <w:sz w:val="18"/>
              </w:rPr>
            </w:pPr>
            <w:r>
              <w:rPr>
                <w:rFonts w:ascii="Arial;sans-serif" w:hAnsi="Arial;sans-serif"/>
                <w:b w:val="false"/>
                <w:color w:val="000000"/>
                <w:sz w:val="18"/>
              </w:rPr>
              <w:t>Romania</w:t>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KAL Software Pty Limited (13.93%)</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70"/>
              <w:jc w:val="left"/>
              <w:rPr>
                <w:rFonts w:ascii="Arial;sans-serif" w:hAnsi="Arial;sans-serif"/>
                <w:b w:val="false"/>
                <w:color w:val="000000"/>
                <w:sz w:val="18"/>
              </w:rPr>
            </w:pPr>
            <w:r>
              <w:rPr>
                <w:rFonts w:ascii="Arial;sans-serif" w:hAnsi="Arial;sans-serif"/>
                <w:b w:val="false"/>
                <w:color w:val="000000"/>
                <w:sz w:val="18"/>
              </w:rPr>
              <w:t>Australia</w:t>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KAL Technology (Shenzhen) Limited (13.93%)</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70"/>
              <w:jc w:val="left"/>
              <w:rPr>
                <w:rFonts w:ascii="Arial;sans-serif" w:hAnsi="Arial;sans-serif"/>
                <w:b w:val="false"/>
                <w:color w:val="000000"/>
                <w:sz w:val="18"/>
              </w:rPr>
            </w:pPr>
            <w:r>
              <w:rPr>
                <w:rFonts w:ascii="Arial;sans-serif" w:hAnsi="Arial;sans-serif"/>
                <w:b w:val="false"/>
                <w:color w:val="000000"/>
                <w:sz w:val="18"/>
              </w:rPr>
              <w:t>China</w:t>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KAL Software FZ LLC (13.93%)</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70"/>
              <w:jc w:val="left"/>
              <w:rPr>
                <w:rFonts w:ascii="Arial;sans-serif" w:hAnsi="Arial;sans-serif"/>
                <w:b w:val="false"/>
                <w:color w:val="000000"/>
                <w:sz w:val="18"/>
              </w:rPr>
            </w:pPr>
            <w:r>
              <w:rPr>
                <w:rFonts w:ascii="Arial;sans-serif" w:hAnsi="Arial;sans-serif"/>
                <w:b w:val="false"/>
                <w:color w:val="000000"/>
                <w:sz w:val="18"/>
              </w:rPr>
              <w:t>United Arab Emirates</w:t>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KAL Software CPC (Private) Limited (13.93%)</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70"/>
              <w:jc w:val="left"/>
              <w:rPr>
                <w:rFonts w:ascii="Arial;sans-serif" w:hAnsi="Arial;sans-serif"/>
                <w:b w:val="false"/>
                <w:color w:val="000000"/>
                <w:sz w:val="18"/>
              </w:rPr>
            </w:pPr>
            <w:r>
              <w:rPr>
                <w:rFonts w:ascii="Arial;sans-serif" w:hAnsi="Arial;sans-serif"/>
                <w:b w:val="false"/>
                <w:color w:val="000000"/>
                <w:sz w:val="18"/>
              </w:rPr>
              <w:t>Sri Lanka</w:t>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KAL ATM Software GmbH (13.93%)</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Germany</w:t>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KAL Software Vietnam Company Limited (13.93%)</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70"/>
              <w:jc w:val="left"/>
              <w:rPr>
                <w:rFonts w:ascii="Arial;sans-serif" w:hAnsi="Arial;sans-serif"/>
                <w:b w:val="false"/>
                <w:color w:val="000000"/>
                <w:sz w:val="18"/>
              </w:rPr>
            </w:pPr>
            <w:r>
              <w:rPr>
                <w:rFonts w:ascii="Arial;sans-serif" w:hAnsi="Arial;sans-serif"/>
                <w:b w:val="false"/>
                <w:color w:val="000000"/>
                <w:sz w:val="18"/>
              </w:rPr>
              <w:t>Vietnam</w:t>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Possavi Netherlands B.V. (13.93%)</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Netherlands</w:t>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Possavi UK Ltd (13.93 %)</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United Kingdom</w:t>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International, C.V. (“BICV”)</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Netherlands</w:t>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Inversiones Brink’s Chile Limitada </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Chile</w:t>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Transgamboa SpA </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Chile</w:t>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Soluciones Logisticas SpA</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Chile</w:t>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Global Services Chile SpA</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Chile</w:t>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Chile, SpA</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Chile</w:t>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Centro De Capacitaciόn Aprendizaje Y Desarrollo SpA </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Chile</w:t>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de Colombia S.A.</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Colombia</w:t>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e-Pago de Colombia S.A.</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Colombia</w:t>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Domesa de Colombia S.A.</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Colombia</w:t>
            </w:r>
          </w:p>
        </w:tc>
      </w:tr>
      <w:tr>
        <w:trPr/>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Procesos &amp; Canje S.A. </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Colombia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70" name="Frame1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3</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825"/>
        <w:gridCol w:w="2481"/>
        <w:gridCol w:w="2501"/>
        <w:gridCol w:w="700"/>
        <w:gridCol w:w="700"/>
        <w:gridCol w:w="998"/>
      </w:tblGrid>
      <w:tr>
        <w:trPr/>
        <w:tc>
          <w:tcPr>
            <w:tcW w:w="2825" w:type="dxa"/>
            <w:tcBorders/>
            <w:vAlign w:val="center"/>
          </w:tcPr>
          <w:p>
            <w:pPr>
              <w:pStyle w:val="TableContents"/>
              <w:bidi w:val="0"/>
              <w:spacing w:before="0" w:after="283"/>
              <w:jc w:val="left"/>
              <w:rPr>
                <w:sz w:val="4"/>
                <w:szCs w:val="4"/>
              </w:rPr>
            </w:pPr>
            <w:r>
              <w:rPr>
                <w:sz w:val="4"/>
                <w:szCs w:val="4"/>
              </w:rPr>
            </w:r>
          </w:p>
        </w:tc>
        <w:tc>
          <w:tcPr>
            <w:tcW w:w="2481"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r>
      <w:tr>
        <w:trPr/>
        <w:tc>
          <w:tcPr>
            <w:tcW w:w="7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Company</w:t>
            </w:r>
          </w:p>
        </w:tc>
        <w:tc>
          <w:tcPr>
            <w:tcW w:w="239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rPr>
              <w:t xml:space="preserve">Jurisdiction of </w:t>
            </w:r>
            <w:r>
              <w:rPr>
                <w:rFonts w:ascii="Arial;sans-serif" w:hAnsi="Arial;sans-serif"/>
                <w:b w:val="false"/>
                <w:color w:val="000000"/>
                <w:sz w:val="18"/>
                <w:u w:val="single"/>
              </w:rPr>
              <w:t>Incorporation</w:t>
            </w:r>
          </w:p>
        </w:tc>
      </w:tr>
      <w:tr>
        <w:trPr/>
        <w:tc>
          <w:tcPr>
            <w:tcW w:w="7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Sistema Integrado Multiple de Pago Electronicos S.A. (25%)</w:t>
            </w:r>
          </w:p>
        </w:tc>
        <w:tc>
          <w:tcPr>
            <w:tcW w:w="2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Colombia</w:t>
            </w:r>
          </w:p>
        </w:tc>
      </w:tr>
      <w:tr>
        <w:trPr/>
        <w:tc>
          <w:tcPr>
            <w:tcW w:w="7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Brink’s Canada Holdings, B.V. </w:t>
            </w:r>
          </w:p>
        </w:tc>
        <w:tc>
          <w:tcPr>
            <w:tcW w:w="2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Netherlands</w:t>
            </w:r>
          </w:p>
        </w:tc>
      </w:tr>
      <w:tr>
        <w:trPr/>
        <w:tc>
          <w:tcPr>
            <w:tcW w:w="7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Canada Limited</w:t>
            </w:r>
          </w:p>
        </w:tc>
        <w:tc>
          <w:tcPr>
            <w:tcW w:w="2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Canada</w:t>
            </w:r>
          </w:p>
        </w:tc>
      </w:tr>
      <w:tr>
        <w:trPr/>
        <w:tc>
          <w:tcPr>
            <w:tcW w:w="7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Brink’s Dutch Holdings, B.V. </w:t>
            </w:r>
          </w:p>
        </w:tc>
        <w:tc>
          <w:tcPr>
            <w:tcW w:w="2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Netherlands</w:t>
            </w:r>
          </w:p>
        </w:tc>
      </w:tr>
      <w:tr>
        <w:trPr/>
        <w:tc>
          <w:tcPr>
            <w:tcW w:w="7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Solutions Holdings B.V.</w:t>
            </w:r>
          </w:p>
        </w:tc>
        <w:tc>
          <w:tcPr>
            <w:tcW w:w="2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Netherlands</w:t>
            </w:r>
          </w:p>
        </w:tc>
      </w:tr>
      <w:tr>
        <w:trPr/>
        <w:tc>
          <w:tcPr>
            <w:tcW w:w="7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Brink’s Cash Management (NL) B.V. </w:t>
            </w:r>
          </w:p>
        </w:tc>
        <w:tc>
          <w:tcPr>
            <w:tcW w:w="2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Netherlands</w:t>
            </w:r>
          </w:p>
        </w:tc>
      </w:tr>
      <w:tr>
        <w:trPr/>
        <w:tc>
          <w:tcPr>
            <w:tcW w:w="7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Brink’s Solutions Nederland B.V. </w:t>
            </w:r>
          </w:p>
        </w:tc>
        <w:tc>
          <w:tcPr>
            <w:tcW w:w="2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Netherlands</w:t>
            </w:r>
          </w:p>
        </w:tc>
      </w:tr>
      <w:tr>
        <w:trPr/>
        <w:tc>
          <w:tcPr>
            <w:tcW w:w="7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CashService Holding NL B.V.</w:t>
            </w:r>
          </w:p>
        </w:tc>
        <w:tc>
          <w:tcPr>
            <w:tcW w:w="2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Netherlands</w:t>
            </w:r>
          </w:p>
        </w:tc>
      </w:tr>
      <w:tr>
        <w:trPr/>
        <w:tc>
          <w:tcPr>
            <w:tcW w:w="7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Cashservice NL B.V.</w:t>
            </w:r>
          </w:p>
        </w:tc>
        <w:tc>
          <w:tcPr>
            <w:tcW w:w="2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Netherlands</w:t>
            </w:r>
          </w:p>
        </w:tc>
      </w:tr>
      <w:tr>
        <w:trPr/>
        <w:tc>
          <w:tcPr>
            <w:tcW w:w="7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Portugal, Unipessoal Lda</w:t>
            </w:r>
          </w:p>
        </w:tc>
        <w:tc>
          <w:tcPr>
            <w:tcW w:w="239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Portugal</w:t>
            </w:r>
          </w:p>
        </w:tc>
      </w:tr>
      <w:tr>
        <w:trPr/>
        <w:tc>
          <w:tcPr>
            <w:tcW w:w="7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Brink’s Hellenic Holdings, B.V. </w:t>
            </w:r>
          </w:p>
        </w:tc>
        <w:tc>
          <w:tcPr>
            <w:tcW w:w="2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Netherlands</w:t>
            </w:r>
          </w:p>
        </w:tc>
      </w:tr>
      <w:tr>
        <w:trPr/>
        <w:tc>
          <w:tcPr>
            <w:tcW w:w="7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Athena Marathon Holdings, B.V. </w:t>
            </w:r>
          </w:p>
        </w:tc>
        <w:tc>
          <w:tcPr>
            <w:tcW w:w="2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Netherlands</w:t>
            </w:r>
          </w:p>
        </w:tc>
      </w:tr>
      <w:tr>
        <w:trPr/>
        <w:tc>
          <w:tcPr>
            <w:tcW w:w="7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Apollo Acropolis Holdings, B.V.</w:t>
            </w:r>
          </w:p>
        </w:tc>
        <w:tc>
          <w:tcPr>
            <w:tcW w:w="2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Netherlands</w:t>
            </w:r>
          </w:p>
        </w:tc>
      </w:tr>
      <w:tr>
        <w:trPr/>
        <w:tc>
          <w:tcPr>
            <w:tcW w:w="7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Brink’s Bolivia S.A. </w:t>
            </w:r>
          </w:p>
        </w:tc>
        <w:tc>
          <w:tcPr>
            <w:tcW w:w="2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Bolivia</w:t>
            </w:r>
          </w:p>
        </w:tc>
      </w:tr>
      <w:tr>
        <w:trPr/>
        <w:tc>
          <w:tcPr>
            <w:tcW w:w="7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Hermes Delphi Holdings, B.V, </w:t>
            </w:r>
          </w:p>
        </w:tc>
        <w:tc>
          <w:tcPr>
            <w:tcW w:w="2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Netherlands</w:t>
            </w:r>
          </w:p>
        </w:tc>
      </w:tr>
      <w:tr>
        <w:trPr/>
        <w:tc>
          <w:tcPr>
            <w:tcW w:w="780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Kanyoa Investment, Inc.</w:t>
            </w:r>
          </w:p>
        </w:tc>
        <w:tc>
          <w:tcPr>
            <w:tcW w:w="239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Panama</w:t>
            </w:r>
          </w:p>
        </w:tc>
      </w:tr>
      <w:tr>
        <w:trPr/>
        <w:tc>
          <w:tcPr>
            <w:tcW w:w="7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Zeus Oedipus Holdings, B.V. </w:t>
            </w:r>
          </w:p>
        </w:tc>
        <w:tc>
          <w:tcPr>
            <w:tcW w:w="2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Netherlands</w:t>
            </w:r>
          </w:p>
        </w:tc>
      </w:tr>
      <w:tr>
        <w:trPr/>
        <w:tc>
          <w:tcPr>
            <w:tcW w:w="7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Brink’s Hellas Commercial S.A. – Information Technology Services </w:t>
            </w:r>
          </w:p>
        </w:tc>
        <w:tc>
          <w:tcPr>
            <w:tcW w:w="2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Greece</w:t>
            </w:r>
          </w:p>
        </w:tc>
      </w:tr>
      <w:tr>
        <w:trPr/>
        <w:tc>
          <w:tcPr>
            <w:tcW w:w="7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Cash &amp; Valuable Services S.A.</w:t>
            </w:r>
          </w:p>
        </w:tc>
        <w:tc>
          <w:tcPr>
            <w:tcW w:w="2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Greece</w:t>
            </w:r>
          </w:p>
        </w:tc>
      </w:tr>
      <w:tr>
        <w:trPr/>
        <w:tc>
          <w:tcPr>
            <w:tcW w:w="7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Brink’s Security Services SA </w:t>
            </w:r>
          </w:p>
        </w:tc>
        <w:tc>
          <w:tcPr>
            <w:tcW w:w="2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Greece</w:t>
            </w:r>
          </w:p>
        </w:tc>
      </w:tr>
      <w:tr>
        <w:trPr/>
        <w:tc>
          <w:tcPr>
            <w:tcW w:w="7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Novacon-Brink’s-Labolaget Joint Venture (34%)</w:t>
            </w:r>
          </w:p>
        </w:tc>
        <w:tc>
          <w:tcPr>
            <w:tcW w:w="2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Greece</w:t>
            </w:r>
          </w:p>
        </w:tc>
      </w:tr>
      <w:tr>
        <w:trPr/>
        <w:tc>
          <w:tcPr>
            <w:tcW w:w="7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Aviation Security Services S.A. (70%)</w:t>
            </w:r>
          </w:p>
        </w:tc>
        <w:tc>
          <w:tcPr>
            <w:tcW w:w="2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Greece</w:t>
            </w:r>
          </w:p>
        </w:tc>
      </w:tr>
      <w:tr>
        <w:trPr/>
        <w:tc>
          <w:tcPr>
            <w:tcW w:w="7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Brink’s Monitoring Center S.A. </w:t>
            </w:r>
          </w:p>
        </w:tc>
        <w:tc>
          <w:tcPr>
            <w:tcW w:w="2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Greece</w:t>
            </w:r>
          </w:p>
        </w:tc>
      </w:tr>
      <w:tr>
        <w:trPr/>
        <w:tc>
          <w:tcPr>
            <w:tcW w:w="7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Hellenic Central Station SA - Reception &amp; Processing Centre of Electronic Signals (10%)</w:t>
            </w:r>
          </w:p>
        </w:tc>
        <w:tc>
          <w:tcPr>
            <w:tcW w:w="2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Greece</w:t>
            </w:r>
          </w:p>
        </w:tc>
      </w:tr>
      <w:tr>
        <w:trPr/>
        <w:tc>
          <w:tcPr>
            <w:tcW w:w="7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BHM Human Resources Mexico Holding, S.A. de C.V.</w:t>
            </w:r>
          </w:p>
        </w:tc>
        <w:tc>
          <w:tcPr>
            <w:tcW w:w="2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Mexico</w:t>
            </w:r>
          </w:p>
        </w:tc>
      </w:tr>
      <w:tr>
        <w:trPr/>
        <w:tc>
          <w:tcPr>
            <w:tcW w:w="7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Servicios Administrativo</w:t>
            </w:r>
          </w:p>
        </w:tc>
        <w:tc>
          <w:tcPr>
            <w:tcW w:w="2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Mexico</w:t>
            </w:r>
          </w:p>
        </w:tc>
      </w:tr>
      <w:tr>
        <w:trPr/>
        <w:tc>
          <w:tcPr>
            <w:tcW w:w="7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BM Control y Administracion de Personal, S.A. de C.V.</w:t>
            </w:r>
          </w:p>
        </w:tc>
        <w:tc>
          <w:tcPr>
            <w:tcW w:w="2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Mexico</w:t>
            </w:r>
          </w:p>
        </w:tc>
      </w:tr>
      <w:tr>
        <w:trPr/>
        <w:tc>
          <w:tcPr>
            <w:tcW w:w="7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Argentina S.A.</w:t>
            </w:r>
          </w:p>
        </w:tc>
        <w:tc>
          <w:tcPr>
            <w:tcW w:w="2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Argentina</w:t>
            </w:r>
          </w:p>
        </w:tc>
      </w:tr>
      <w:tr>
        <w:trPr/>
        <w:tc>
          <w:tcPr>
            <w:tcW w:w="7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Ducit, S.A.</w:t>
            </w:r>
          </w:p>
        </w:tc>
        <w:tc>
          <w:tcPr>
            <w:tcW w:w="2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Argentina</w:t>
            </w:r>
          </w:p>
        </w:tc>
      </w:tr>
      <w:tr>
        <w:trPr/>
        <w:tc>
          <w:tcPr>
            <w:tcW w:w="7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Seguridad Corporativa S.A. (99.6%)</w:t>
            </w:r>
          </w:p>
        </w:tc>
        <w:tc>
          <w:tcPr>
            <w:tcW w:w="2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Argentina</w:t>
            </w:r>
          </w:p>
        </w:tc>
      </w:tr>
      <w:tr>
        <w:trPr/>
        <w:tc>
          <w:tcPr>
            <w:tcW w:w="7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Logistica, S.A. (98%)</w:t>
            </w:r>
          </w:p>
        </w:tc>
        <w:tc>
          <w:tcPr>
            <w:tcW w:w="2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Argentina</w:t>
            </w:r>
          </w:p>
        </w:tc>
      </w:tr>
      <w:tr>
        <w:trPr/>
        <w:tc>
          <w:tcPr>
            <w:tcW w:w="7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Brink’s India Private Limited </w:t>
            </w:r>
          </w:p>
        </w:tc>
        <w:tc>
          <w:tcPr>
            <w:tcW w:w="2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India</w:t>
            </w:r>
          </w:p>
        </w:tc>
      </w:tr>
      <w:tr>
        <w:trPr/>
        <w:tc>
          <w:tcPr>
            <w:tcW w:w="7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Brink’s Asia Holding (NL) B.V </w:t>
            </w:r>
          </w:p>
        </w:tc>
        <w:tc>
          <w:tcPr>
            <w:tcW w:w="2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Netherlands</w:t>
            </w:r>
          </w:p>
        </w:tc>
      </w:tr>
      <w:tr>
        <w:trPr/>
        <w:tc>
          <w:tcPr>
            <w:tcW w:w="7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PT BRINKS SOLUTIONS INDONESIA (83.85%) </w:t>
            </w:r>
          </w:p>
        </w:tc>
        <w:tc>
          <w:tcPr>
            <w:tcW w:w="2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Indonesia</w:t>
            </w:r>
          </w:p>
        </w:tc>
      </w:tr>
      <w:tr>
        <w:trPr/>
        <w:tc>
          <w:tcPr>
            <w:tcW w:w="7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PT Indonesia Cash Systems (83.85%)</w:t>
            </w:r>
          </w:p>
        </w:tc>
        <w:tc>
          <w:tcPr>
            <w:tcW w:w="2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Indonesia</w:t>
            </w:r>
          </w:p>
        </w:tc>
      </w:tr>
      <w:tr>
        <w:trPr/>
        <w:tc>
          <w:tcPr>
            <w:tcW w:w="7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Mongolia LLC (51%)</w:t>
            </w:r>
          </w:p>
        </w:tc>
        <w:tc>
          <w:tcPr>
            <w:tcW w:w="2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Mongolia</w:t>
            </w:r>
          </w:p>
        </w:tc>
      </w:tr>
      <w:tr>
        <w:trPr/>
        <w:tc>
          <w:tcPr>
            <w:tcW w:w="7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Servicio Pan Americano de Proteccion C.A. (61%)</w:t>
            </w:r>
          </w:p>
        </w:tc>
        <w:tc>
          <w:tcPr>
            <w:tcW w:w="2398"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8"/>
              </w:rPr>
            </w:pPr>
            <w:r>
              <w:rPr>
                <w:rFonts w:ascii="Arial;sans-serif" w:hAnsi="Arial;sans-serif"/>
                <w:b w:val="false"/>
                <w:color w:val="000000"/>
                <w:sz w:val="18"/>
              </w:rPr>
              <w:t>Venezuela</w:t>
            </w:r>
          </w:p>
        </w:tc>
      </w:tr>
      <w:tr>
        <w:trPr/>
        <w:tc>
          <w:tcPr>
            <w:tcW w:w="7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Documentos Mercantiles, S.A. (61%)</w:t>
            </w:r>
          </w:p>
        </w:tc>
        <w:tc>
          <w:tcPr>
            <w:tcW w:w="2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Venezuela</w:t>
            </w:r>
          </w:p>
        </w:tc>
      </w:tr>
      <w:tr>
        <w:trPr/>
        <w:tc>
          <w:tcPr>
            <w:tcW w:w="7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Instituto Panamericano, C.A. (61%)</w:t>
            </w:r>
          </w:p>
        </w:tc>
        <w:tc>
          <w:tcPr>
            <w:tcW w:w="2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Venezuela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71" name="Frame1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4</w:t>
                      </w:r>
                    </w:p>
                  </w:txbxContent>
                </v:textbox>
                <w10:wrap type="none"/>
              </v:rect>
            </w:pict>
          </mc:Fallback>
        </mc:AlternateContent>
      </w:r>
    </w:p>
    <w:tbl>
      <w:tblPr>
        <w:tblW w:w="7259" w:type="dxa"/>
        <w:jc w:val="left"/>
        <w:tblInd w:w="0" w:type="dxa"/>
        <w:tblLayout w:type="fixed"/>
        <w:tblCellMar>
          <w:top w:w="28" w:type="dxa"/>
          <w:left w:w="28" w:type="dxa"/>
          <w:bottom w:w="28" w:type="dxa"/>
          <w:right w:w="28" w:type="dxa"/>
        </w:tblCellMar>
      </w:tblPr>
      <w:tblGrid>
        <w:gridCol w:w="1756"/>
        <w:gridCol w:w="1545"/>
        <w:gridCol w:w="1558"/>
        <w:gridCol w:w="702"/>
        <w:gridCol w:w="702"/>
        <w:gridCol w:w="996"/>
      </w:tblGrid>
      <w:tr>
        <w:trPr/>
        <w:tc>
          <w:tcPr>
            <w:tcW w:w="1756"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Company</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rPr>
              <w:t xml:space="preserve">Jurisdiction of </w:t>
            </w:r>
            <w:r>
              <w:rPr>
                <w:rFonts w:ascii="Arial;sans-serif" w:hAnsi="Arial;sans-serif"/>
                <w:b w:val="false"/>
                <w:color w:val="000000"/>
                <w:sz w:val="18"/>
                <w:u w:val="single"/>
              </w:rPr>
              <w:t>Incorporation</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Intergraficas Panama, S.A. (61%)</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Panama</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Panamericana de Vigilancia, S.A. (61%)</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Venezuela</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Transportes Expresos, C.A. (61%)</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Venezuela</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Tepuy Inmobiliaria VII, C.A.</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Venezuela</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Panama S.A.</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Panama</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Business Process Intelligence Inc.</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Panama</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Global Services Poland Sp.zo.o.</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Poland </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Brink’s International Holdings AG </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Switzerland</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Brink’s Holding (Hong Kong) Limited </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Hong Kong</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Cash Solutions (Hong Kong) Limited</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Hong Kong</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Bolivar Business S.A. </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Panama</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BPOINT S.R.L.</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Bolivia</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Panamerican Protective Service Sint Maarten, N.V. </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Sint Maarten</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Servicio Panamericano de Proteccion (Curacao), N.V. </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Curacao</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Domesa Curacao, N.V. </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Curacao</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Domesa, N.V. </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Aruba</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Servicio Panamericano de Vigilancia (Curacao), N.V. </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Curacao</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France SAS</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France</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 T S SAS</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France </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(Mauritius) Ltd</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Mauritius</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Brink’s Antilles SAS </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Guadeloupe (FR)</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Evolution SAS</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France</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Formation S.A.R.L.</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France</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Payment Services SAS</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France</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Madagascar S.A. (60%)</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Madagascar</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Maroc S.A.S.</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Morocco</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Process Outsourcing, SAS</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France</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Reunion S.A.R.L.</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 Réunion (FR)</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Cyrasa Servicios de Control SA</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Spain</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Maartenval NV</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Sint Maarten</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Security &amp; Risk Management Training Centre Ltd</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Mauritius</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Brink’s Solutions Belgium </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Belgium</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Brink’s Cash Services (Ireland) Limited </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Ireland</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Brink’s Cash Solutions Holding (NL) B.V. </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Netherlands</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Brink’s Cash Solutions (CZ) a.s. </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Czech Republic</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Brink’s Cash Solutions Services (CZ) s.r.o. </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Czech Republic</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Cash Solutions (RO) SRL</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Romania</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Secure Solutions (RO) SRL</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Romania</w:t>
            </w:r>
          </w:p>
        </w:tc>
      </w:tr>
      <w:tr>
        <w:trPr/>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Cyprus (Private Security Services) Limited</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Cyprus</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72" name="Frame1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5</w:t>
                      </w:r>
                    </w:p>
                  </w:txbxContent>
                </v:textbox>
                <w10:wrap type="none"/>
              </v:rect>
            </w:pict>
          </mc:Fallback>
        </mc:AlternateContent>
      </w:r>
    </w:p>
    <w:tbl>
      <w:tblPr>
        <w:tblW w:w="9060" w:type="dxa"/>
        <w:jc w:val="left"/>
        <w:tblInd w:w="0" w:type="dxa"/>
        <w:tblLayout w:type="fixed"/>
        <w:tblCellMar>
          <w:top w:w="28" w:type="dxa"/>
          <w:left w:w="28" w:type="dxa"/>
          <w:bottom w:w="28" w:type="dxa"/>
          <w:right w:w="28" w:type="dxa"/>
        </w:tblCellMar>
      </w:tblPr>
      <w:tblGrid>
        <w:gridCol w:w="2406"/>
        <w:gridCol w:w="2116"/>
        <w:gridCol w:w="2138"/>
        <w:gridCol w:w="702"/>
        <w:gridCol w:w="702"/>
        <w:gridCol w:w="996"/>
      </w:tblGrid>
      <w:tr>
        <w:trPr/>
        <w:tc>
          <w:tcPr>
            <w:tcW w:w="2406"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r>
      <w:tr>
        <w:trPr/>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Company</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rPr>
              <w:t xml:space="preserve">Jurisdiction of </w:t>
            </w:r>
            <w:r>
              <w:rPr>
                <w:rFonts w:ascii="Arial;sans-serif" w:hAnsi="Arial;sans-serif"/>
                <w:b w:val="false"/>
                <w:color w:val="000000"/>
                <w:sz w:val="18"/>
                <w:u w:val="single"/>
              </w:rPr>
              <w:t>Incorporation</w:t>
            </w:r>
          </w:p>
        </w:tc>
      </w:tr>
      <w:tr>
        <w:trPr/>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T.I.S. Total Integrated Services Limited (50%) </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Cyprus</w:t>
            </w:r>
          </w:p>
        </w:tc>
      </w:tr>
      <w:tr>
        <w:trPr/>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Global Holdings B.V.</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Netherlands</w:t>
            </w:r>
          </w:p>
        </w:tc>
      </w:tr>
      <w:tr>
        <w:trPr/>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Regional Services B.V.</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Netherlands</w:t>
            </w:r>
          </w:p>
        </w:tc>
      </w:tr>
      <w:tr>
        <w:trPr/>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Trading Ltd.</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Israel</w:t>
            </w:r>
          </w:p>
        </w:tc>
      </w:tr>
      <w:tr>
        <w:trPr/>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Global Services Antwerp</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Belgium</w:t>
            </w:r>
          </w:p>
        </w:tc>
      </w:tr>
      <w:tr>
        <w:trPr/>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Global Services Pte. Ltd.</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Singapore</w:t>
            </w:r>
          </w:p>
        </w:tc>
      </w:tr>
      <w:tr>
        <w:trPr/>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Kenya Limited</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Kenya</w:t>
            </w:r>
          </w:p>
        </w:tc>
      </w:tr>
      <w:tr>
        <w:trPr/>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Switzerland Ltd.</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Switzerland</w:t>
            </w:r>
          </w:p>
        </w:tc>
      </w:tr>
      <w:tr>
        <w:trPr/>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Diamond &amp; Jewelry Services</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Belgium</w:t>
            </w:r>
          </w:p>
        </w:tc>
      </w:tr>
      <w:tr>
        <w:trPr/>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Transpar – Brink’s ATM Ltda.</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Brazil</w:t>
            </w:r>
          </w:p>
        </w:tc>
      </w:tr>
      <w:tr>
        <w:trPr/>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BGS – Agenciamento de Carga e Despacho Aduaneiro Ltda.</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Brazil</w:t>
            </w:r>
          </w:p>
        </w:tc>
      </w:tr>
      <w:tr>
        <w:trPr/>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BSL – Brink’s Solucoes Logisticas Ltda.</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Brazil</w:t>
            </w:r>
          </w:p>
        </w:tc>
      </w:tr>
      <w:tr>
        <w:trPr/>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Brink’s-Seguranca e Transporte de Valores Ltda.</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Brazil</w:t>
            </w:r>
          </w:p>
        </w:tc>
      </w:tr>
      <w:tr>
        <w:trPr/>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BVA-Brink’s Valores Agregados Ltda.</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Brazil</w:t>
            </w:r>
          </w:p>
        </w:tc>
      </w:tr>
      <w:tr>
        <w:trPr/>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Brink’s Hong Kong Limited </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Hong Kong</w:t>
            </w:r>
          </w:p>
        </w:tc>
      </w:tr>
      <w:tr>
        <w:trPr/>
        <w:tc>
          <w:tcPr>
            <w:tcW w:w="66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Brink’s (Shanghai) Finance Equipment Technology Services Co. Limited </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r>
      <w:tr>
        <w:trPr/>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Diamond (Shanghai) Company Limited</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r>
      <w:tr>
        <w:trPr/>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Jewellery Trading (Shanghai) Company Limited</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r>
      <w:tr>
        <w:trPr/>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Security Transportation (Shanghai) Company Limited</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China</w:t>
            </w:r>
          </w:p>
        </w:tc>
      </w:tr>
      <w:tr>
        <w:trPr/>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Global Services Korea Limited – Yunan Hoesa Brink’s Global (80%)</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Korea</w:t>
            </w:r>
          </w:p>
        </w:tc>
      </w:tr>
      <w:tr>
        <w:trPr/>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Singapore Pte Ltd</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Singapore</w:t>
            </w:r>
          </w:p>
        </w:tc>
      </w:tr>
      <w:tr>
        <w:trPr/>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BVC Brink’s Diamond &amp; Jewellery Services LLP (51%)</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India</w:t>
            </w:r>
          </w:p>
        </w:tc>
      </w:tr>
      <w:tr>
        <w:trPr/>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Worldbridge Secure Logistics Co., Ltd. (60%)</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Cambodia</w:t>
            </w:r>
          </w:p>
        </w:tc>
      </w:tr>
      <w:tr>
        <w:trPr/>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(Southern Africa) (Proprietary) Limited</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South Africa</w:t>
            </w:r>
          </w:p>
        </w:tc>
      </w:tr>
      <w:tr>
        <w:trPr/>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Security (Pty) Ltd</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South Africa</w:t>
            </w:r>
          </w:p>
        </w:tc>
      </w:tr>
      <w:tr>
        <w:trPr/>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e-Pago Tecnologia Ltda.</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Brazil</w:t>
            </w:r>
          </w:p>
        </w:tc>
      </w:tr>
      <w:tr>
        <w:trPr/>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Muitofacil Arrecadacao e Recebimento Ltda</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Brazil</w:t>
            </w:r>
          </w:p>
        </w:tc>
      </w:tr>
      <w:tr>
        <w:trPr/>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ePago International Inc.</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Panama</w:t>
            </w:r>
          </w:p>
        </w:tc>
      </w:tr>
      <w:tr>
        <w:trPr/>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ePago S.A. de C.V.</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 xml:space="preserve">Mexico </w:t>
            </w:r>
          </w:p>
        </w:tc>
      </w:tr>
      <w:tr>
        <w:trPr/>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Global Services (BGS) Botswana (Proprietary) Limited</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Botswana</w:t>
            </w:r>
          </w:p>
        </w:tc>
      </w:tr>
      <w:tr>
        <w:trPr/>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Macau Limited</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Macau</w:t>
            </w:r>
          </w:p>
        </w:tc>
      </w:tr>
      <w:tr>
        <w:trPr/>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Brink’s Trading (Taiwan) Co., Ltd. </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Taiwan</w:t>
            </w:r>
          </w:p>
        </w:tc>
      </w:tr>
      <w:tr>
        <w:trPr/>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Vietnam Company Limited</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Vietnam</w:t>
            </w:r>
          </w:p>
        </w:tc>
      </w:tr>
      <w:tr>
        <w:trPr/>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Brink’s Philippines, Inc. (51%) </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Philippines</w:t>
            </w:r>
          </w:p>
        </w:tc>
      </w:tr>
      <w:tr>
        <w:trPr/>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Brink’s Taiwan Security Limited </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Taiwan</w:t>
            </w:r>
          </w:p>
        </w:tc>
      </w:tr>
      <w:tr>
        <w:trPr/>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Security (Thailand) Limited (40%)</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Thailand</w:t>
            </w:r>
          </w:p>
        </w:tc>
      </w:tr>
      <w:tr>
        <w:trPr/>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Global Technology Limited</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Thailand</w:t>
            </w:r>
          </w:p>
        </w:tc>
      </w:tr>
      <w:tr>
        <w:trPr/>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Guvenlik Hizmetleri Anonim Sirketi</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Turkey</w:t>
            </w:r>
          </w:p>
        </w:tc>
      </w:tr>
      <w:tr>
        <w:trPr/>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(UK) Limited</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U.K.</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173" name="Frame1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6</w:t>
                      </w:r>
                    </w:p>
                  </w:txbxContent>
                </v:textbox>
                <w10:wrap type="none"/>
              </v:rect>
            </w:pict>
          </mc:Fallback>
        </mc:AlternateContent>
      </w:r>
    </w:p>
    <w:tbl>
      <w:tblPr>
        <w:tblW w:w="7124" w:type="dxa"/>
        <w:jc w:val="left"/>
        <w:tblInd w:w="0" w:type="dxa"/>
        <w:tblLayout w:type="fixed"/>
        <w:tblCellMar>
          <w:top w:w="28" w:type="dxa"/>
          <w:left w:w="28" w:type="dxa"/>
          <w:bottom w:w="28" w:type="dxa"/>
          <w:right w:w="28" w:type="dxa"/>
        </w:tblCellMar>
      </w:tblPr>
      <w:tblGrid>
        <w:gridCol w:w="1710"/>
        <w:gridCol w:w="1502"/>
        <w:gridCol w:w="1512"/>
        <w:gridCol w:w="702"/>
        <w:gridCol w:w="702"/>
        <w:gridCol w:w="996"/>
      </w:tblGrid>
      <w:tr>
        <w:trPr/>
        <w:tc>
          <w:tcPr>
            <w:tcW w:w="1710"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Company</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rPr>
              <w:t xml:space="preserve">Jurisdiction of </w:t>
            </w:r>
            <w:r>
              <w:rPr>
                <w:rFonts w:ascii="Arial;sans-serif" w:hAnsi="Arial;sans-serif"/>
                <w:b w:val="false"/>
                <w:color w:val="000000"/>
                <w:sz w:val="18"/>
                <w:u w:val="single"/>
              </w:rPr>
              <w:t>Incorporation</w:t>
            </w:r>
          </w:p>
        </w:tc>
      </w:tr>
      <w:tr>
        <w:trPr/>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Limited</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U.K.</w:t>
            </w:r>
          </w:p>
        </w:tc>
      </w:tr>
      <w:tr>
        <w:trPr/>
        <w:tc>
          <w:tcPr>
            <w:tcW w:w="47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Brink’s Limited Co. W.L.L.</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Bahrain</w:t>
            </w:r>
          </w:p>
        </w:tc>
      </w:tr>
      <w:tr>
        <w:trPr/>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NoteMachine Limited </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U.K.</w:t>
            </w:r>
          </w:p>
        </w:tc>
      </w:tr>
      <w:tr>
        <w:trPr/>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ATM Services Limited</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U.K.</w:t>
            </w:r>
          </w:p>
        </w:tc>
      </w:tr>
      <w:tr>
        <w:trPr/>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NoteMachine UK Limited</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U.K.</w:t>
            </w:r>
          </w:p>
        </w:tc>
      </w:tr>
      <w:tr>
        <w:trPr/>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Testlink Services Limited</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U.K.</w:t>
            </w:r>
          </w:p>
        </w:tc>
      </w:tr>
      <w:tr>
        <w:trPr/>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Brink’s Kuwait Holding (NL) B.V. </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Netherlands</w:t>
            </w:r>
          </w:p>
        </w:tc>
      </w:tr>
      <w:tr>
        <w:trPr/>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Al Mulla Security Services Company K.S.C.C. (49%)</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Kuwait</w:t>
            </w:r>
          </w:p>
        </w:tc>
      </w:tr>
      <w:tr>
        <w:trPr/>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Group 4 S Security Solutions Co. WLL (49%)</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Kuwait</w:t>
            </w:r>
          </w:p>
        </w:tc>
      </w:tr>
      <w:tr>
        <w:trPr/>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Global Services, Ltd.</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U.K.</w:t>
            </w:r>
          </w:p>
        </w:tc>
      </w:tr>
      <w:tr>
        <w:trPr/>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Global Services LLC (49%)</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UAE</w:t>
            </w:r>
          </w:p>
        </w:tc>
      </w:tr>
      <w:tr>
        <w:trPr/>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Managed Services Limited 49%)</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UAE</w:t>
            </w:r>
          </w:p>
        </w:tc>
      </w:tr>
      <w:tr>
        <w:trPr/>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Security Services - L.L.C. - S.P.C. (49%)</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UAE</w:t>
            </w:r>
          </w:p>
        </w:tc>
      </w:tr>
      <w:tr>
        <w:trPr/>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BAX Holding Company</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Virginia</w:t>
            </w:r>
          </w:p>
        </w:tc>
      </w:tr>
      <w:tr>
        <w:trPr/>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Brink’s Administrative Services Inc.</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Delaware</w:t>
            </w:r>
          </w:p>
        </w:tc>
      </w:tr>
      <w:tr>
        <w:trPr/>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Pittston Minerals Group Inc.</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Virginia</w:t>
            </w:r>
          </w:p>
        </w:tc>
      </w:tr>
      <w:tr>
        <w:trPr/>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Pittston Coal Company</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Delaware</w:t>
            </w:r>
          </w:p>
        </w:tc>
      </w:tr>
      <w:tr>
        <w:trPr/>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Heartland Coal Company</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Delaware</w:t>
            </w:r>
          </w:p>
        </w:tc>
      </w:tr>
      <w:tr>
        <w:trPr/>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Addington, Inc.</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Kentucky</w:t>
            </w:r>
          </w:p>
        </w:tc>
      </w:tr>
      <w:tr>
        <w:trPr/>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Pittston Coal Management Company</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Virginia</w:t>
            </w:r>
          </w:p>
        </w:tc>
      </w:tr>
      <w:tr>
        <w:trPr/>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Pyxis Resources Company</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Virginia</w:t>
            </w:r>
          </w:p>
        </w:tc>
      </w:tr>
      <w:tr>
        <w:trPr/>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Holston Mining, Inc.</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West Virginia</w:t>
            </w:r>
          </w:p>
        </w:tc>
      </w:tr>
      <w:tr>
        <w:trPr/>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Paramont Coal Corporation</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Delaware</w:t>
            </w:r>
          </w:p>
        </w:tc>
      </w:tr>
      <w:tr>
        <w:trPr/>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Sheridan-Wyoming Coal Company, Incorporated</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Delaware</w:t>
            </w:r>
          </w:p>
        </w:tc>
      </w:tr>
      <w:tr>
        <w:trPr/>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Thames Development Ltd.</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Virginia</w:t>
            </w:r>
          </w:p>
        </w:tc>
      </w:tr>
      <w:tr>
        <w:trPr/>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Buffalo Mining Company</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West Virginia</w:t>
            </w:r>
          </w:p>
        </w:tc>
      </w:tr>
      <w:tr>
        <w:trPr/>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Clinchfield Coal Company</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Virginia</w:t>
            </w:r>
          </w:p>
        </w:tc>
      </w:tr>
      <w:tr>
        <w:trPr/>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Dante Coal Company</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Virginia</w:t>
            </w:r>
          </w:p>
        </w:tc>
      </w:tr>
      <w:tr>
        <w:trPr/>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Eastern Coal Corporation</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West Virginia</w:t>
            </w:r>
          </w:p>
        </w:tc>
      </w:tr>
      <w:tr>
        <w:trPr/>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Elkay Mining Company</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West Virginia</w:t>
            </w:r>
          </w:p>
        </w:tc>
      </w:tr>
      <w:tr>
        <w:trPr/>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Jewell Ridge Coal Corporation</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Virginia</w:t>
            </w:r>
          </w:p>
        </w:tc>
      </w:tr>
      <w:tr>
        <w:trPr/>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Kentland-Elkhorn Coal Corporation</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Kentucky</w:t>
            </w:r>
          </w:p>
        </w:tc>
      </w:tr>
      <w:tr>
        <w:trPr/>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Meadow River Coal Company</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Kentucky</w:t>
            </w:r>
          </w:p>
        </w:tc>
      </w:tr>
      <w:tr>
        <w:trPr/>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Pittston Coal Group, Inc.</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Virginia</w:t>
            </w:r>
          </w:p>
        </w:tc>
      </w:tr>
      <w:tr>
        <w:trPr/>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Sea “B” Mining Company</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Virginia</w:t>
            </w:r>
          </w:p>
        </w:tc>
      </w:tr>
      <w:tr>
        <w:trPr/>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Ranger Fuel Corporation</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West Virginia</w:t>
            </w:r>
          </w:p>
        </w:tc>
      </w:tr>
      <w:tr>
        <w:trPr/>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Pittston Mineral Ventures Company</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Delaware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174" name="Frame1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7</w:t>
                      </w:r>
                    </w:p>
                  </w:txbxContent>
                </v:textbox>
                <w10:wrap type="none"/>
              </v:rect>
            </w:pict>
          </mc:Fallback>
        </mc:AlternateContent>
      </w:r>
    </w:p>
    <w:tbl>
      <w:tblPr>
        <w:tblW w:w="6239" w:type="dxa"/>
        <w:jc w:val="left"/>
        <w:tblInd w:w="0" w:type="dxa"/>
        <w:tblLayout w:type="fixed"/>
        <w:tblCellMar>
          <w:top w:w="28" w:type="dxa"/>
          <w:left w:w="28" w:type="dxa"/>
          <w:bottom w:w="28" w:type="dxa"/>
          <w:right w:w="28" w:type="dxa"/>
        </w:tblCellMar>
      </w:tblPr>
      <w:tblGrid>
        <w:gridCol w:w="1389"/>
        <w:gridCol w:w="1221"/>
        <w:gridCol w:w="1229"/>
        <w:gridCol w:w="702"/>
        <w:gridCol w:w="702"/>
        <w:gridCol w:w="996"/>
      </w:tblGrid>
      <w:tr>
        <w:trPr/>
        <w:tc>
          <w:tcPr>
            <w:tcW w:w="1389"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Company</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rPr>
              <w:t xml:space="preserve">Jurisdiction of </w:t>
            </w:r>
            <w:r>
              <w:rPr>
                <w:rFonts w:ascii="Arial;sans-serif" w:hAnsi="Arial;sans-serif"/>
                <w:b w:val="false"/>
                <w:color w:val="000000"/>
                <w:sz w:val="18"/>
                <w:u w:val="single"/>
              </w:rPr>
              <w:t>Incorporation</w:t>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PMV Gold Company</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Delaware</w:t>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Pittston Mineral Ventures International Ltd.</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Delaware</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175" name="Frame1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8</w:t>
                      </w:r>
                    </w:p>
                  </w:txbxContent>
                </v:textbox>
                <w10:wrap type="none"/>
              </v:rect>
            </w:pict>
          </mc:Fallback>
        </mc:AlternateContent>
      </w:r>
    </w:p>
    <w:p>
      <w:pPr>
        <w:pStyle w:val="TextBody"/>
        <w:bidi w:val="0"/>
        <w:spacing w:lineRule="auto" w:line="288" w:before="180" w:after="283"/>
        <w:jc w:val="right"/>
        <w:rPr>
          <w:rFonts w:ascii="Times New Roman;serif" w:hAnsi="Times New Roman;serif"/>
          <w:b/>
          <w:color w:val="000000"/>
          <w:sz w:val="20"/>
        </w:rPr>
      </w:pPr>
      <w:r>
        <w:rPr>
          <w:rFonts w:ascii="Times New Roman;serif" w:hAnsi="Times New Roman;serif"/>
          <w:b/>
          <w:color w:val="000000"/>
          <w:sz w:val="20"/>
        </w:rPr>
        <w:t>EXHIBIT 23</w:t>
      </w:r>
    </w:p>
    <w:p>
      <w:pPr>
        <w:pStyle w:val="TextBody"/>
        <w:bidi w:val="0"/>
        <w:spacing w:lineRule="auto" w:line="288" w:before="180" w:after="283"/>
        <w:jc w:val="both"/>
        <w:rPr>
          <w:color w:val="000000"/>
        </w:rPr>
      </w:pPr>
      <w:r>
        <w:rPr>
          <w:color w:val="000000"/>
        </w:rPr>
        <w:t> </w:t>
      </w:r>
    </w:p>
    <w:p>
      <w:pPr>
        <w:pStyle w:val="TextBody"/>
        <w:bidi w:val="0"/>
        <w:spacing w:before="180" w:after="283"/>
        <w:jc w:val="both"/>
        <w:rPr/>
      </w:pPr>
      <w:r>
        <w:r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We consent to the incorporation by reference in the registration statements (Nos. 33-53565, 333-78631, 333-70758, 333-146673, 333-152552, 333-165567, 333-188342, 333-217723, 333-225111 and 333-263309) on Form S-8 of our reports dated February 26, 2026, with respect to the consolidated financial statements of The Brink’s Company and the effectiveness of internal control over financial reporting.</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 KPMG LLP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Richmond, Virginia</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February 26,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176" name="Frame1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Mark Eubanks, President and Chief Executive Officer (Principal Executive Officer) of The Brink’s Company, certify that:</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1.</w:t>
      </w:r>
      <w:r>
        <w:rPr>
          <w:rFonts w:ascii="Times New Roman;serif" w:hAnsi="Times New Roman;serif"/>
          <w:b w:val="false"/>
          <w:color w:val="000000"/>
          <w:sz w:val="20"/>
        </w:rPr>
        <w:t>I have reviewed this Annual Report on Form 10-K of The Brink’s Company;</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2.</w:t>
      </w: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3.</w:t>
      </w: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4.</w:t>
      </w: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a)</w:t>
      </w: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b)</w:t>
      </w: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c)</w:t>
      </w: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d)</w:t>
      </w: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5.</w:t>
      </w: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a)</w:t>
      </w: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b)</w:t>
      </w: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February 26, 2026 </w:t>
      </w:r>
    </w:p>
    <w:p>
      <w:pPr>
        <w:pStyle w:val="TextBody"/>
        <w:bidi w:val="0"/>
        <w:spacing w:before="0" w:after="0"/>
        <w:jc w:val="left"/>
        <w:rPr/>
      </w:pPr>
      <w:r>
        <w:rPr/>
      </w:r>
    </w:p>
    <w:p>
      <w:pPr>
        <w:pStyle w:val="TextBody"/>
        <w:bidi w:val="0"/>
        <w:spacing w:lineRule="auto" w:line="288" w:before="0" w:after="0"/>
        <w:jc w:val="right"/>
        <w:rPr/>
      </w:pPr>
      <w:r>
        <w:rPr>
          <w:color w:val="000000"/>
        </w:rPr>
        <w:t> </w:t>
      </w:r>
      <w:r>
        <w:rPr>
          <w:rFonts w:ascii="Times New Roman;serif" w:hAnsi="Times New Roman;serif"/>
          <w:b w:val="false"/>
          <w:color w:val="000000"/>
          <w:sz w:val="20"/>
          <w:u w:val="single"/>
        </w:rPr>
        <w:t>/s/  Mark Eubanks</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Mark Eubanks</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President and</w:t>
      </w:r>
    </w:p>
    <w:p>
      <w:pPr>
        <w:pStyle w:val="TextBody"/>
        <w:bidi w:val="0"/>
        <w:spacing w:lineRule="auto" w:line="288" w:before="0" w:after="0"/>
        <w:ind w:left="0" w:right="0" w:firstLine="5040"/>
        <w:jc w:val="right"/>
        <w:rPr>
          <w:rFonts w:ascii="Times New Roman;serif" w:hAnsi="Times New Roman;serif"/>
          <w:b w:val="false"/>
          <w:color w:val="000000"/>
          <w:sz w:val="20"/>
        </w:rPr>
      </w:pPr>
      <w:r>
        <w:rPr>
          <w:rFonts w:ascii="Times New Roman;serif" w:hAnsi="Times New Roman;serif"/>
          <w:b w:val="false"/>
          <w:color w:val="000000"/>
          <w:sz w:val="20"/>
        </w:rPr>
        <w:t>Chief Executive Officer</w:t>
      </w:r>
    </w:p>
    <w:p>
      <w:pPr>
        <w:pStyle w:val="TextBody"/>
        <w:bidi w:val="0"/>
        <w:spacing w:lineRule="auto" w:line="288" w:before="0" w:after="0"/>
        <w:ind w:left="0" w:right="0" w:firstLine="675"/>
        <w:jc w:val="right"/>
        <w:rPr>
          <w:rFonts w:ascii="Times New Roman;serif" w:hAnsi="Times New Roman;serif"/>
          <w:b w:val="false"/>
          <w:color w:val="000000"/>
          <w:sz w:val="20"/>
        </w:rPr>
      </w:pPr>
      <w:r>
        <w:rPr>
          <w:rFonts w:ascii="Times New Roman;serif" w:hAnsi="Times New Roman;serif"/>
          <w:b w:val="false"/>
          <w:color w:val="000000"/>
          <w:sz w:val="20"/>
        </w:rPr>
        <w:t>(Principal Executive Officer)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177" name="Frame1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31.2</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Kurt B. McMaken, Executive Vice President and Chief Financial Officer (Principal Financial Officer) of The Brink’s Company, certify that:</w:t>
      </w:r>
    </w:p>
    <w:p>
      <w:pPr>
        <w:pStyle w:val="TextBody"/>
        <w:bidi w:val="0"/>
        <w:spacing w:lineRule="auto" w:line="288" w:before="0" w:after="0"/>
        <w:jc w:val="both"/>
        <w:rPr>
          <w:color w:val="000000"/>
        </w:rPr>
      </w:pPr>
      <w:r>
        <w:rPr>
          <w:color w:val="000000"/>
        </w:rPr>
        <w:t>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1.</w:t>
      </w:r>
      <w:r>
        <w:rPr>
          <w:rFonts w:ascii="Times New Roman;serif" w:hAnsi="Times New Roman;serif"/>
          <w:b w:val="false"/>
          <w:color w:val="000000"/>
          <w:sz w:val="20"/>
        </w:rPr>
        <w:t>I have reviewed this Annual Report on Form 10-K of The Brink’s Company;</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2.</w:t>
      </w: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3.</w:t>
      </w: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4.</w:t>
      </w: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a)</w:t>
      </w: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b)</w:t>
      </w: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c)</w:t>
      </w: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d)</w:t>
      </w: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5.</w:t>
      </w: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a)</w:t>
      </w: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b)</w:t>
      </w: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February 26, 2026 </w: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/s/ Kurt B. McMaken</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Kurt B. McMaken</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(Principal Financial Officer)</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178" name="Frame1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Annual Report on Form 10-K of The Brink’s Company (the “Company”) for the period ending December 31, 2025 as filed with the Securities and Exchange Commission on the date hereof (the “Report”), I, Mark Eubanks, President and Chief Executive Officer of the Company, certify, pursuant to 18 U.S.C. § 1350, as adopted pursuant to § 906 of the Sarbanes-Oxley Act of 2002,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/s/  Mark Eubanks</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Mark Eubanks</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(Principal Executive Officer)</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 xml:space="preserve">February 26, 2026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179" name="Frame1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Annual Report on Form 10-K of The Brink’s Company (the “Company”) for the period ending December 31, 2025 as filed with the Securities and Exchange Commission on the date hereof (the “Report”), I, Kurt B. McMaken, Executive Vice President and Chief Financial Officer (Principal Financial Officer) of the Company, certify, pursuant to 18 U.S.C. § 1350, as adopted pursuant to § 906 of the Sarbanes-Oxley Act of 2002, that: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val="false"/>
          <w:color w:val="000000"/>
          <w:sz w:val="20"/>
          <w:u w:val="single"/>
        </w:rPr>
      </w:pPr>
      <w:r>
        <w:rPr>
          <w:rFonts w:ascii="Times New Roman;serif" w:hAnsi="Times New Roman;serif"/>
          <w:b w:val="false"/>
          <w:color w:val="000000"/>
          <w:sz w:val="20"/>
          <w:u w:val="single"/>
        </w:rPr>
        <w:t>/s/  Kurt B. McMaken</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Kurt B. McMaken</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(Principal Financial Officer)</w: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 xml:space="preserve">February 26, 2026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180" name="Frame1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ptos">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78890/000007889020000069/exhibit21spag4s101copy1.htm" TargetMode="External"/><Relationship Id="rId4" Type="http://schemas.openxmlformats.org/officeDocument/2006/relationships/hyperlink" Target="https://www.sec.gov/Archives/edgar/data/78890/000007889020000069/exhibit22spa2g4s101cop.htm" TargetMode="External"/><Relationship Id="rId5" Type="http://schemas.openxmlformats.org/officeDocument/2006/relationships/hyperlink" Target="https://www.sec.gov/Archives/edgar/data/78890/000007889020000069/exhibit23amdspa1.htm" TargetMode="External"/><Relationship Id="rId6" Type="http://schemas.openxmlformats.org/officeDocument/2006/relationships/hyperlink" Target="https://www.sec.gov/Archives/edgar/data/78890/000110465926020500/tm267399d1_ex2-1.htm" TargetMode="External"/><Relationship Id="rId7" Type="http://schemas.openxmlformats.org/officeDocument/2006/relationships/hyperlink" Target="https://www.sec.gov/Archives/edgar/data/78890/000110465926020500/tm267399d1_ex2-1.htm" TargetMode="External"/><Relationship Id="rId8" Type="http://schemas.openxmlformats.org/officeDocument/2006/relationships/hyperlink" Target="https://www.sec.gov/Archives/edgar/data/78890/000110465926020500/tm267399d1_ex2-1.htm" TargetMode="External"/><Relationship Id="rId9" Type="http://schemas.openxmlformats.org/officeDocument/2006/relationships/hyperlink" Target="https://www.sec.gov/Archives/edgar/data/78890/000110465926020500/tm267399d1_ex2-1.htm" TargetMode="External"/><Relationship Id="rId10" Type="http://schemas.openxmlformats.org/officeDocument/2006/relationships/hyperlink" Target="https://www.sec.gov/Archives/edgar/data/78890/000110465926020500/tm267399d1_ex2-1.htm" TargetMode="External"/><Relationship Id="rId11" Type="http://schemas.openxmlformats.org/officeDocument/2006/relationships/hyperlink" Target="https://www.sec.gov/Archives/edgar/data/78890/000007889015000029/ex3i.htm" TargetMode="External"/><Relationship Id="rId12" Type="http://schemas.openxmlformats.org/officeDocument/2006/relationships/hyperlink" Target="https://www.sec.gov/Archives/edgar/data/78890/000007889020000010/a201910-kexhibit41.htm" TargetMode="External"/><Relationship Id="rId13" Type="http://schemas.openxmlformats.org/officeDocument/2006/relationships/hyperlink" Target="https://www.sec.gov/Archives/edgar/data/78890/000007889017000062/brink_s-indenture2017.htm" TargetMode="External"/><Relationship Id="rId14" Type="http://schemas.openxmlformats.org/officeDocument/2006/relationships/hyperlink" Target="https://www.sec.gov/Archives/edgar/data/78890/000007889020000067/exhibit41.htm" TargetMode="External"/><Relationship Id="rId15" Type="http://schemas.openxmlformats.org/officeDocument/2006/relationships/hyperlink" Target="https://www.sec.gov/Archives/edgar/data/78890/000007889024000225/exhibit41brinks-indentures.htm" TargetMode="External"/><Relationship Id="rId16" Type="http://schemas.openxmlformats.org/officeDocument/2006/relationships/hyperlink" Target="https://www.sec.gov/Archives/edgar/data/78890/000007889017000026/exhibit102q12017.htm" TargetMode="External"/><Relationship Id="rId17" Type="http://schemas.openxmlformats.org/officeDocument/2006/relationships/hyperlink" Target="https://www.sec.gov/ix?doc=/Archives/edgar/data/78890/000110465924035666/tm242623-d2_def14a.htm" TargetMode="External"/><Relationship Id="rId18" Type="http://schemas.openxmlformats.org/officeDocument/2006/relationships/hyperlink" Target="https://www.sec.gov/Archives/edgar/data/78890/000007889021000014/a202010-kexhibit104.htm" TargetMode="External"/><Relationship Id="rId19" Type="http://schemas.openxmlformats.org/officeDocument/2006/relationships/hyperlink" Target="https://www.sec.gov/Archives/edgar/data/78890/000007889019000031/ex1022017amendedandres.htm" TargetMode="External"/><Relationship Id="rId20" Type="http://schemas.openxmlformats.org/officeDocument/2006/relationships/hyperlink" Target="https://www.sec.gov/Archives/edgar/data/78890/000007889017000043/ex103q22017.htm" TargetMode="External"/><Relationship Id="rId21" Type="http://schemas.openxmlformats.org/officeDocument/2006/relationships/hyperlink" Target="https://www.sec.gov/Archives/edgar/data/78890/000007889018000007/exhibit106formstockoptiona.htm" TargetMode="External"/><Relationship Id="rId22" Type="http://schemas.openxmlformats.org/officeDocument/2006/relationships/hyperlink" Target="https://www.sec.gov/Archives/edgar/data/78890/000007889012000032/ex10-9.htm" TargetMode="External"/><Relationship Id="rId23" Type="http://schemas.openxmlformats.org/officeDocument/2006/relationships/hyperlink" Target="https://www.sec.gov/Archives/edgar/data/78890/000007889009000037/ex10_5.htm" TargetMode="External"/><Relationship Id="rId24" Type="http://schemas.openxmlformats.org/officeDocument/2006/relationships/hyperlink" Target="https://www.sec.gov/Archives/edgar/data/78890/000007889014000018/ex10_2.htm" TargetMode="External"/><Relationship Id="rId25" Type="http://schemas.openxmlformats.org/officeDocument/2006/relationships/hyperlink" Target="https://www.sec.gov/Archives/edgar/data/78890/000007889013000027/ex10-1.htm" TargetMode="External"/><Relationship Id="rId26" Type="http://schemas.openxmlformats.org/officeDocument/2006/relationships/hyperlink" Target="https://www.sec.gov/Archives/edgar/data/78890/000007889017000062/creditagreement-c.htm" TargetMode="External"/><Relationship Id="rId27" Type="http://schemas.openxmlformats.org/officeDocument/2006/relationships/hyperlink" Target="https://www.sec.gov/Archives/edgar/data/78890/000007889019000008/firstamendmenttoloandocume.htm" TargetMode="External"/><Relationship Id="rId28" Type="http://schemas.openxmlformats.org/officeDocument/2006/relationships/hyperlink" Target="https://www.sec.gov/Archives/edgar/data/78890/000007889020000029/ex101amendmentno2.htm" TargetMode="External"/><Relationship Id="rId29" Type="http://schemas.openxmlformats.org/officeDocument/2006/relationships/hyperlink" Target="https://www.sec.gov/Archives/edgar/data/78890/000007889020000060/exhibit101thirdamdcred.htm" TargetMode="External"/><Relationship Id="rId30" Type="http://schemas.openxmlformats.org/officeDocument/2006/relationships/hyperlink" Target="https://www.sec.gov/Archives/edgar/data/78890/000007889023000090/a2022form10-kexhibit10164.htm" TargetMode="External"/><Relationship Id="rId31" Type="http://schemas.openxmlformats.org/officeDocument/2006/relationships/hyperlink" Target="https://www.sec.gov/Archives/edgar/data/78890/000007889022000292/exhibit101boarevolver.htm" TargetMode="External"/><Relationship Id="rId32" Type="http://schemas.openxmlformats.org/officeDocument/2006/relationships/hyperlink" Target="https://www.sec.gov/Archives/edgar/data/78890/000007889025000253/exhibit1021.htm" TargetMode="External"/><Relationship Id="rId33" Type="http://schemas.openxmlformats.org/officeDocument/2006/relationships/hyperlink" Target="https://www.sec.gov/Archives/edgar/data/78890/000007889025000253/exhibit1021.htm" TargetMode="External"/><Relationship Id="rId34" Type="http://schemas.openxmlformats.org/officeDocument/2006/relationships/hyperlink" Target="https://www.sec.gov/Archives/edgar/data/78890/000007889025000253/exhibit1021.htm" TargetMode="External"/><Relationship Id="rId35" Type="http://schemas.openxmlformats.org/officeDocument/2006/relationships/hyperlink" Target="https://www.sec.gov/Archives/edgar/data/78890/000007889025000253/exhibit1021.htm" TargetMode="External"/><Relationship Id="rId36" Type="http://schemas.openxmlformats.org/officeDocument/2006/relationships/hyperlink" Target="https://www.sec.gov/Archives/edgar/data/78890/000007889025000253/exhibit1021.htm" TargetMode="External"/><Relationship Id="rId37" Type="http://schemas.openxmlformats.org/officeDocument/2006/relationships/hyperlink" Target="https://www.sec.gov/Archives/edgar/data/78890/000007889025000253/exhibit1021.htm" TargetMode="External"/><Relationship Id="rId38" Type="http://schemas.openxmlformats.org/officeDocument/2006/relationships/hyperlink" Target="https://www.sec.gov/Archives/edgar/data/78890/000007889025000253/exhibit1021.htm" TargetMode="External"/><Relationship Id="rId39" Type="http://schemas.openxmlformats.org/officeDocument/2006/relationships/hyperlink" Target="https://www.sec.gov/Archives/edgar/data/78890/000007889025000253/exhibit1021.htm" TargetMode="External"/><Relationship Id="rId40" Type="http://schemas.openxmlformats.org/officeDocument/2006/relationships/hyperlink" Target="https://www.sec.gov/Archives/edgar/data/78890/000007889025000253/exhibit1021.htm" TargetMode="External"/><Relationship Id="rId41" Type="http://schemas.openxmlformats.org/officeDocument/2006/relationships/hyperlink" Target="https://www.sec.gov/Archives/edgar/data/78890/000007889025000253/exhibit1021.htm" TargetMode="External"/><Relationship Id="rId42" Type="http://schemas.openxmlformats.org/officeDocument/2006/relationships/hyperlink" Target="https://www.sec.gov/Archives/edgar/data/78890/000007889025000253/exhibit1021.htm" TargetMode="External"/><Relationship Id="rId43" Type="http://schemas.openxmlformats.org/officeDocument/2006/relationships/hyperlink" Target="https://www.sec.gov/Archives/edgar/data/78890/000007889025000253/exhibit1021.htm" TargetMode="External"/><Relationship Id="rId44" Type="http://schemas.openxmlformats.org/officeDocument/2006/relationships/hyperlink" Target="https://www.sec.gov/Archives/edgar/data/78890/000007889025000253/exhibit1021.htm" TargetMode="External"/><Relationship Id="rId45" Type="http://schemas.openxmlformats.org/officeDocument/2006/relationships/hyperlink" Target="https://www.sec.gov/Archives/edgar/data/78890/000007889025000253/exhibit1021.htm" TargetMode="External"/><Relationship Id="rId46" Type="http://schemas.openxmlformats.org/officeDocument/2006/relationships/hyperlink" Target="https://www.sec.gov/Archives/edgar/data/78890/000007889025000253/exhibit1021.htm" TargetMode="External"/><Relationship Id="rId47" Type="http://schemas.openxmlformats.org/officeDocument/2006/relationships/hyperlink" Target="https://www.sec.gov/Archives/edgar/data/78890/000007889025000253/exhibit1021.htm" TargetMode="External"/><Relationship Id="rId48" Type="http://schemas.openxmlformats.org/officeDocument/2006/relationships/hyperlink" Target="https://www.sec.gov/Archives/edgar/data/78890/000007889025000253/exhibit1021.htm" TargetMode="External"/><Relationship Id="rId49" Type="http://schemas.openxmlformats.org/officeDocument/2006/relationships/hyperlink" Target="https://www.sec.gov/Archives/edgar/data/78890/000007889025000253/exhibit1021.htm" TargetMode="External"/><Relationship Id="rId50" Type="http://schemas.openxmlformats.org/officeDocument/2006/relationships/hyperlink" Target="https://www.sec.gov/Archives/edgar/data/78890/000007889025000253/exhibit1021.htm" TargetMode="External"/><Relationship Id="rId51" Type="http://schemas.openxmlformats.org/officeDocument/2006/relationships/hyperlink" Target="https://www.sec.gov/Archives/edgar/data/78890/000007889025000253/exhibit1021.htm" TargetMode="External"/><Relationship Id="rId52" Type="http://schemas.openxmlformats.org/officeDocument/2006/relationships/hyperlink" Target="https://www.sec.gov/Archives/edgar/data/78890/000007889021000126/exhibit101.htm" TargetMode="External"/><Relationship Id="rId53" Type="http://schemas.openxmlformats.org/officeDocument/2006/relationships/hyperlink" Target="https://www.sec.gov/Archives/edgar/data/78890/000007889021000126/exhibit102.htm" TargetMode="External"/><Relationship Id="rId54" Type="http://schemas.openxmlformats.org/officeDocument/2006/relationships/hyperlink" Target="https://www.sec.gov/Archives/edgar/data/78890/000007889021000126/exhibit103.htm" TargetMode="External"/><Relationship Id="rId55" Type="http://schemas.openxmlformats.org/officeDocument/2006/relationships/hyperlink" Target="https://www.sec.gov/Archives/edgar/data/78890/000007889021000126/exhibit104.htm" TargetMode="External"/><Relationship Id="rId56" Type="http://schemas.openxmlformats.org/officeDocument/2006/relationships/hyperlink" Target="https://www.sec.gov/Archives/edgar/data/78890/000007889022000077/exhibit1030indemnification.htm" TargetMode="External"/><Relationship Id="rId57" Type="http://schemas.openxmlformats.org/officeDocument/2006/relationships/hyperlink" Target="https://www.sec.gov/Archives/edgar/data/78890/000007889025000059/a202410-kexhibit1018.htm" TargetMode="External"/><Relationship Id="rId58" Type="http://schemas.openxmlformats.org/officeDocument/2006/relationships/hyperlink" Target="https://www.sec.gov/Archives/edgar/data/78890/000007889025000059/a202410-kexhibit1018.htm" TargetMode="External"/><Relationship Id="rId59" Type="http://schemas.openxmlformats.org/officeDocument/2006/relationships/hyperlink" Target="https://www.sec.gov/Archives/edgar/data/78890/000007889025000059/a202410-kexhibit1018.htm" TargetMode="External"/><Relationship Id="rId60" Type="http://schemas.openxmlformats.org/officeDocument/2006/relationships/hyperlink" Target="https://www.sec.gov/Archives/edgar/data/78890/000007889025000253/exhibit1031.htm" TargetMode="External"/><Relationship Id="rId61" Type="http://schemas.openxmlformats.org/officeDocument/2006/relationships/hyperlink" Target="https://www.sec.gov/Archives/edgar/data/78890/000007889025000253/exhibit1031.htm" TargetMode="External"/><Relationship Id="rId62" Type="http://schemas.openxmlformats.org/officeDocument/2006/relationships/hyperlink" Target="https://www.sec.gov/Archives/edgar/data/78890/000007889025000253/exhibit1031.htm" TargetMode="External"/><Relationship Id="rId63" Type="http://schemas.openxmlformats.org/officeDocument/2006/relationships/hyperlink" Target="https://www.sec.gov/Archives/edgar/data/78890/000007889025000253/exhibit1031.htm" TargetMode="External"/><Relationship Id="rId64" Type="http://schemas.openxmlformats.org/officeDocument/2006/relationships/hyperlink" Target="https://www.sec.gov/Archives/edgar/data/78890/000007889025000253/exhibit1031.htm" TargetMode="External"/><Relationship Id="rId65" Type="http://schemas.openxmlformats.org/officeDocument/2006/relationships/hyperlink" Target="https://www.sec.gov/Archives/edgar/data/78890/000007889025000253/exhibit1031.htm" TargetMode="External"/><Relationship Id="rId66" Type="http://schemas.openxmlformats.org/officeDocument/2006/relationships/hyperlink" Target="https://www.sec.gov/Archives/edgar/data/78890/000007889025000253/exhibit1031.htm" TargetMode="External"/><Relationship Id="rId67" Type="http://schemas.openxmlformats.org/officeDocument/2006/relationships/hyperlink" Target="https://www.sec.gov/Archives/edgar/data/78890/000007889025000253/exhibit1031.htm" TargetMode="External"/><Relationship Id="rId68" Type="http://schemas.openxmlformats.org/officeDocument/2006/relationships/hyperlink" Target="https://www.sec.gov/Archives/edgar/data/78890/000007889023000253/ex101q12023.htm" TargetMode="External"/><Relationship Id="rId69" Type="http://schemas.openxmlformats.org/officeDocument/2006/relationships/hyperlink" Target="https://www.sec.gov/Archives/edgar/data/78890/000007889023000090/a2022form10-kexhibit1027.htm" TargetMode="External"/><Relationship Id="rId70" Type="http://schemas.openxmlformats.org/officeDocument/2006/relationships/hyperlink" Target="https://www.sec.gov/Archives/edgar/data/78890/000007889023000090/a2022form10-kexhibit1029.htm" TargetMode="External"/><Relationship Id="rId71" Type="http://schemas.openxmlformats.org/officeDocument/2006/relationships/hyperlink" Target="https://www.sec.gov/Archives/edgar/data/78890/000007889024000172/ex101q12024.htm" TargetMode="External"/><Relationship Id="rId72" Type="http://schemas.openxmlformats.org/officeDocument/2006/relationships/hyperlink" Target="https://www.sec.gov/Archives/edgar/data/78890/000007889024000172/ex102q12024.htm" TargetMode="External"/><Relationship Id="rId73" Type="http://schemas.openxmlformats.org/officeDocument/2006/relationships/hyperlink" Target="https://www.sec.gov/Archives/edgar/data/78890/000007889025000253/exhibit1011.htm" TargetMode="External"/><Relationship Id="rId74" Type="http://schemas.openxmlformats.org/officeDocument/2006/relationships/hyperlink" Target="https://www.sec.gov/Archives/edgar/data/78890/000007889025000253/exhibit1011.htm" TargetMode="External"/><Relationship Id="rId75" Type="http://schemas.openxmlformats.org/officeDocument/2006/relationships/hyperlink" Target="https://www.sec.gov/Archives/edgar/data/78890/000007889025000253/exhibit1011.htm" TargetMode="External"/><Relationship Id="rId76" Type="http://schemas.openxmlformats.org/officeDocument/2006/relationships/hyperlink" Target="https://www.sec.gov/Archives/edgar/data/78890/000007889025000253/exhibit1011.htm" TargetMode="External"/><Relationship Id="rId77" Type="http://schemas.openxmlformats.org/officeDocument/2006/relationships/hyperlink" Target="https://www.sec.gov/Archives/edgar/data/78890/000007889025000253/exhibit1011.htm" TargetMode="External"/><Relationship Id="rId78" Type="http://schemas.openxmlformats.org/officeDocument/2006/relationships/hyperlink" Target="https://www.sec.gov/Archives/edgar/data/78890/000007889025000253/exhibit1011.htm" TargetMode="External"/><Relationship Id="rId79" Type="http://schemas.openxmlformats.org/officeDocument/2006/relationships/hyperlink" Target="https://www.sec.gov/Archives/edgar/data/78890/000007889025000253/exhibit1011.htm" TargetMode="External"/><Relationship Id="rId80" Type="http://schemas.openxmlformats.org/officeDocument/2006/relationships/hyperlink" Target="https://www.sec.gov/Archives/edgar/data/78890/000007889024000054/a202310-kexhibit971.htm" TargetMode="External"/><Relationship Id="rId81" Type="http://schemas.openxmlformats.org/officeDocument/2006/relationships/hyperlink" Target="https://www.sec.gov/Archives/edgar/data/78890/000007889009000013/exhibit99_a.htm" TargetMode="External"/><Relationship Id="rId82" Type="http://schemas.openxmlformats.org/officeDocument/2006/relationships/image" Target="media/image2.jpeg"/><Relationship Id="rId83" Type="http://schemas.openxmlformats.org/officeDocument/2006/relationships/fontTable" Target="fontTable.xml"/><Relationship Id="rId8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64</Pages>
  <Words>78794</Words>
  <Characters>437153</Characters>
  <CharactersWithSpaces>511577</CharactersWithSpaces>
  <Paragraphs>9806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