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3" w:lineRule="exact"/>
        <w:rPr>
          <w:sz w:val="24"/>
          <w:szCs w:val="24"/>
          <w:color w:val="auto"/>
        </w:rPr>
      </w:pPr>
    </w:p>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213995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265430</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392"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UNITED STATES</w:t>
      </w:r>
    </w:p>
    <w:p>
      <w:pPr>
        <w:spacing w:after="0" w:line="50"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68"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SCHEDULE 14A</w:t>
      </w:r>
    </w:p>
    <w:p>
      <w:pPr>
        <w:spacing w:after="0" w:line="230"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(Rule 14a-101)</w:t>
      </w:r>
    </w:p>
    <w:p>
      <w:pPr>
        <w:spacing w:after="0" w:line="6"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INFORMATION REQUIRED IN</w:t>
      </w:r>
    </w:p>
    <w:p>
      <w:pPr>
        <w:jc w:val="center"/>
        <w:ind w:right="-399"/>
        <w:spacing w:after="0"/>
        <w:rPr>
          <w:sz w:val="20"/>
          <w:szCs w:val="20"/>
          <w:color w:val="auto"/>
        </w:rPr>
      </w:pPr>
      <w:r>
        <w:rPr>
          <w:rFonts w:ascii="Arial" w:cs="Arial" w:eastAsia="Arial" w:hAnsi="Arial"/>
          <w:sz w:val="22"/>
          <w:szCs w:val="22"/>
          <w:b w:val="1"/>
          <w:bCs w:val="1"/>
          <w:color w:val="auto"/>
        </w:rPr>
        <w:t>PROXY STATEMENT</w:t>
      </w:r>
    </w:p>
    <w:p>
      <w:pPr>
        <w:spacing w:after="0" w:line="68"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SCHEDULE 14A INFORMATION</w:t>
      </w:r>
    </w:p>
    <w:p>
      <w:pPr>
        <w:spacing w:after="0" w:line="30"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Proxy Statement Pursuant to Section 14(a) of the Securities Exchange Act of 1934</w:t>
      </w:r>
    </w:p>
    <w:p>
      <w:pPr>
        <w:jc w:val="center"/>
        <w:ind w:right="-379"/>
        <w:spacing w:after="0"/>
        <w:tabs>
          <w:tab w:leader="none" w:pos="280" w:val="left"/>
        </w:tabs>
        <w:rPr>
          <w:sz w:val="20"/>
          <w:szCs w:val="20"/>
          <w:color w:val="auto"/>
        </w:rPr>
      </w:pPr>
      <w:r>
        <w:rPr>
          <w:rFonts w:ascii="Arial" w:cs="Arial" w:eastAsia="Arial" w:hAnsi="Arial"/>
          <w:sz w:val="22"/>
          <w:szCs w:val="22"/>
          <w:b w:val="1"/>
          <w:bCs w:val="1"/>
          <w:color w:val="auto"/>
        </w:rPr>
        <w:t>(Amendment No.</w:t>
      </w:r>
      <w:r>
        <w:rPr>
          <w:sz w:val="20"/>
          <w:szCs w:val="20"/>
          <w:color w:val="auto"/>
        </w:rPr>
        <w:tab/>
      </w:r>
      <w:r>
        <w:rPr>
          <w:rFonts w:ascii="Arial" w:cs="Arial" w:eastAsia="Arial" w:hAnsi="Arial"/>
          <w:sz w:val="18"/>
          <w:szCs w:val="18"/>
          <w:b w:val="1"/>
          <w:bCs w:val="1"/>
          <w:color w:val="auto"/>
        </w:rPr>
        <w:t>)</w:t>
      </w:r>
    </w:p>
    <w:p>
      <w:pPr>
        <w:spacing w:after="0" w:line="193" w:lineRule="exact"/>
        <w:rPr>
          <w:sz w:val="24"/>
          <w:szCs w:val="24"/>
          <w:color w:val="auto"/>
        </w:rPr>
      </w:pPr>
    </w:p>
    <w:p>
      <w:pPr>
        <w:ind w:left="200"/>
        <w:spacing w:after="0" w:line="207" w:lineRule="exact"/>
        <w:tabs>
          <w:tab w:leader="none" w:pos="2180" w:val="left"/>
          <w:tab w:leader="none" w:pos="5820" w:val="left"/>
          <w:tab w:leader="none" w:pos="9300" w:val="left"/>
        </w:tabs>
        <w:rPr>
          <w:sz w:val="20"/>
          <w:szCs w:val="20"/>
          <w:color w:val="auto"/>
        </w:rPr>
      </w:pPr>
      <w:r>
        <w:rPr>
          <w:rFonts w:ascii="Arial" w:cs="Arial" w:eastAsia="Arial" w:hAnsi="Arial"/>
          <w:sz w:val="18"/>
          <w:szCs w:val="18"/>
          <w:color w:val="auto"/>
        </w:rPr>
        <w:t>Filed by the Registrant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163" w:lineRule="exact"/>
        <w:rPr>
          <w:sz w:val="24"/>
          <w:szCs w:val="24"/>
          <w:color w:val="auto"/>
        </w:rPr>
      </w:pPr>
    </w:p>
    <w:p>
      <w:pPr>
        <w:ind w:left="200"/>
        <w:spacing w:after="0"/>
        <w:rPr>
          <w:sz w:val="20"/>
          <w:szCs w:val="20"/>
          <w:color w:val="auto"/>
        </w:rPr>
      </w:pPr>
      <w:r>
        <w:rPr>
          <w:rFonts w:ascii="Arial" w:cs="Arial" w:eastAsia="Arial" w:hAnsi="Arial"/>
          <w:sz w:val="18"/>
          <w:szCs w:val="18"/>
          <w:color w:val="auto"/>
        </w:rPr>
        <w:t>Check the appropriate box:</w:t>
      </w:r>
    </w:p>
    <w:p>
      <w:pPr>
        <w:spacing w:after="0" w:line="104" w:lineRule="exact"/>
        <w:rPr>
          <w:sz w:val="24"/>
          <w:szCs w:val="24"/>
          <w:color w:val="auto"/>
        </w:rPr>
      </w:pPr>
    </w:p>
    <w:p>
      <w:pPr>
        <w:ind w:left="560" w:hanging="356"/>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95" w:lineRule="exact"/>
        <w:rPr>
          <w:rFonts w:ascii="MS PGothic" w:cs="MS PGothic" w:eastAsia="MS PGothic" w:hAnsi="MS PGothic"/>
          <w:sz w:val="18"/>
          <w:szCs w:val="18"/>
          <w:color w:val="auto"/>
        </w:rPr>
      </w:pPr>
    </w:p>
    <w:p>
      <w:pPr>
        <w:ind w:left="560" w:hanging="356"/>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Only(as permitted by Rule 14a-6(e)(2))</w:t>
      </w:r>
    </w:p>
    <w:p>
      <w:pPr>
        <w:spacing w:after="0" w:line="93" w:lineRule="exact"/>
        <w:rPr>
          <w:rFonts w:ascii="MS PGothic" w:cs="MS PGothic" w:eastAsia="MS PGothic" w:hAnsi="MS PGothic"/>
          <w:sz w:val="18"/>
          <w:szCs w:val="18"/>
          <w:color w:val="auto"/>
        </w:rPr>
      </w:pPr>
    </w:p>
    <w:p>
      <w:pPr>
        <w:ind w:left="20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63" w:lineRule="exact"/>
        <w:rPr>
          <w:rFonts w:ascii="MS PGothic" w:cs="MS PGothic" w:eastAsia="MS PGothic" w:hAnsi="MS PGothic"/>
          <w:sz w:val="18"/>
          <w:szCs w:val="18"/>
          <w:color w:val="auto"/>
        </w:rPr>
      </w:pPr>
    </w:p>
    <w:p>
      <w:pPr>
        <w:ind w:left="560" w:hanging="356"/>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560" w:hanging="356"/>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65"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The Brink’s Company</w:t>
      </w:r>
    </w:p>
    <w:p>
      <w:pPr>
        <w:spacing w:after="0" w:line="58"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0" w:lineRule="exact"/>
        <w:rPr>
          <w:sz w:val="24"/>
          <w:szCs w:val="24"/>
          <w:color w:val="auto"/>
        </w:rPr>
      </w:pPr>
    </w:p>
    <w:p>
      <w:pPr>
        <w:spacing w:after="0" w:line="242" w:lineRule="exact"/>
        <w:rPr>
          <w:sz w:val="24"/>
          <w:szCs w:val="24"/>
          <w:color w:val="auto"/>
        </w:rPr>
      </w:pPr>
    </w:p>
    <w:p>
      <w:pPr>
        <w:ind w:left="324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30" w:lineRule="exact"/>
        <w:rPr>
          <w:sz w:val="24"/>
          <w:szCs w:val="24"/>
          <w:color w:val="auto"/>
        </w:rPr>
      </w:pPr>
    </w:p>
    <w:p>
      <w:pPr>
        <w:ind w:left="200"/>
        <w:spacing w:after="0"/>
        <w:rPr>
          <w:sz w:val="20"/>
          <w:szCs w:val="20"/>
          <w:color w:val="auto"/>
        </w:rPr>
      </w:pPr>
      <w:r>
        <w:rPr>
          <w:rFonts w:ascii="Arial" w:cs="Arial" w:eastAsia="Arial" w:hAnsi="Arial"/>
          <w:sz w:val="18"/>
          <w:szCs w:val="18"/>
          <w:color w:val="auto"/>
        </w:rPr>
        <w:t>Payment of Filing Fee (Check the appropriate box):</w:t>
      </w:r>
    </w:p>
    <w:p>
      <w:pPr>
        <w:spacing w:after="0" w:line="239" w:lineRule="exact"/>
        <w:rPr>
          <w:sz w:val="24"/>
          <w:szCs w:val="24"/>
          <w:color w:val="auto"/>
        </w:rPr>
      </w:pPr>
    </w:p>
    <w:p>
      <w:pPr>
        <w:ind w:left="640" w:hanging="436"/>
        <w:spacing w:after="0"/>
        <w:tabs>
          <w:tab w:leader="none" w:pos="6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31" w:lineRule="exact"/>
        <w:rPr>
          <w:sz w:val="24"/>
          <w:szCs w:val="24"/>
          <w:color w:val="auto"/>
        </w:rPr>
      </w:pPr>
    </w:p>
    <w:p>
      <w:pPr>
        <w:ind w:left="640" w:hanging="436"/>
        <w:spacing w:after="0"/>
        <w:tabs>
          <w:tab w:leader="none" w:pos="6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52" w:lineRule="exact"/>
        <w:rPr>
          <w:rFonts w:ascii="MS PGothic" w:cs="MS PGothic" w:eastAsia="MS PGothic" w:hAnsi="MS PGothic"/>
          <w:sz w:val="18"/>
          <w:szCs w:val="18"/>
          <w:color w:val="auto"/>
        </w:rPr>
      </w:pPr>
    </w:p>
    <w:p>
      <w:pPr>
        <w:ind w:left="1060" w:hanging="424"/>
        <w:spacing w:after="0"/>
        <w:tabs>
          <w:tab w:leader="none" w:pos="10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6" w:lineRule="exact"/>
        <w:rPr>
          <w:rFonts w:ascii="Arial" w:cs="Arial" w:eastAsia="Arial" w:hAnsi="Arial"/>
          <w:sz w:val="18"/>
          <w:szCs w:val="18"/>
          <w:color w:val="auto"/>
        </w:rPr>
      </w:pPr>
    </w:p>
    <w:p>
      <w:pPr>
        <w:ind w:left="1060" w:hanging="424"/>
        <w:spacing w:after="0"/>
        <w:tabs>
          <w:tab w:leader="none" w:pos="10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0" w:lineRule="exact"/>
        <w:rPr>
          <w:rFonts w:ascii="Arial" w:cs="Arial" w:eastAsia="Arial" w:hAnsi="Arial"/>
          <w:sz w:val="18"/>
          <w:szCs w:val="18"/>
          <w:color w:val="auto"/>
        </w:rPr>
      </w:pPr>
    </w:p>
    <w:p>
      <w:pPr>
        <w:ind w:left="1060" w:hanging="424"/>
        <w:spacing w:after="0" w:line="246" w:lineRule="auto"/>
        <w:tabs>
          <w:tab w:leader="none" w:pos="10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2" w:lineRule="exact"/>
        <w:rPr>
          <w:rFonts w:ascii="Arial" w:cs="Arial" w:eastAsia="Arial" w:hAnsi="Arial"/>
          <w:sz w:val="18"/>
          <w:szCs w:val="18"/>
          <w:color w:val="auto"/>
        </w:rPr>
      </w:pPr>
    </w:p>
    <w:p>
      <w:pPr>
        <w:ind w:left="1060" w:hanging="424"/>
        <w:spacing w:after="0"/>
        <w:tabs>
          <w:tab w:leader="none" w:pos="10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6" w:lineRule="exact"/>
        <w:rPr>
          <w:rFonts w:ascii="Arial" w:cs="Arial" w:eastAsia="Arial" w:hAnsi="Arial"/>
          <w:sz w:val="18"/>
          <w:szCs w:val="18"/>
          <w:color w:val="auto"/>
        </w:rPr>
      </w:pPr>
    </w:p>
    <w:p>
      <w:pPr>
        <w:ind w:left="1060" w:hanging="424"/>
        <w:spacing w:after="0"/>
        <w:tabs>
          <w:tab w:leader="none" w:pos="10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3" w:lineRule="exact"/>
        <w:rPr>
          <w:rFonts w:ascii="Arial" w:cs="Arial" w:eastAsia="Arial" w:hAnsi="Arial"/>
          <w:sz w:val="18"/>
          <w:szCs w:val="18"/>
          <w:color w:val="auto"/>
        </w:rPr>
      </w:pPr>
    </w:p>
    <w:p>
      <w:pPr>
        <w:ind w:left="640" w:hanging="436"/>
        <w:spacing w:after="0"/>
        <w:tabs>
          <w:tab w:leader="none" w:pos="6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640" w:right="60" w:hanging="436"/>
        <w:spacing w:after="0"/>
        <w:tabs>
          <w:tab w:leader="none" w:pos="6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29" w:lineRule="exact"/>
        <w:rPr>
          <w:rFonts w:ascii="MS PGothic" w:cs="MS PGothic" w:eastAsia="MS PGothic" w:hAnsi="MS PGothic"/>
          <w:sz w:val="18"/>
          <w:szCs w:val="18"/>
          <w:color w:val="auto"/>
        </w:rPr>
      </w:pPr>
    </w:p>
    <w:p>
      <w:pPr>
        <w:ind w:left="1060" w:hanging="424"/>
        <w:spacing w:after="0"/>
        <w:tabs>
          <w:tab w:leader="none" w:pos="10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622300</wp:posOffset>
            </wp:positionH>
            <wp:positionV relativeFrom="paragraph">
              <wp:posOffset>-3380740</wp:posOffset>
            </wp:positionV>
            <wp:extent cx="6508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08750" cy="8890"/>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-2857500</wp:posOffset>
            </wp:positionV>
            <wp:extent cx="6508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08750" cy="8890"/>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-2205355</wp:posOffset>
            </wp:positionV>
            <wp:extent cx="6508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08750" cy="8890"/>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-1673860</wp:posOffset>
            </wp:positionV>
            <wp:extent cx="65087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08750" cy="8890"/>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-1150620</wp:posOffset>
            </wp:positionV>
            <wp:extent cx="65087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08750" cy="8890"/>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358140</wp:posOffset>
            </wp:positionV>
            <wp:extent cx="65087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08750" cy="8890"/>
                    </a:xfrm>
                    <a:prstGeom prst="rect">
                      <a:avLst/>
                    </a:prstGeom>
                    <a:noFill/>
                  </pic:spPr>
                </pic:pic>
              </a:graphicData>
            </a:graphic>
          </wp:anchor>
        </w:drawing>
      </w:r>
    </w:p>
    <w:p>
      <w:pPr>
        <w:sectPr>
          <w:pgSz w:w="11900" w:h="16901" w:orient="portrait"/>
          <w:cols w:equalWidth="0" w:num="1">
            <w:col w:w="11040"/>
          </w:cols>
          <w:pgMar w:left="240" w:top="230" w:right="61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ind w:left="1060" w:hanging="424"/>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ectPr>
          <w:pgSz w:w="11900" w:h="16901" w:orient="portrait"/>
          <w:cols w:equalWidth="0" w:num="1">
            <w:col w:w="11040"/>
          </w:cols>
          <w:pgMar w:left="240" w:top="230" w:right="619" w:bottom="0" w:gutter="0" w:footer="0" w:header="0"/>
          <w:type w:val="continuous"/>
        </w:sectPr>
      </w:pPr>
    </w:p>
    <w:bookmarkStart w:id="1" w:name="page2"/>
    <w:bookmarkEnd w:id="1"/>
    <w:p>
      <w:pPr>
        <w:ind w:left="424" w:hanging="424"/>
        <w:spacing w:after="0"/>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774700</wp:posOffset>
            </wp:positionH>
            <wp:positionV relativeFrom="page">
              <wp:posOffset>457835</wp:posOffset>
            </wp:positionV>
            <wp:extent cx="65087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08750" cy="8890"/>
                    </a:xfrm>
                    <a:prstGeom prst="rect">
                      <a:avLst/>
                    </a:prstGeom>
                    <a:noFill/>
                  </pic:spPr>
                </pic:pic>
              </a:graphicData>
            </a:graphic>
          </wp:anchor>
        </w:drawing>
        <w:t>Filing Party: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0" w:lineRule="exact"/>
        <w:rPr>
          <w:rFonts w:ascii="Arial" w:cs="Arial" w:eastAsia="Arial" w:hAnsi="Arial"/>
          <w:sz w:val="18"/>
          <w:szCs w:val="18"/>
          <w:color w:val="auto"/>
        </w:rPr>
      </w:pPr>
    </w:p>
    <w:p>
      <w:pPr>
        <w:ind w:left="424" w:hanging="424"/>
        <w:spacing w:after="0"/>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218440</wp:posOffset>
            </wp:positionH>
            <wp:positionV relativeFrom="paragraph">
              <wp:posOffset>-164465</wp:posOffset>
            </wp:positionV>
            <wp:extent cx="65087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08750" cy="8890"/>
                    </a:xfrm>
                    <a:prstGeom prst="rect">
                      <a:avLst/>
                    </a:prstGeom>
                    <a:noFill/>
                  </pic:spPr>
                </pic:pic>
              </a:graphicData>
            </a:graphic>
          </wp:anchor>
        </w:drawing>
        <w:drawing>
          <wp:anchor simplePos="0" relativeHeight="251657728" behindDoc="1" locked="0" layoutInCell="0" allowOverlap="1">
            <wp:simplePos x="0" y="0"/>
            <wp:positionH relativeFrom="column">
              <wp:posOffset>218440</wp:posOffset>
            </wp:positionH>
            <wp:positionV relativeFrom="paragraph">
              <wp:posOffset>358140</wp:posOffset>
            </wp:positionV>
            <wp:extent cx="65087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08750" cy="8890"/>
                    </a:xfrm>
                    <a:prstGeom prst="rect">
                      <a:avLst/>
                    </a:prstGeom>
                    <a:noFill/>
                  </pic:spPr>
                </pic:pic>
              </a:graphicData>
            </a:graphic>
          </wp:anchor>
        </w:drawing>
        <w:drawing>
          <wp:anchor simplePos="0" relativeHeight="251657728" behindDoc="1" locked="0" layoutInCell="0" allowOverlap="1">
            <wp:simplePos x="0" y="0"/>
            <wp:positionH relativeFrom="column">
              <wp:posOffset>-269240</wp:posOffset>
            </wp:positionH>
            <wp:positionV relativeFrom="paragraph">
              <wp:posOffset>554990</wp:posOffset>
            </wp:positionV>
            <wp:extent cx="6997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-269240</wp:posOffset>
            </wp:positionH>
            <wp:positionV relativeFrom="paragraph">
              <wp:posOffset>606425</wp:posOffset>
            </wp:positionV>
            <wp:extent cx="6997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9583"/>
          </w:cols>
          <w:pgMar w:left="876" w:top="760"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205740</wp:posOffset>
            </wp:positionV>
            <wp:extent cx="2470150" cy="4286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7015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Brink’s Company</w:t>
      </w:r>
    </w:p>
    <w:p>
      <w:pPr>
        <w:spacing w:after="0" w:line="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1801 Bayberry Court</w:t>
      </w:r>
    </w:p>
    <w:p>
      <w:pPr>
        <w:jc w:val="center"/>
        <w:ind w:right="-199"/>
        <w:spacing w:after="0" w:line="234" w:lineRule="auto"/>
        <w:rPr>
          <w:sz w:val="20"/>
          <w:szCs w:val="20"/>
          <w:color w:val="auto"/>
        </w:rPr>
      </w:pPr>
      <w:r>
        <w:rPr>
          <w:rFonts w:ascii="Arial" w:cs="Arial" w:eastAsia="Arial" w:hAnsi="Arial"/>
          <w:sz w:val="18"/>
          <w:szCs w:val="18"/>
          <w:color w:val="auto"/>
        </w:rPr>
        <w:t>P.O. Box 18100</w:t>
      </w:r>
    </w:p>
    <w:p>
      <w:pPr>
        <w:spacing w:after="0" w:line="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Richmond, VA 23226-8100</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15, 2019</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Our Shareholders:</w:t>
      </w:r>
    </w:p>
    <w:p>
      <w:pPr>
        <w:spacing w:after="0" w:line="104" w:lineRule="exact"/>
        <w:rPr>
          <w:sz w:val="20"/>
          <w:szCs w:val="20"/>
          <w:color w:val="auto"/>
        </w:rPr>
      </w:pPr>
    </w:p>
    <w:p>
      <w:pPr>
        <w:ind w:left="200" w:right="420"/>
        <w:spacing w:after="0" w:line="275" w:lineRule="auto"/>
        <w:rPr>
          <w:sz w:val="20"/>
          <w:szCs w:val="20"/>
          <w:color w:val="auto"/>
        </w:rPr>
      </w:pPr>
      <w:r>
        <w:rPr>
          <w:rFonts w:ascii="Arial" w:cs="Arial" w:eastAsia="Arial" w:hAnsi="Arial"/>
          <w:sz w:val="17"/>
          <w:szCs w:val="17"/>
          <w:color w:val="auto"/>
        </w:rPr>
        <w:t>On behalf of the Board of Directors, we invite you to attend the annual meeting of shareholders of The Brink’s Company on Thursday, May 2, 2019 at 10:00 a.m. local time at the Hilton Dallas/Southlake Town Square, 1400 Plaza Place, Southlake, Texas 76092.</w:t>
      </w:r>
    </w:p>
    <w:p>
      <w:pPr>
        <w:spacing w:after="0" w:line="65" w:lineRule="exact"/>
        <w:rPr>
          <w:sz w:val="20"/>
          <w:szCs w:val="20"/>
          <w:color w:val="auto"/>
        </w:rPr>
      </w:pPr>
    </w:p>
    <w:p>
      <w:pPr>
        <w:ind w:left="200" w:right="120"/>
        <w:spacing w:after="0" w:line="236" w:lineRule="auto"/>
        <w:rPr>
          <w:sz w:val="20"/>
          <w:szCs w:val="20"/>
          <w:color w:val="auto"/>
        </w:rPr>
      </w:pPr>
      <w:r>
        <w:rPr>
          <w:rFonts w:ascii="Arial" w:cs="Arial" w:eastAsia="Arial" w:hAnsi="Arial"/>
          <w:sz w:val="18"/>
          <w:szCs w:val="18"/>
          <w:color w:val="auto"/>
        </w:rPr>
        <w:t>2018 was another year of significant growth for Brink’s. We saw improvement in our financial results as we continued to execute on our strategy to accelerate profitable growth through acquisitions, including Dunbar Armored in the U.S., as well as organic margin improvement. We reported full year Operating Profit on a GAAP basis of $275 million (vs. $274 million in 2017) and non-GAAP Operating Profit</w:t>
      </w:r>
      <w:r>
        <w:rPr>
          <w:rFonts w:ascii="Arial" w:cs="Arial" w:eastAsia="Arial" w:hAnsi="Arial"/>
          <w:sz w:val="15"/>
          <w:szCs w:val="15"/>
          <w:color w:val="auto"/>
        </w:rPr>
        <w:t>*</w:t>
      </w:r>
      <w:r>
        <w:rPr>
          <w:rFonts w:ascii="Arial" w:cs="Arial" w:eastAsia="Arial" w:hAnsi="Arial"/>
          <w:sz w:val="18"/>
          <w:szCs w:val="18"/>
          <w:color w:val="auto"/>
        </w:rPr>
        <w:t xml:space="preserve"> of $347 million, compared to $281 million in 2017. Our Operating Margin Rate on a GAAP basis was 7.9% (vs. 8.2% in 2017) and on a non-GAAP basis was 10.1% (vs. 8.8% in 2017). Earnings per share was $(0.65) on a GAAP basis and $3.46 on a non-GAAP basis. Our Compensation Committee and Board continue to adhere to a philosophy that aligns pay and performance through awards of annual and long-term incentives that balance management performance and shareholder returns. As we enter 2019, we remain dedicated to growing our Company and continuing to deliver value to our shareholders, while maintaining our high standards of corporate governance and our unwavering commitment to safety and security for our customers and employees.</w:t>
      </w:r>
    </w:p>
    <w:p>
      <w:pPr>
        <w:spacing w:after="0" w:line="99" w:lineRule="exact"/>
        <w:rPr>
          <w:sz w:val="20"/>
          <w:szCs w:val="20"/>
          <w:color w:val="auto"/>
        </w:rPr>
      </w:pPr>
    </w:p>
    <w:p>
      <w:pPr>
        <w:ind w:left="200" w:right="140"/>
        <w:spacing w:after="0"/>
        <w:rPr>
          <w:sz w:val="20"/>
          <w:szCs w:val="20"/>
          <w:color w:val="auto"/>
        </w:rPr>
      </w:pPr>
      <w:r>
        <w:rPr>
          <w:rFonts w:ascii="Arial" w:cs="Arial" w:eastAsia="Arial" w:hAnsi="Arial"/>
          <w:sz w:val="18"/>
          <w:szCs w:val="18"/>
          <w:color w:val="auto"/>
        </w:rPr>
        <w:t>Your vote at the annual shareholder meeting is important. Whether or not you plan to attend the meeting, we urge you to vote as soon as possible. There are two ways to vote. You can complete, sign, date and return the enclosed proxy in the envelope provided or you can vote on the internet.</w:t>
      </w:r>
    </w:p>
    <w:p>
      <w:pPr>
        <w:spacing w:after="0" w:line="9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look forward to seeing you at the annual meeting and thank you for your continued support.</w:t>
      </w:r>
    </w:p>
    <w:p>
      <w:pPr>
        <w:spacing w:after="0" w:line="32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Sincerely,</w:t>
      </w:r>
    </w:p>
    <w:p>
      <w:pPr>
        <w:sectPr>
          <w:pgSz w:w="11900" w:h="16838" w:orient="portrait"/>
          <w:cols w:equalWidth="0" w:num="1">
            <w:col w:w="11220"/>
          </w:cols>
          <w:pgMar w:left="240" w:top="459" w:right="439" w:bottom="1440" w:gutter="0" w:footer="0" w:header="0"/>
        </w:sectPr>
      </w:pPr>
    </w:p>
    <w:p>
      <w:pPr>
        <w:spacing w:after="0" w:line="2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Douglas A. Pertz</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92075</wp:posOffset>
            </wp:positionV>
            <wp:extent cx="11150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Michael J. Herling</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Chairman of the Board</w:t>
      </w:r>
    </w:p>
    <w:p>
      <w:pPr>
        <w:spacing w:after="0" w:line="111" w:lineRule="exact"/>
        <w:rPr>
          <w:sz w:val="20"/>
          <w:szCs w:val="20"/>
          <w:color w:val="auto"/>
        </w:rPr>
      </w:pPr>
    </w:p>
    <w:p>
      <w:pPr>
        <w:sectPr>
          <w:pgSz w:w="11900" w:h="16838" w:orient="portrait"/>
          <w:cols w:equalWidth="0" w:num="2">
            <w:col w:w="5120" w:space="720"/>
            <w:col w:w="5380"/>
          </w:cols>
          <w:pgMar w:left="240" w:top="459" w:right="439" w:bottom="1440" w:gutter="0" w:footer="0" w:header="0"/>
          <w:type w:val="continuous"/>
        </w:sectPr>
      </w:pPr>
    </w:p>
    <w:p>
      <w:pPr>
        <w:ind w:left="520" w:hanging="316"/>
        <w:spacing w:after="0"/>
        <w:tabs>
          <w:tab w:leader="none" w:pos="520" w:val="left"/>
        </w:tabs>
        <w:numPr>
          <w:ilvl w:val="0"/>
          <w:numId w:val="6"/>
        </w:numPr>
        <w:rPr>
          <w:rFonts w:ascii="Arial" w:cs="Arial" w:eastAsia="Arial" w:hAnsi="Arial"/>
          <w:sz w:val="24"/>
          <w:szCs w:val="24"/>
          <w:color w:val="auto"/>
          <w:vertAlign w:val="superscript"/>
        </w:rPr>
      </w:pPr>
      <w:r>
        <w:rPr>
          <w:rFonts w:ascii="Arial" w:cs="Arial" w:eastAsia="Arial" w:hAnsi="Arial"/>
          <w:sz w:val="14"/>
          <w:szCs w:val="14"/>
          <w:color w:val="auto"/>
        </w:rPr>
        <w:t>Reconciliations of non-GAAP to GAAP results appear in Annex A.</w:t>
      </w:r>
    </w:p>
    <w:p>
      <w:pPr>
        <w:sectPr>
          <w:pgSz w:w="11900" w:h="16838" w:orient="portrait"/>
          <w:cols w:equalWidth="0" w:num="1">
            <w:col w:w="11220"/>
          </w:cols>
          <w:pgMar w:left="240" w:top="459" w:right="4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883285</wp:posOffset>
            </wp:positionV>
            <wp:extent cx="6997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205740</wp:posOffset>
            </wp:positionV>
            <wp:extent cx="2470150" cy="4286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47015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239"/>
        <w:spacing w:after="0"/>
        <w:rPr>
          <w:sz w:val="20"/>
          <w:szCs w:val="20"/>
          <w:color w:val="auto"/>
        </w:rPr>
      </w:pPr>
      <w:r>
        <w:rPr>
          <w:rFonts w:ascii="Arial" w:cs="Arial" w:eastAsia="Arial" w:hAnsi="Arial"/>
          <w:sz w:val="32"/>
          <w:szCs w:val="32"/>
          <w:b w:val="1"/>
          <w:bCs w:val="1"/>
          <w:color w:val="0033A0"/>
        </w:rPr>
        <w:t>NOTICE OF ANNUAL MEETING OF SHAREHOLDERS</w:t>
      </w:r>
    </w:p>
    <w:p>
      <w:pPr>
        <w:spacing w:after="0" w:line="50" w:lineRule="exact"/>
        <w:rPr>
          <w:sz w:val="20"/>
          <w:szCs w:val="20"/>
          <w:color w:val="auto"/>
        </w:rPr>
      </w:pPr>
    </w:p>
    <w:p>
      <w:pPr>
        <w:jc w:val="center"/>
        <w:ind w:right="-239"/>
        <w:spacing w:after="0"/>
        <w:rPr>
          <w:sz w:val="20"/>
          <w:szCs w:val="20"/>
          <w:color w:val="auto"/>
        </w:rPr>
      </w:pPr>
      <w:r>
        <w:rPr>
          <w:rFonts w:ascii="Arial" w:cs="Arial" w:eastAsia="Arial" w:hAnsi="Arial"/>
          <w:sz w:val="32"/>
          <w:szCs w:val="32"/>
          <w:b w:val="1"/>
          <w:bCs w:val="1"/>
          <w:color w:val="0033A0"/>
        </w:rPr>
        <w:t>TO BE HELD MAY 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115570</wp:posOffset>
            </wp:positionV>
            <wp:extent cx="6997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83" w:lineRule="exact"/>
        <w:rPr>
          <w:sz w:val="20"/>
          <w:szCs w:val="20"/>
          <w:color w:val="auto"/>
        </w:rPr>
      </w:pPr>
    </w:p>
    <w:p>
      <w:pPr>
        <w:ind w:left="200" w:right="640"/>
        <w:spacing w:after="0" w:line="246" w:lineRule="auto"/>
        <w:rPr>
          <w:sz w:val="20"/>
          <w:szCs w:val="20"/>
          <w:color w:val="auto"/>
        </w:rPr>
      </w:pPr>
      <w:r>
        <w:rPr>
          <w:rFonts w:ascii="Arial" w:cs="Arial" w:eastAsia="Arial" w:hAnsi="Arial"/>
          <w:sz w:val="18"/>
          <w:szCs w:val="18"/>
          <w:color w:val="auto"/>
        </w:rPr>
        <w:t>The annual meeting of shareholders of THE BRINK’S COMPANY will be held on May 2, 2019 at 10:00 a.m. local time at the Hilton Dallas/Southlake Town Square, 1400 Plaza Place, Southlake, Texas 76092 for the following purposes:</w:t>
      </w:r>
    </w:p>
    <w:p>
      <w:pPr>
        <w:spacing w:after="0" w:line="102" w:lineRule="exact"/>
        <w:rPr>
          <w:sz w:val="20"/>
          <w:szCs w:val="20"/>
          <w:color w:val="auto"/>
        </w:rPr>
      </w:pPr>
    </w:p>
    <w:p>
      <w:pPr>
        <w:ind w:left="640" w:right="80" w:hanging="436"/>
        <w:spacing w:after="0" w:line="246"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elect as directors the eight nominees to the Board of Directors named in the accompanying proxy statement, for terms expiring in 2020.</w:t>
      </w:r>
    </w:p>
    <w:p>
      <w:pPr>
        <w:spacing w:after="0" w:line="102" w:lineRule="exact"/>
        <w:rPr>
          <w:rFonts w:ascii="Arial" w:cs="Arial" w:eastAsia="Arial" w:hAnsi="Arial"/>
          <w:sz w:val="18"/>
          <w:szCs w:val="18"/>
          <w:color w:val="auto"/>
        </w:rPr>
      </w:pPr>
    </w:p>
    <w:p>
      <w:pPr>
        <w:ind w:left="640" w:hanging="43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an advisory resolution on named executive officer compensation.</w:t>
      </w:r>
    </w:p>
    <w:p>
      <w:pPr>
        <w:spacing w:after="0" w:line="117" w:lineRule="exact"/>
        <w:rPr>
          <w:rFonts w:ascii="Arial" w:cs="Arial" w:eastAsia="Arial" w:hAnsi="Arial"/>
          <w:sz w:val="18"/>
          <w:szCs w:val="18"/>
          <w:color w:val="auto"/>
        </w:rPr>
      </w:pPr>
    </w:p>
    <w:p>
      <w:pPr>
        <w:ind w:left="640" w:right="220" w:hanging="436"/>
        <w:spacing w:after="0" w:line="246"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the selection of Deloitte and Touche LLP as the Company’s independent registered public accounting firm for the fiscal year ending December 31, 2019.</w:t>
      </w:r>
    </w:p>
    <w:p>
      <w:pPr>
        <w:spacing w:after="0" w:line="102" w:lineRule="exact"/>
        <w:rPr>
          <w:rFonts w:ascii="Arial" w:cs="Arial" w:eastAsia="Arial" w:hAnsi="Arial"/>
          <w:sz w:val="18"/>
          <w:szCs w:val="18"/>
          <w:color w:val="auto"/>
        </w:rPr>
      </w:pPr>
    </w:p>
    <w:p>
      <w:pPr>
        <w:ind w:left="640" w:hanging="43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or postponement thereof.</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close of business on March 1, 2019 has been fixed as the record date for determining the shareholders entitled to notice of and to vote at the annual meeting. This proxy statement and the accompanying form of proxy and annual report to shareholders are being mailed to shareholders of record as of the close of business on March 1, 2019, commencing on or about March 21, 2019.</w:t>
      </w:r>
    </w:p>
    <w:p>
      <w:pPr>
        <w:spacing w:after="0" w:line="95" w:lineRule="exact"/>
        <w:rPr>
          <w:sz w:val="20"/>
          <w:szCs w:val="20"/>
          <w:color w:val="auto"/>
        </w:rPr>
      </w:pPr>
    </w:p>
    <w:p>
      <w:pPr>
        <w:ind w:left="200" w:right="1000"/>
        <w:spacing w:after="0" w:line="246" w:lineRule="auto"/>
        <w:rPr>
          <w:sz w:val="20"/>
          <w:szCs w:val="20"/>
          <w:color w:val="auto"/>
        </w:rPr>
      </w:pPr>
      <w:r>
        <w:rPr>
          <w:rFonts w:ascii="Arial" w:cs="Arial" w:eastAsia="Arial" w:hAnsi="Arial"/>
          <w:sz w:val="18"/>
          <w:szCs w:val="18"/>
          <w:color w:val="auto"/>
        </w:rPr>
        <w:t>Please note that brokers may not vote your shares on the election of directors or the advisory vote on named executive officer compensation in the absence of your specific instructions as to how to vote.</w:t>
      </w:r>
    </w:p>
    <w:p>
      <w:pPr>
        <w:spacing w:after="0" w:line="67" w:lineRule="exact"/>
        <w:rPr>
          <w:sz w:val="20"/>
          <w:szCs w:val="20"/>
          <w:color w:val="auto"/>
        </w:rPr>
      </w:pPr>
    </w:p>
    <w:p>
      <w:pPr>
        <w:jc w:val="both"/>
        <w:ind w:left="200" w:right="60"/>
        <w:spacing w:after="0" w:line="302" w:lineRule="auto"/>
        <w:rPr>
          <w:sz w:val="20"/>
          <w:szCs w:val="20"/>
          <w:color w:val="auto"/>
        </w:rPr>
      </w:pPr>
      <w:r>
        <w:rPr>
          <w:rFonts w:ascii="Arial" w:cs="Arial" w:eastAsia="Arial" w:hAnsi="Arial"/>
          <w:sz w:val="17"/>
          <w:szCs w:val="17"/>
          <w:b w:val="1"/>
          <w:bCs w:val="1"/>
          <w:color w:val="auto"/>
        </w:rPr>
        <w:t>YOUR VOTE IS IMPORTANT. WHETHER OR NOT YOU PLAN TO ATTEND THE MEETING, PLEASE MARK, SIGN, DATE AND MAIL THE ENCLOSED PROXY CARD OR VOTE ON THE INTERNET. A RETURN ENVELOPE IS ENCLOSED FOR YOUR CONVENIENCE.</w:t>
      </w:r>
    </w:p>
    <w:p>
      <w:pPr>
        <w:spacing w:after="0" w:line="36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Lindsay K. Blackwood</w:t>
      </w:r>
    </w:p>
    <w:p>
      <w:pPr>
        <w:ind w:left="200"/>
        <w:spacing w:after="0"/>
        <w:rPr>
          <w:sz w:val="20"/>
          <w:szCs w:val="20"/>
          <w:color w:val="auto"/>
        </w:rPr>
      </w:pPr>
      <w:r>
        <w:rPr>
          <w:rFonts w:ascii="Arial" w:cs="Arial" w:eastAsia="Arial" w:hAnsi="Arial"/>
          <w:sz w:val="18"/>
          <w:szCs w:val="18"/>
          <w:i w:val="1"/>
          <w:iCs w:val="1"/>
          <w:color w:val="auto"/>
        </w:rPr>
        <w:t>Secretary</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March 15,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149860</wp:posOffset>
            </wp:positionV>
            <wp:extent cx="7002145" cy="7759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02145" cy="775970"/>
                    </a:xfrm>
                    <a:prstGeom prst="rect">
                      <a:avLst/>
                    </a:prstGeom>
                    <a:noFill/>
                  </pic:spPr>
                </pic:pic>
              </a:graphicData>
            </a:graphic>
          </wp:anchor>
        </w:drawing>
      </w:r>
    </w:p>
    <w:p>
      <w:pPr>
        <w:spacing w:after="0" w:line="27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IMPORTANT NOTICE REGARDING THE AVAILABILITY OF PROXY MATERIALS FOR THE</w:t>
      </w:r>
    </w:p>
    <w:p>
      <w:pPr>
        <w:spacing w:after="0" w:line="1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SHAREHOLDER MEETING TO BE HELD ON MAY 2, 2019.</w:t>
      </w:r>
    </w:p>
    <w:p>
      <w:pPr>
        <w:spacing w:after="0" w:line="19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The annual report to shareholders and proxy statement are available at:</w:t>
      </w:r>
    </w:p>
    <w:p>
      <w:pPr>
        <w:spacing w:after="0" w:line="1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http://investors.brinks.com/2019annualmeetingmaterials</w:t>
      </w:r>
    </w:p>
    <w:p>
      <w:pPr>
        <w:sectPr>
          <w:pgSz w:w="11900" w:h="16838" w:orient="portrait"/>
          <w:cols w:equalWidth="0" w:num="1">
            <w:col w:w="11200"/>
          </w:cols>
          <w:pgMar w:left="240" w:top="45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ind w:left="200"/>
        <w:spacing w:after="0"/>
        <w:rPr>
          <w:sz w:val="20"/>
          <w:szCs w:val="20"/>
          <w:color w:val="auto"/>
        </w:rPr>
      </w:pPr>
      <w:r>
        <w:rPr>
          <w:rFonts w:ascii="Arial" w:cs="Arial" w:eastAsia="Arial" w:hAnsi="Arial"/>
          <w:sz w:val="46"/>
          <w:szCs w:val="46"/>
          <w:color w:val="0033A0"/>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191770</wp:posOffset>
            </wp:positionV>
            <wp:extent cx="698944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89445" cy="8890"/>
                    </a:xfrm>
                    <a:prstGeom prst="rect">
                      <a:avLst/>
                    </a:prstGeom>
                    <a:noFill/>
                  </pic:spPr>
                </pic:pic>
              </a:graphicData>
            </a:graphic>
          </wp:anchor>
        </w:drawing>
      </w:r>
    </w:p>
    <w:p>
      <w:pPr>
        <w:sectPr>
          <w:pgSz w:w="11900" w:h="16838" w:orient="portrait"/>
          <w:cols w:equalWidth="0" w:num="1">
            <w:col w:w="11160"/>
          </w:cols>
          <w:pgMar w:left="240" w:top="459" w:right="49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200"/>
        <w:spacing w:after="0"/>
        <w:rPr>
          <w:rFonts w:ascii="Arial" w:cs="Arial" w:eastAsia="Arial" w:hAnsi="Arial"/>
          <w:sz w:val="22"/>
          <w:szCs w:val="22"/>
          <w:b w:val="1"/>
          <w:bCs w:val="1"/>
          <w:u w:val="single" w:color="auto"/>
          <w:color w:val="0000EE"/>
        </w:rPr>
      </w:pPr>
      <w:hyperlink w:anchor="page6">
        <w:r>
          <w:rPr>
            <w:rFonts w:ascii="Arial" w:cs="Arial" w:eastAsia="Arial" w:hAnsi="Arial"/>
            <w:sz w:val="22"/>
            <w:szCs w:val="22"/>
            <w:b w:val="1"/>
            <w:bCs w:val="1"/>
            <w:u w:val="single" w:color="auto"/>
            <w:color w:val="0000EE"/>
          </w:rPr>
          <w:t>PROXY SUMMARY</w:t>
        </w:r>
      </w:hyperlink>
    </w:p>
    <w:p>
      <w:pPr>
        <w:spacing w:after="0" w:line="125" w:lineRule="exact"/>
        <w:rPr>
          <w:sz w:val="20"/>
          <w:szCs w:val="20"/>
          <w:color w:val="auto"/>
        </w:rPr>
      </w:pPr>
    </w:p>
    <w:p>
      <w:pPr>
        <w:ind w:left="200" w:right="280"/>
        <w:spacing w:after="0" w:line="261" w:lineRule="auto"/>
        <w:rPr>
          <w:rFonts w:ascii="Arial" w:cs="Arial" w:eastAsia="Arial" w:hAnsi="Arial"/>
          <w:sz w:val="22"/>
          <w:szCs w:val="22"/>
          <w:b w:val="1"/>
          <w:bCs w:val="1"/>
          <w:u w:val="single" w:color="auto"/>
          <w:color w:val="0000EE"/>
        </w:rPr>
      </w:pPr>
      <w:hyperlink w:anchor="page11">
        <w:r>
          <w:rPr>
            <w:rFonts w:ascii="Arial" w:cs="Arial" w:eastAsia="Arial" w:hAnsi="Arial"/>
            <w:sz w:val="22"/>
            <w:szCs w:val="22"/>
            <w:b w:val="1"/>
            <w:bCs w:val="1"/>
            <w:u w:val="single" w:color="auto"/>
            <w:color w:val="0000EE"/>
          </w:rPr>
          <w:t>QUESTIONS AND ANSWERS ABOUT THE</w:t>
        </w:r>
      </w:hyperlink>
      <w:r>
        <w:rPr>
          <w:rFonts w:ascii="Arial" w:cs="Arial" w:eastAsia="Arial" w:hAnsi="Arial"/>
          <w:sz w:val="22"/>
          <w:szCs w:val="22"/>
          <w:b w:val="1"/>
          <w:bCs w:val="1"/>
          <w:u w:val="single" w:color="auto"/>
          <w:color w:val="0000EE"/>
        </w:rPr>
        <w:t xml:space="preserve"> </w:t>
      </w:r>
      <w:hyperlink w:anchor="page11">
        <w:r>
          <w:rPr>
            <w:rFonts w:ascii="Arial" w:cs="Arial" w:eastAsia="Arial" w:hAnsi="Arial"/>
            <w:sz w:val="22"/>
            <w:szCs w:val="22"/>
            <w:b w:val="1"/>
            <w:bCs w:val="1"/>
            <w:u w:val="single" w:color="auto"/>
            <w:color w:val="0000EE"/>
          </w:rPr>
          <w:t>ANNUAL MEETING</w:t>
        </w:r>
      </w:hyperlink>
    </w:p>
    <w:p>
      <w:pPr>
        <w:spacing w:after="0" w:line="71" w:lineRule="exact"/>
        <w:rPr>
          <w:sz w:val="20"/>
          <w:szCs w:val="20"/>
          <w:color w:val="auto"/>
        </w:rPr>
      </w:pPr>
    </w:p>
    <w:p>
      <w:pPr>
        <w:ind w:left="200"/>
        <w:spacing w:after="0"/>
        <w:rPr>
          <w:rFonts w:ascii="Arial" w:cs="Arial" w:eastAsia="Arial" w:hAnsi="Arial"/>
          <w:sz w:val="22"/>
          <w:szCs w:val="22"/>
          <w:b w:val="1"/>
          <w:bCs w:val="1"/>
          <w:u w:val="single" w:color="auto"/>
          <w:color w:val="0000EE"/>
        </w:rPr>
      </w:pPr>
      <w:hyperlink w:anchor="page14">
        <w:r>
          <w:rPr>
            <w:rFonts w:ascii="Arial" w:cs="Arial" w:eastAsia="Arial" w:hAnsi="Arial"/>
            <w:sz w:val="22"/>
            <w:szCs w:val="22"/>
            <w:b w:val="1"/>
            <w:bCs w:val="1"/>
            <w:u w:val="single" w:color="auto"/>
            <w:color w:val="0000EE"/>
          </w:rPr>
          <w:t>CORPORATE GOVERNANCE</w:t>
        </w:r>
      </w:hyperlink>
    </w:p>
    <w:p>
      <w:pPr>
        <w:spacing w:after="0" w:line="30" w:lineRule="exact"/>
        <w:rPr>
          <w:sz w:val="20"/>
          <w:szCs w:val="20"/>
          <w:color w:val="auto"/>
        </w:rPr>
      </w:pPr>
    </w:p>
    <w:p>
      <w:pPr>
        <w:ind w:left="500"/>
        <w:spacing w:after="0"/>
        <w:rPr>
          <w:rFonts w:ascii="Arial" w:cs="Arial" w:eastAsia="Arial" w:hAnsi="Arial"/>
          <w:sz w:val="17"/>
          <w:szCs w:val="17"/>
          <w:u w:val="single" w:color="auto"/>
          <w:color w:val="0000EE"/>
        </w:rPr>
      </w:pPr>
      <w:hyperlink w:anchor="page14">
        <w:r>
          <w:rPr>
            <w:rFonts w:ascii="Arial" w:cs="Arial" w:eastAsia="Arial" w:hAnsi="Arial"/>
            <w:sz w:val="17"/>
            <w:szCs w:val="17"/>
            <w:u w:val="single" w:color="auto"/>
            <w:color w:val="0000EE"/>
          </w:rPr>
          <w:t>Board of Directors</w:t>
        </w:r>
      </w:hyperlink>
    </w:p>
    <w:p>
      <w:pPr>
        <w:spacing w:after="0" w:line="7" w:lineRule="exact"/>
        <w:rPr>
          <w:sz w:val="20"/>
          <w:szCs w:val="20"/>
          <w:color w:val="auto"/>
        </w:rPr>
      </w:pPr>
    </w:p>
    <w:p>
      <w:pPr>
        <w:ind w:left="500"/>
        <w:spacing w:after="0"/>
        <w:rPr>
          <w:rFonts w:ascii="Arial" w:cs="Arial" w:eastAsia="Arial" w:hAnsi="Arial"/>
          <w:sz w:val="17"/>
          <w:szCs w:val="17"/>
          <w:u w:val="single" w:color="auto"/>
          <w:color w:val="0000EE"/>
        </w:rPr>
      </w:pPr>
      <w:hyperlink w:anchor="page15">
        <w:r>
          <w:rPr>
            <w:rFonts w:ascii="Arial" w:cs="Arial" w:eastAsia="Arial" w:hAnsi="Arial"/>
            <w:sz w:val="17"/>
            <w:szCs w:val="17"/>
            <w:u w:val="single" w:color="auto"/>
            <w:color w:val="0000EE"/>
          </w:rPr>
          <w:t>Board Independence</w:t>
        </w:r>
      </w:hyperlink>
    </w:p>
    <w:p>
      <w:pPr>
        <w:spacing w:after="0" w:line="7" w:lineRule="exact"/>
        <w:rPr>
          <w:sz w:val="20"/>
          <w:szCs w:val="20"/>
          <w:color w:val="auto"/>
        </w:rPr>
      </w:pPr>
    </w:p>
    <w:p>
      <w:pPr>
        <w:ind w:left="500"/>
        <w:spacing w:after="0"/>
        <w:rPr>
          <w:rFonts w:ascii="Arial" w:cs="Arial" w:eastAsia="Arial" w:hAnsi="Arial"/>
          <w:sz w:val="17"/>
          <w:szCs w:val="17"/>
          <w:u w:val="single" w:color="auto"/>
          <w:color w:val="0000EE"/>
        </w:rPr>
      </w:pPr>
      <w:hyperlink w:anchor="page16">
        <w:r>
          <w:rPr>
            <w:rFonts w:ascii="Arial" w:cs="Arial" w:eastAsia="Arial" w:hAnsi="Arial"/>
            <w:sz w:val="17"/>
            <w:szCs w:val="17"/>
            <w:u w:val="single" w:color="auto"/>
            <w:color w:val="0000EE"/>
          </w:rPr>
          <w:t>Committees of the Board</w:t>
        </w:r>
      </w:hyperlink>
    </w:p>
    <w:p>
      <w:pPr>
        <w:spacing w:after="0" w:line="7" w:lineRule="exact"/>
        <w:rPr>
          <w:sz w:val="20"/>
          <w:szCs w:val="20"/>
          <w:color w:val="auto"/>
        </w:rPr>
      </w:pPr>
    </w:p>
    <w:p>
      <w:pPr>
        <w:ind w:left="500"/>
        <w:spacing w:after="0"/>
        <w:rPr>
          <w:rFonts w:ascii="Arial" w:cs="Arial" w:eastAsia="Arial" w:hAnsi="Arial"/>
          <w:sz w:val="17"/>
          <w:szCs w:val="17"/>
          <w:u w:val="single" w:color="auto"/>
          <w:color w:val="0000EE"/>
        </w:rPr>
      </w:pPr>
      <w:hyperlink w:anchor="page17">
        <w:r>
          <w:rPr>
            <w:rFonts w:ascii="Arial" w:cs="Arial" w:eastAsia="Arial" w:hAnsi="Arial"/>
            <w:sz w:val="17"/>
            <w:szCs w:val="17"/>
            <w:u w:val="single" w:color="auto"/>
            <w:color w:val="0000EE"/>
          </w:rPr>
          <w:t>Director Nominating Process</w:t>
        </w:r>
      </w:hyperlink>
    </w:p>
    <w:p>
      <w:pPr>
        <w:spacing w:after="0" w:line="7" w:lineRule="exact"/>
        <w:rPr>
          <w:sz w:val="20"/>
          <w:szCs w:val="20"/>
          <w:color w:val="auto"/>
        </w:rPr>
      </w:pPr>
    </w:p>
    <w:p>
      <w:pPr>
        <w:ind w:left="500"/>
        <w:spacing w:after="0"/>
        <w:rPr>
          <w:rFonts w:ascii="Arial" w:cs="Arial" w:eastAsia="Arial" w:hAnsi="Arial"/>
          <w:sz w:val="17"/>
          <w:szCs w:val="17"/>
          <w:u w:val="single" w:color="auto"/>
          <w:color w:val="0000EE"/>
        </w:rPr>
      </w:pPr>
      <w:hyperlink w:anchor="page18">
        <w:r>
          <w:rPr>
            <w:rFonts w:ascii="Arial" w:cs="Arial" w:eastAsia="Arial" w:hAnsi="Arial"/>
            <w:sz w:val="17"/>
            <w:szCs w:val="17"/>
            <w:u w:val="single" w:color="auto"/>
            <w:color w:val="0000EE"/>
          </w:rPr>
          <w:t>Board Evaluations</w:t>
        </w:r>
      </w:hyperlink>
    </w:p>
    <w:p>
      <w:pPr>
        <w:spacing w:after="0" w:line="7" w:lineRule="exact"/>
        <w:rPr>
          <w:sz w:val="20"/>
          <w:szCs w:val="20"/>
          <w:color w:val="auto"/>
        </w:rPr>
      </w:pPr>
    </w:p>
    <w:p>
      <w:pPr>
        <w:ind w:left="500"/>
        <w:spacing w:after="0"/>
        <w:rPr>
          <w:rFonts w:ascii="Arial" w:cs="Arial" w:eastAsia="Arial" w:hAnsi="Arial"/>
          <w:sz w:val="17"/>
          <w:szCs w:val="17"/>
          <w:u w:val="single" w:color="auto"/>
          <w:color w:val="0000EE"/>
        </w:rPr>
      </w:pPr>
      <w:hyperlink w:anchor="page18">
        <w:r>
          <w:rPr>
            <w:rFonts w:ascii="Arial" w:cs="Arial" w:eastAsia="Arial" w:hAnsi="Arial"/>
            <w:sz w:val="17"/>
            <w:szCs w:val="17"/>
            <w:u w:val="single" w:color="auto"/>
            <w:color w:val="0000EE"/>
          </w:rPr>
          <w:t>Board Role in Risk Oversight</w:t>
        </w:r>
      </w:hyperlink>
    </w:p>
    <w:p>
      <w:pPr>
        <w:spacing w:after="0" w:line="7" w:lineRule="exact"/>
        <w:rPr>
          <w:sz w:val="20"/>
          <w:szCs w:val="20"/>
          <w:color w:val="auto"/>
        </w:rPr>
      </w:pPr>
    </w:p>
    <w:p>
      <w:pPr>
        <w:ind w:left="500"/>
        <w:spacing w:after="0"/>
        <w:rPr>
          <w:rFonts w:ascii="Arial" w:cs="Arial" w:eastAsia="Arial" w:hAnsi="Arial"/>
          <w:sz w:val="17"/>
          <w:szCs w:val="17"/>
          <w:u w:val="single" w:color="auto"/>
          <w:color w:val="0000EE"/>
        </w:rPr>
      </w:pPr>
      <w:hyperlink w:anchor="page19">
        <w:r>
          <w:rPr>
            <w:rFonts w:ascii="Arial" w:cs="Arial" w:eastAsia="Arial" w:hAnsi="Arial"/>
            <w:sz w:val="17"/>
            <w:szCs w:val="17"/>
            <w:u w:val="single" w:color="auto"/>
            <w:color w:val="0000EE"/>
          </w:rPr>
          <w:t>Compensation Risk Assessment</w:t>
        </w:r>
      </w:hyperlink>
    </w:p>
    <w:p>
      <w:pPr>
        <w:spacing w:after="0" w:line="7" w:lineRule="exact"/>
        <w:rPr>
          <w:sz w:val="20"/>
          <w:szCs w:val="20"/>
          <w:color w:val="auto"/>
        </w:rPr>
      </w:pPr>
    </w:p>
    <w:p>
      <w:pPr>
        <w:ind w:left="780" w:right="440" w:hanging="286"/>
        <w:spacing w:after="0"/>
        <w:rPr>
          <w:rFonts w:ascii="Arial" w:cs="Arial" w:eastAsia="Arial" w:hAnsi="Arial"/>
          <w:sz w:val="17"/>
          <w:szCs w:val="17"/>
          <w:u w:val="single" w:color="auto"/>
          <w:color w:val="0000EE"/>
        </w:rPr>
      </w:pPr>
      <w:hyperlink w:anchor="page20">
        <w:r>
          <w:rPr>
            <w:rFonts w:ascii="Arial" w:cs="Arial" w:eastAsia="Arial" w:hAnsi="Arial"/>
            <w:sz w:val="17"/>
            <w:szCs w:val="17"/>
            <w:u w:val="single" w:color="auto"/>
            <w:color w:val="0000EE"/>
          </w:rPr>
          <w:t>Policy and Process for Approval of Related Person</w:t>
        </w:r>
      </w:hyperlink>
      <w:r>
        <w:rPr>
          <w:rFonts w:ascii="Arial" w:cs="Arial" w:eastAsia="Arial" w:hAnsi="Arial"/>
          <w:sz w:val="17"/>
          <w:szCs w:val="17"/>
          <w:u w:val="single" w:color="auto"/>
          <w:color w:val="0000EE"/>
        </w:rPr>
        <w:t xml:space="preserve"> </w:t>
      </w:r>
      <w:hyperlink w:anchor="page20">
        <w:r>
          <w:rPr>
            <w:rFonts w:ascii="Arial" w:cs="Arial" w:eastAsia="Arial" w:hAnsi="Arial"/>
            <w:sz w:val="17"/>
            <w:szCs w:val="17"/>
            <w:u w:val="single" w:color="auto"/>
            <w:color w:val="0000EE"/>
          </w:rPr>
          <w:t>Transactions</w:t>
        </w:r>
      </w:hyperlink>
    </w:p>
    <w:p>
      <w:pPr>
        <w:spacing w:after="0" w:line="1" w:lineRule="exact"/>
        <w:rPr>
          <w:sz w:val="20"/>
          <w:szCs w:val="20"/>
          <w:color w:val="auto"/>
        </w:rPr>
      </w:pPr>
    </w:p>
    <w:p>
      <w:pPr>
        <w:ind w:left="780" w:hanging="286"/>
        <w:spacing w:after="0"/>
        <w:rPr>
          <w:rFonts w:ascii="Arial" w:cs="Arial" w:eastAsia="Arial" w:hAnsi="Arial"/>
          <w:sz w:val="17"/>
          <w:szCs w:val="17"/>
          <w:u w:val="single" w:color="auto"/>
          <w:color w:val="0000EE"/>
        </w:rPr>
      </w:pPr>
      <w:hyperlink w:anchor="page20">
        <w:r>
          <w:rPr>
            <w:rFonts w:ascii="Arial" w:cs="Arial" w:eastAsia="Arial" w:hAnsi="Arial"/>
            <w:sz w:val="17"/>
            <w:szCs w:val="17"/>
            <w:u w:val="single" w:color="auto"/>
            <w:color w:val="0000EE"/>
          </w:rPr>
          <w:t>Communications with Non-Management Members of the</w:t>
        </w:r>
      </w:hyperlink>
      <w:r>
        <w:rPr>
          <w:rFonts w:ascii="Arial" w:cs="Arial" w:eastAsia="Arial" w:hAnsi="Arial"/>
          <w:sz w:val="17"/>
          <w:szCs w:val="17"/>
          <w:u w:val="single" w:color="auto"/>
          <w:color w:val="0000EE"/>
        </w:rPr>
        <w:t xml:space="preserve"> </w:t>
      </w:r>
      <w:hyperlink w:anchor="page20">
        <w:r>
          <w:rPr>
            <w:rFonts w:ascii="Arial" w:cs="Arial" w:eastAsia="Arial" w:hAnsi="Arial"/>
            <w:sz w:val="17"/>
            <w:szCs w:val="17"/>
            <w:u w:val="single" w:color="auto"/>
            <w:color w:val="0000EE"/>
          </w:rPr>
          <w:t>Board of Directors</w:t>
        </w:r>
      </w:hyperlink>
    </w:p>
    <w:p>
      <w:pPr>
        <w:spacing w:after="0" w:line="1" w:lineRule="exact"/>
        <w:rPr>
          <w:sz w:val="20"/>
          <w:szCs w:val="20"/>
          <w:color w:val="auto"/>
        </w:rPr>
      </w:pPr>
    </w:p>
    <w:p>
      <w:pPr>
        <w:ind w:left="500"/>
        <w:spacing w:after="0"/>
        <w:rPr>
          <w:rFonts w:ascii="Arial" w:cs="Arial" w:eastAsia="Arial" w:hAnsi="Arial"/>
          <w:sz w:val="17"/>
          <w:szCs w:val="17"/>
          <w:u w:val="single" w:color="auto"/>
          <w:color w:val="0000EE"/>
        </w:rPr>
      </w:pPr>
      <w:hyperlink w:anchor="page20">
        <w:r>
          <w:rPr>
            <w:rFonts w:ascii="Arial" w:cs="Arial" w:eastAsia="Arial" w:hAnsi="Arial"/>
            <w:sz w:val="17"/>
            <w:szCs w:val="17"/>
            <w:u w:val="single" w:color="auto"/>
            <w:color w:val="0000EE"/>
          </w:rPr>
          <w:t>Succession Planning</w:t>
        </w:r>
      </w:hyperlink>
    </w:p>
    <w:p>
      <w:pPr>
        <w:spacing w:after="0" w:line="7" w:lineRule="exact"/>
        <w:rPr>
          <w:sz w:val="20"/>
          <w:szCs w:val="20"/>
          <w:color w:val="auto"/>
        </w:rPr>
      </w:pPr>
    </w:p>
    <w:p>
      <w:pPr>
        <w:ind w:left="500"/>
        <w:spacing w:after="0"/>
        <w:rPr>
          <w:rFonts w:ascii="Arial" w:cs="Arial" w:eastAsia="Arial" w:hAnsi="Arial"/>
          <w:sz w:val="17"/>
          <w:szCs w:val="17"/>
          <w:u w:val="single" w:color="auto"/>
          <w:color w:val="0000EE"/>
        </w:rPr>
      </w:pPr>
      <w:hyperlink w:anchor="page20">
        <w:r>
          <w:rPr>
            <w:rFonts w:ascii="Arial" w:cs="Arial" w:eastAsia="Arial" w:hAnsi="Arial"/>
            <w:sz w:val="17"/>
            <w:szCs w:val="17"/>
            <w:u w:val="single" w:color="auto"/>
            <w:color w:val="0000EE"/>
          </w:rPr>
          <w:t>Political Contributions</w:t>
        </w:r>
      </w:hyperlink>
    </w:p>
    <w:p>
      <w:pPr>
        <w:spacing w:after="0" w:line="7" w:lineRule="exact"/>
        <w:rPr>
          <w:sz w:val="20"/>
          <w:szCs w:val="20"/>
          <w:color w:val="auto"/>
        </w:rPr>
      </w:pPr>
    </w:p>
    <w:p>
      <w:pPr>
        <w:ind w:left="500"/>
        <w:spacing w:after="0"/>
        <w:rPr>
          <w:rFonts w:ascii="Arial" w:cs="Arial" w:eastAsia="Arial" w:hAnsi="Arial"/>
          <w:sz w:val="17"/>
          <w:szCs w:val="17"/>
          <w:u w:val="single" w:color="auto"/>
          <w:color w:val="0000EE"/>
        </w:rPr>
      </w:pPr>
      <w:hyperlink w:anchor="page21">
        <w:r>
          <w:rPr>
            <w:rFonts w:ascii="Arial" w:cs="Arial" w:eastAsia="Arial" w:hAnsi="Arial"/>
            <w:sz w:val="17"/>
            <w:szCs w:val="17"/>
            <w:u w:val="single" w:color="auto"/>
            <w:color w:val="0000EE"/>
          </w:rPr>
          <w:t>Resignation and Retirement</w:t>
        </w:r>
      </w:hyperlink>
    </w:p>
    <w:p>
      <w:pPr>
        <w:spacing w:after="0" w:line="102" w:lineRule="exact"/>
        <w:rPr>
          <w:sz w:val="20"/>
          <w:szCs w:val="20"/>
          <w:color w:val="auto"/>
        </w:rPr>
      </w:pPr>
    </w:p>
    <w:p>
      <w:pPr>
        <w:ind w:left="200" w:right="1060"/>
        <w:spacing w:after="0" w:line="261" w:lineRule="auto"/>
        <w:rPr>
          <w:rFonts w:ascii="Arial" w:cs="Arial" w:eastAsia="Arial" w:hAnsi="Arial"/>
          <w:sz w:val="22"/>
          <w:szCs w:val="22"/>
          <w:b w:val="1"/>
          <w:bCs w:val="1"/>
          <w:u w:val="single" w:color="auto"/>
          <w:color w:val="0000EE"/>
        </w:rPr>
      </w:pPr>
      <w:hyperlink w:anchor="page22">
        <w:r>
          <w:rPr>
            <w:rFonts w:ascii="Arial" w:cs="Arial" w:eastAsia="Arial" w:hAnsi="Arial"/>
            <w:sz w:val="22"/>
            <w:szCs w:val="22"/>
            <w:b w:val="1"/>
            <w:bCs w:val="1"/>
            <w:u w:val="single" w:color="auto"/>
            <w:color w:val="0000EE"/>
          </w:rPr>
          <w:t>PROPOSAL NO. 1—ELECTION OF</w:t>
        </w:r>
      </w:hyperlink>
      <w:r>
        <w:rPr>
          <w:rFonts w:ascii="Arial" w:cs="Arial" w:eastAsia="Arial" w:hAnsi="Arial"/>
          <w:sz w:val="22"/>
          <w:szCs w:val="22"/>
          <w:b w:val="1"/>
          <w:bCs w:val="1"/>
          <w:u w:val="single" w:color="auto"/>
          <w:color w:val="0000EE"/>
        </w:rPr>
        <w:t xml:space="preserve"> </w:t>
      </w:r>
      <w:hyperlink w:anchor="page22">
        <w:r>
          <w:rPr>
            <w:rFonts w:ascii="Arial" w:cs="Arial" w:eastAsia="Arial" w:hAnsi="Arial"/>
            <w:sz w:val="22"/>
            <w:szCs w:val="22"/>
            <w:b w:val="1"/>
            <w:bCs w:val="1"/>
            <w:u w:val="single" w:color="auto"/>
            <w:color w:val="0000EE"/>
          </w:rPr>
          <w:t>DIRECTORS</w:t>
        </w:r>
      </w:hyperlink>
    </w:p>
    <w:p>
      <w:pPr>
        <w:spacing w:after="0" w:line="71" w:lineRule="exact"/>
        <w:rPr>
          <w:sz w:val="20"/>
          <w:szCs w:val="20"/>
          <w:color w:val="auto"/>
        </w:rPr>
      </w:pPr>
    </w:p>
    <w:p>
      <w:pPr>
        <w:jc w:val="both"/>
        <w:ind w:left="200" w:right="360"/>
        <w:spacing w:after="0" w:line="246" w:lineRule="auto"/>
        <w:rPr>
          <w:rFonts w:ascii="Arial" w:cs="Arial" w:eastAsia="Arial" w:hAnsi="Arial"/>
          <w:sz w:val="22"/>
          <w:szCs w:val="22"/>
          <w:b w:val="1"/>
          <w:bCs w:val="1"/>
          <w:u w:val="single" w:color="auto"/>
          <w:color w:val="0000EE"/>
        </w:rPr>
      </w:pPr>
      <w:hyperlink w:anchor="page28">
        <w:r>
          <w:rPr>
            <w:rFonts w:ascii="Arial" w:cs="Arial" w:eastAsia="Arial" w:hAnsi="Arial"/>
            <w:sz w:val="22"/>
            <w:szCs w:val="22"/>
            <w:b w:val="1"/>
            <w:bCs w:val="1"/>
            <w:u w:val="single" w:color="auto"/>
            <w:color w:val="0000EE"/>
          </w:rPr>
          <w:t>PROPOSAL NO. 2—ADVISORY VOTE TO</w:t>
        </w:r>
      </w:hyperlink>
      <w:r>
        <w:rPr>
          <w:rFonts w:ascii="Arial" w:cs="Arial" w:eastAsia="Arial" w:hAnsi="Arial"/>
          <w:sz w:val="22"/>
          <w:szCs w:val="22"/>
          <w:b w:val="1"/>
          <w:bCs w:val="1"/>
          <w:u w:val="single" w:color="auto"/>
          <w:color w:val="0000EE"/>
        </w:rPr>
        <w:t xml:space="preserve"> </w:t>
      </w:r>
      <w:hyperlink w:anchor="page28">
        <w:r>
          <w:rPr>
            <w:rFonts w:ascii="Arial" w:cs="Arial" w:eastAsia="Arial" w:hAnsi="Arial"/>
            <w:sz w:val="22"/>
            <w:szCs w:val="22"/>
            <w:b w:val="1"/>
            <w:bCs w:val="1"/>
            <w:u w:val="single" w:color="auto"/>
            <w:color w:val="0000EE"/>
          </w:rPr>
          <w:t>APPROVE NAMED EXECUTIVE OFFICER</w:t>
        </w:r>
      </w:hyperlink>
      <w:r>
        <w:rPr>
          <w:rFonts w:ascii="Arial" w:cs="Arial" w:eastAsia="Arial" w:hAnsi="Arial"/>
          <w:sz w:val="22"/>
          <w:szCs w:val="22"/>
          <w:b w:val="1"/>
          <w:bCs w:val="1"/>
          <w:u w:val="single" w:color="auto"/>
          <w:color w:val="0000EE"/>
        </w:rPr>
        <w:t xml:space="preserve"> </w:t>
      </w:r>
      <w:hyperlink w:anchor="page28">
        <w:r>
          <w:rPr>
            <w:rFonts w:ascii="Arial" w:cs="Arial" w:eastAsia="Arial" w:hAnsi="Arial"/>
            <w:sz w:val="22"/>
            <w:szCs w:val="22"/>
            <w:b w:val="1"/>
            <w:bCs w:val="1"/>
            <w:u w:val="single" w:color="auto"/>
            <w:color w:val="0000EE"/>
          </w:rPr>
          <w:t>COMPENSATION</w:t>
        </w:r>
      </w:hyperlink>
    </w:p>
    <w:p>
      <w:pPr>
        <w:spacing w:after="0" w:line="86" w:lineRule="exact"/>
        <w:rPr>
          <w:rFonts w:ascii="Arial" w:cs="Arial" w:eastAsia="Arial" w:hAnsi="Arial"/>
          <w:sz w:val="22"/>
          <w:szCs w:val="22"/>
          <w:b w:val="1"/>
          <w:bCs w:val="1"/>
          <w:u w:val="single" w:color="auto"/>
          <w:color w:val="0000EE"/>
        </w:rPr>
      </w:pPr>
    </w:p>
    <w:p>
      <w:pPr>
        <w:ind w:left="200" w:right="880"/>
        <w:spacing w:after="0" w:line="249" w:lineRule="auto"/>
        <w:rPr>
          <w:rFonts w:ascii="Arial" w:cs="Arial" w:eastAsia="Arial" w:hAnsi="Arial"/>
          <w:sz w:val="22"/>
          <w:szCs w:val="22"/>
          <w:b w:val="1"/>
          <w:bCs w:val="1"/>
          <w:u w:val="single" w:color="auto"/>
          <w:color w:val="0000EE"/>
        </w:rPr>
      </w:pPr>
      <w:hyperlink w:anchor="page30">
        <w:r>
          <w:rPr>
            <w:rFonts w:ascii="Arial" w:cs="Arial" w:eastAsia="Arial" w:hAnsi="Arial"/>
            <w:sz w:val="22"/>
            <w:szCs w:val="22"/>
            <w:b w:val="1"/>
            <w:bCs w:val="1"/>
            <w:u w:val="single" w:color="auto"/>
            <w:color w:val="0000EE"/>
          </w:rPr>
          <w:t>COMPENSATION DISCUSSION AND</w:t>
        </w:r>
      </w:hyperlink>
      <w:r>
        <w:rPr>
          <w:rFonts w:ascii="Arial" w:cs="Arial" w:eastAsia="Arial" w:hAnsi="Arial"/>
          <w:sz w:val="22"/>
          <w:szCs w:val="22"/>
          <w:b w:val="1"/>
          <w:bCs w:val="1"/>
          <w:u w:val="single" w:color="auto"/>
          <w:color w:val="0000EE"/>
        </w:rPr>
        <w:t xml:space="preserve"> </w:t>
      </w:r>
      <w:hyperlink w:anchor="page30">
        <w:r>
          <w:rPr>
            <w:rFonts w:ascii="Arial" w:cs="Arial" w:eastAsia="Arial" w:hAnsi="Arial"/>
            <w:sz w:val="22"/>
            <w:szCs w:val="22"/>
            <w:b w:val="1"/>
            <w:bCs w:val="1"/>
            <w:u w:val="single" w:color="auto"/>
            <w:color w:val="0000EE"/>
          </w:rPr>
          <w:t>ANALYSIS</w:t>
        </w:r>
      </w:hyperlink>
    </w:p>
    <w:p>
      <w:pPr>
        <w:spacing w:after="0" w:line="1" w:lineRule="exact"/>
        <w:rPr>
          <w:sz w:val="20"/>
          <w:szCs w:val="20"/>
          <w:color w:val="auto"/>
        </w:rPr>
      </w:pPr>
    </w:p>
    <w:p>
      <w:pPr>
        <w:ind w:left="500"/>
        <w:spacing w:after="0"/>
        <w:rPr>
          <w:rFonts w:ascii="Arial" w:cs="Arial" w:eastAsia="Arial" w:hAnsi="Arial"/>
          <w:sz w:val="17"/>
          <w:szCs w:val="17"/>
          <w:u w:val="single" w:color="auto"/>
          <w:color w:val="0000EE"/>
        </w:rPr>
      </w:pPr>
      <w:hyperlink w:anchor="page30">
        <w:r>
          <w:rPr>
            <w:rFonts w:ascii="Arial" w:cs="Arial" w:eastAsia="Arial" w:hAnsi="Arial"/>
            <w:sz w:val="17"/>
            <w:szCs w:val="17"/>
            <w:u w:val="single" w:color="auto"/>
            <w:color w:val="0000EE"/>
          </w:rPr>
          <w:t>Executive Summary</w:t>
        </w:r>
      </w:hyperlink>
    </w:p>
    <w:p>
      <w:pPr>
        <w:spacing w:after="0" w:line="7" w:lineRule="exact"/>
        <w:rPr>
          <w:sz w:val="20"/>
          <w:szCs w:val="20"/>
          <w:color w:val="auto"/>
        </w:rPr>
      </w:pPr>
    </w:p>
    <w:p>
      <w:pPr>
        <w:ind w:left="500"/>
        <w:spacing w:after="0" w:line="248" w:lineRule="auto"/>
        <w:rPr>
          <w:rFonts w:ascii="Arial" w:cs="Arial" w:eastAsia="Arial" w:hAnsi="Arial"/>
          <w:sz w:val="17"/>
          <w:szCs w:val="17"/>
          <w:u w:val="single" w:color="auto"/>
          <w:color w:val="0000EE"/>
        </w:rPr>
      </w:pPr>
      <w:hyperlink w:anchor="page32">
        <w:r>
          <w:rPr>
            <w:rFonts w:ascii="Arial" w:cs="Arial" w:eastAsia="Arial" w:hAnsi="Arial"/>
            <w:sz w:val="17"/>
            <w:szCs w:val="17"/>
            <w:u w:val="single" w:color="auto"/>
            <w:color w:val="0000EE"/>
          </w:rPr>
          <w:t>Executive Compensation Program Components for 2018</w:t>
        </w:r>
      </w:hyperlink>
      <w:r>
        <w:rPr>
          <w:rFonts w:ascii="Arial" w:cs="Arial" w:eastAsia="Arial" w:hAnsi="Arial"/>
          <w:sz w:val="17"/>
          <w:szCs w:val="17"/>
          <w:u w:val="single" w:color="auto"/>
          <w:color w:val="0000EE"/>
        </w:rPr>
        <w:t xml:space="preserve"> </w:t>
      </w:r>
      <w:hyperlink w:anchor="page34">
        <w:r>
          <w:rPr>
            <w:rFonts w:ascii="Arial" w:cs="Arial" w:eastAsia="Arial" w:hAnsi="Arial"/>
            <w:sz w:val="17"/>
            <w:szCs w:val="17"/>
            <w:u w:val="single" w:color="auto"/>
            <w:color w:val="0000EE"/>
          </w:rPr>
          <w:t>Process for Setting Executive Compensation</w:t>
        </w:r>
      </w:hyperlink>
    </w:p>
    <w:p>
      <w:pPr>
        <w:spacing w:after="0" w:line="1" w:lineRule="exact"/>
        <w:rPr>
          <w:sz w:val="20"/>
          <w:szCs w:val="20"/>
          <w:color w:val="auto"/>
        </w:rPr>
      </w:pPr>
    </w:p>
    <w:p>
      <w:pPr>
        <w:ind w:left="500" w:right="80"/>
        <w:spacing w:after="0" w:line="257" w:lineRule="auto"/>
        <w:rPr>
          <w:rFonts w:ascii="Arial" w:cs="Arial" w:eastAsia="Arial" w:hAnsi="Arial"/>
          <w:sz w:val="17"/>
          <w:szCs w:val="17"/>
          <w:u w:val="single" w:color="auto"/>
          <w:color w:val="0000EE"/>
        </w:rPr>
      </w:pPr>
      <w:hyperlink w:anchor="page35">
        <w:r>
          <w:rPr>
            <w:rFonts w:ascii="Arial" w:cs="Arial" w:eastAsia="Arial" w:hAnsi="Arial"/>
            <w:sz w:val="17"/>
            <w:szCs w:val="17"/>
            <w:u w:val="single" w:color="auto"/>
            <w:color w:val="0000EE"/>
          </w:rPr>
          <w:t>Factors Considered in Making Compensation Decisions</w:t>
        </w:r>
      </w:hyperlink>
      <w:r>
        <w:rPr>
          <w:rFonts w:ascii="Arial" w:cs="Arial" w:eastAsia="Arial" w:hAnsi="Arial"/>
          <w:sz w:val="17"/>
          <w:szCs w:val="17"/>
          <w:u w:val="single" w:color="auto"/>
          <w:color w:val="0000EE"/>
        </w:rPr>
        <w:t xml:space="preserve"> </w:t>
      </w:r>
      <w:hyperlink w:anchor="page36">
        <w:r>
          <w:rPr>
            <w:rFonts w:ascii="Arial" w:cs="Arial" w:eastAsia="Arial" w:hAnsi="Arial"/>
            <w:sz w:val="17"/>
            <w:szCs w:val="17"/>
            <w:u w:val="single" w:color="auto"/>
            <w:color w:val="0000EE"/>
          </w:rPr>
          <w:t>2018 Compensation Decisions by Component</w:t>
        </w:r>
      </w:hyperlink>
      <w:r>
        <w:rPr>
          <w:rFonts w:ascii="Arial" w:cs="Arial" w:eastAsia="Arial" w:hAnsi="Arial"/>
          <w:sz w:val="17"/>
          <w:szCs w:val="17"/>
          <w:u w:val="single" w:color="auto"/>
          <w:color w:val="0000EE"/>
        </w:rPr>
        <w:t xml:space="preserve"> </w:t>
      </w:r>
      <w:hyperlink w:anchor="page45">
        <w:r>
          <w:rPr>
            <w:rFonts w:ascii="Arial" w:cs="Arial" w:eastAsia="Arial" w:hAnsi="Arial"/>
            <w:sz w:val="17"/>
            <w:szCs w:val="17"/>
            <w:u w:val="single" w:color="auto"/>
            <w:color w:val="0000EE"/>
          </w:rPr>
          <w:t>Benefits</w:t>
        </w:r>
      </w:hyperlink>
    </w:p>
    <w:p>
      <w:pPr>
        <w:spacing w:after="0" w:line="189" w:lineRule="exact"/>
        <w:rPr>
          <w:rFonts w:ascii="Arial" w:cs="Arial" w:eastAsia="Arial" w:hAnsi="Arial"/>
          <w:sz w:val="17"/>
          <w:szCs w:val="17"/>
          <w:u w:val="single" w:color="auto"/>
          <w:color w:val="0000EE"/>
        </w:rPr>
      </w:pPr>
    </w:p>
    <w:p>
      <w:pPr>
        <w:ind w:left="500" w:right="1660"/>
        <w:spacing w:after="0" w:line="248" w:lineRule="auto"/>
        <w:rPr>
          <w:rFonts w:ascii="Arial" w:cs="Arial" w:eastAsia="Arial" w:hAnsi="Arial"/>
          <w:sz w:val="17"/>
          <w:szCs w:val="17"/>
          <w:u w:val="single" w:color="auto"/>
          <w:color w:val="0000EE"/>
        </w:rPr>
      </w:pPr>
      <w:hyperlink w:anchor="page46">
        <w:r>
          <w:rPr>
            <w:rFonts w:ascii="Arial" w:cs="Arial" w:eastAsia="Arial" w:hAnsi="Arial"/>
            <w:sz w:val="17"/>
            <w:szCs w:val="17"/>
            <w:u w:val="single" w:color="auto"/>
            <w:color w:val="0000EE"/>
          </w:rPr>
          <w:t>Change in Control Agreements</w:t>
        </w:r>
      </w:hyperlink>
      <w:r>
        <w:rPr>
          <w:rFonts w:ascii="Arial" w:cs="Arial" w:eastAsia="Arial" w:hAnsi="Arial"/>
          <w:sz w:val="17"/>
          <w:szCs w:val="17"/>
          <w:u w:val="single" w:color="auto"/>
          <w:color w:val="0000EE"/>
        </w:rPr>
        <w:t xml:space="preserve"> </w:t>
      </w:r>
      <w:hyperlink w:anchor="page47">
        <w:r>
          <w:rPr>
            <w:rFonts w:ascii="Arial" w:cs="Arial" w:eastAsia="Arial" w:hAnsi="Arial"/>
            <w:sz w:val="17"/>
            <w:szCs w:val="17"/>
            <w:u w:val="single" w:color="auto"/>
            <w:color w:val="0000EE"/>
          </w:rPr>
          <w:t>Compensation Recoupment Policy</w:t>
        </w:r>
      </w:hyperlink>
    </w:p>
    <w:p>
      <w:pPr>
        <w:spacing w:after="0" w:line="1" w:lineRule="exact"/>
        <w:rPr>
          <w:sz w:val="20"/>
          <w:szCs w:val="20"/>
          <w:color w:val="auto"/>
        </w:rPr>
      </w:pPr>
    </w:p>
    <w:p>
      <w:pPr>
        <w:ind w:left="780" w:right="320" w:hanging="286"/>
        <w:spacing w:after="0" w:line="243" w:lineRule="auto"/>
        <w:rPr>
          <w:rFonts w:ascii="Arial" w:cs="Arial" w:eastAsia="Arial" w:hAnsi="Arial"/>
          <w:sz w:val="17"/>
          <w:szCs w:val="17"/>
          <w:u w:val="single" w:color="auto"/>
          <w:color w:val="0000EE"/>
        </w:rPr>
      </w:pPr>
      <w:hyperlink w:anchor="page47">
        <w:r>
          <w:rPr>
            <w:rFonts w:ascii="Arial" w:cs="Arial" w:eastAsia="Arial" w:hAnsi="Arial"/>
            <w:sz w:val="17"/>
            <w:szCs w:val="17"/>
            <w:u w:val="single" w:color="auto"/>
            <w:color w:val="0000EE"/>
          </w:rPr>
          <w:t>Stock Ownership Guidelines and Prohibition Against</w:t>
        </w:r>
      </w:hyperlink>
      <w:r>
        <w:rPr>
          <w:rFonts w:ascii="Arial" w:cs="Arial" w:eastAsia="Arial" w:hAnsi="Arial"/>
          <w:sz w:val="17"/>
          <w:szCs w:val="17"/>
          <w:u w:val="single" w:color="auto"/>
          <w:color w:val="0000EE"/>
        </w:rPr>
        <w:t xml:space="preserve"> </w:t>
      </w:r>
      <w:hyperlink w:anchor="page47">
        <w:r>
          <w:rPr>
            <w:rFonts w:ascii="Arial" w:cs="Arial" w:eastAsia="Arial" w:hAnsi="Arial"/>
            <w:sz w:val="17"/>
            <w:szCs w:val="17"/>
            <w:u w:val="single" w:color="auto"/>
            <w:color w:val="0000EE"/>
          </w:rPr>
          <w:t>Hedging</w:t>
        </w:r>
      </w:hyperlink>
    </w:p>
    <w:p>
      <w:pPr>
        <w:spacing w:after="0" w:line="91" w:lineRule="exact"/>
        <w:rPr>
          <w:sz w:val="20"/>
          <w:szCs w:val="20"/>
          <w:color w:val="auto"/>
        </w:rPr>
      </w:pPr>
    </w:p>
    <w:p>
      <w:pPr>
        <w:ind w:left="200" w:right="1160"/>
        <w:spacing w:after="0" w:line="285" w:lineRule="auto"/>
        <w:rPr>
          <w:rFonts w:ascii="Arial" w:cs="Arial" w:eastAsia="Arial" w:hAnsi="Arial"/>
          <w:sz w:val="21"/>
          <w:szCs w:val="21"/>
          <w:b w:val="1"/>
          <w:bCs w:val="1"/>
          <w:u w:val="single" w:color="auto"/>
          <w:color w:val="0000EE"/>
        </w:rPr>
      </w:pPr>
      <w:hyperlink w:anchor="page48">
        <w:r>
          <w:rPr>
            <w:rFonts w:ascii="Arial" w:cs="Arial" w:eastAsia="Arial" w:hAnsi="Arial"/>
            <w:sz w:val="21"/>
            <w:szCs w:val="21"/>
            <w:b w:val="1"/>
            <w:bCs w:val="1"/>
            <w:u w:val="single" w:color="auto"/>
            <w:color w:val="0000EE"/>
          </w:rPr>
          <w:t>COMPENSATION AND BENEFITS</w:t>
        </w:r>
      </w:hyperlink>
      <w:r>
        <w:rPr>
          <w:rFonts w:ascii="Arial" w:cs="Arial" w:eastAsia="Arial" w:hAnsi="Arial"/>
          <w:sz w:val="21"/>
          <w:szCs w:val="21"/>
          <w:b w:val="1"/>
          <w:bCs w:val="1"/>
          <w:u w:val="single" w:color="auto"/>
          <w:color w:val="0000EE"/>
        </w:rPr>
        <w:t xml:space="preserve"> </w:t>
      </w:r>
      <w:hyperlink w:anchor="page48">
        <w:r>
          <w:rPr>
            <w:rFonts w:ascii="Arial" w:cs="Arial" w:eastAsia="Arial" w:hAnsi="Arial"/>
            <w:sz w:val="21"/>
            <w:szCs w:val="21"/>
            <w:b w:val="1"/>
            <w:bCs w:val="1"/>
            <w:u w:val="single" w:color="auto"/>
            <w:color w:val="0000EE"/>
          </w:rPr>
          <w:t>COMMITTEE REPORT</w:t>
        </w:r>
      </w:hyperlink>
    </w:p>
    <w:p>
      <w:pPr>
        <w:spacing w:after="0" w:line="20" w:lineRule="exact"/>
        <w:rPr>
          <w:sz w:val="20"/>
          <w:szCs w:val="20"/>
          <w:color w:val="auto"/>
        </w:rPr>
      </w:pPr>
      <w:r>
        <w:rPr>
          <w:sz w:val="20"/>
          <w:szCs w:val="20"/>
          <w:color w:val="auto"/>
        </w:rPr>
        <w:br w:type="column"/>
      </w:r>
    </w:p>
    <w:p>
      <w:pPr>
        <w:spacing w:after="0" w:line="366" w:lineRule="exact"/>
        <w:rPr>
          <w:sz w:val="20"/>
          <w:szCs w:val="20"/>
          <w:color w:val="auto"/>
        </w:rPr>
      </w:pPr>
    </w:p>
    <w:p>
      <w:pPr>
        <w:spacing w:after="0" w:line="1" w:lineRule="exact"/>
        <w:rPr>
          <w:sz w:val="1"/>
          <w:szCs w:val="1"/>
          <w:color w:val="auto"/>
        </w:rPr>
      </w:pPr>
    </w:p>
    <w:tbl>
      <w:tblPr>
        <w:tblLayout w:type="fixed"/>
        <w:tblInd w:w="120" w:type="dxa"/>
        <w:tblCellMar>
          <w:top w:w="0" w:type="dxa"/>
          <w:left w:w="0" w:type="dxa"/>
          <w:bottom w:w="0" w:type="dxa"/>
          <w:right w:w="0" w:type="dxa"/>
        </w:tblCellMar>
      </w:tblPr>
      <w:tr>
        <w:trPr>
          <w:trHeight w:val="253"/>
        </w:trPr>
        <w:tc>
          <w:tcPr>
            <w:tcW w:w="5060" w:type="dxa"/>
            <w:vAlign w:val="bottom"/>
            <w:gridSpan w:val="3"/>
          </w:tcPr>
          <w:p>
            <w:pPr>
              <w:spacing w:after="0"/>
              <w:rPr>
                <w:rFonts w:ascii="Arial" w:cs="Arial" w:eastAsia="Arial" w:hAnsi="Arial"/>
                <w:sz w:val="22"/>
                <w:szCs w:val="22"/>
                <w:b w:val="1"/>
                <w:bCs w:val="1"/>
                <w:color w:val="0033A0"/>
              </w:rPr>
            </w:pPr>
            <w:r>
              <w:rPr>
                <w:rFonts w:ascii="Arial" w:cs="Arial" w:eastAsia="Arial" w:hAnsi="Arial"/>
                <w:sz w:val="22"/>
                <w:szCs w:val="22"/>
                <w:b w:val="1"/>
                <w:bCs w:val="1"/>
                <w:color w:val="0033A0"/>
              </w:rPr>
              <w:t xml:space="preserve">1    </w:t>
            </w:r>
            <w:hyperlink w:anchor="page49">
              <w:r>
                <w:rPr>
                  <w:rFonts w:ascii="Arial" w:cs="Arial" w:eastAsia="Arial" w:hAnsi="Arial"/>
                  <w:sz w:val="22"/>
                  <w:szCs w:val="22"/>
                  <w:b w:val="1"/>
                  <w:bCs w:val="1"/>
                  <w:color w:val="0000EE"/>
                </w:rPr>
                <w:t>SUMMARY COMPENSATION TABLE</w:t>
              </w:r>
            </w:hyperlink>
          </w:p>
        </w:tc>
        <w:tc>
          <w:tcPr>
            <w:tcW w:w="800" w:type="dxa"/>
            <w:vAlign w:val="bottom"/>
          </w:tcPr>
          <w:p>
            <w:pPr>
              <w:jc w:val="right"/>
              <w:spacing w:after="0"/>
              <w:rPr>
                <w:sz w:val="20"/>
                <w:szCs w:val="20"/>
                <w:color w:val="auto"/>
              </w:rPr>
            </w:pPr>
            <w:r>
              <w:rPr>
                <w:rFonts w:ascii="Arial" w:cs="Arial" w:eastAsia="Arial" w:hAnsi="Arial"/>
                <w:sz w:val="22"/>
                <w:szCs w:val="22"/>
                <w:b w:val="1"/>
                <w:bCs w:val="1"/>
                <w:color w:val="0033A0"/>
              </w:rPr>
              <w:t>44</w:t>
            </w:r>
          </w:p>
        </w:tc>
      </w:tr>
      <w:tr>
        <w:trPr>
          <w:trHeight w:val="20"/>
        </w:trPr>
        <w:tc>
          <w:tcPr>
            <w:tcW w:w="520" w:type="dxa"/>
            <w:vAlign w:val="bottom"/>
          </w:tcPr>
          <w:p>
            <w:pPr>
              <w:spacing w:after="0" w:line="20" w:lineRule="exact"/>
              <w:rPr>
                <w:sz w:val="1"/>
                <w:szCs w:val="1"/>
                <w:color w:val="auto"/>
              </w:rPr>
            </w:pPr>
          </w:p>
        </w:tc>
        <w:tc>
          <w:tcPr>
            <w:tcW w:w="370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58"/>
        </w:trPr>
        <w:tc>
          <w:tcPr>
            <w:tcW w:w="520" w:type="dxa"/>
            <w:vAlign w:val="bottom"/>
          </w:tcPr>
          <w:p>
            <w:pPr>
              <w:spacing w:after="0"/>
              <w:rPr>
                <w:sz w:val="24"/>
                <w:szCs w:val="24"/>
                <w:color w:val="auto"/>
              </w:rPr>
            </w:pPr>
          </w:p>
        </w:tc>
        <w:tc>
          <w:tcPr>
            <w:tcW w:w="4540" w:type="dxa"/>
            <w:vAlign w:val="bottom"/>
            <w:tcBorders>
              <w:bottom w:val="single" w:sz="8" w:color="0000EE"/>
            </w:tcBorders>
            <w:gridSpan w:val="2"/>
          </w:tcPr>
          <w:p>
            <w:pPr>
              <w:spacing w:after="0"/>
              <w:rPr>
                <w:rFonts w:ascii="Arial" w:cs="Arial" w:eastAsia="Arial" w:hAnsi="Arial"/>
                <w:sz w:val="22"/>
                <w:szCs w:val="22"/>
                <w:b w:val="1"/>
                <w:bCs w:val="1"/>
                <w:color w:val="0000EE"/>
                <w:w w:val="97"/>
              </w:rPr>
            </w:pPr>
            <w:hyperlink w:anchor="page52">
              <w:r>
                <w:rPr>
                  <w:rFonts w:ascii="Arial" w:cs="Arial" w:eastAsia="Arial" w:hAnsi="Arial"/>
                  <w:sz w:val="22"/>
                  <w:szCs w:val="22"/>
                  <w:b w:val="1"/>
                  <w:bCs w:val="1"/>
                  <w:color w:val="0000EE"/>
                  <w:w w:val="97"/>
                </w:rPr>
                <w:t>GRANTS OF PLAN-BASED AWARDS TABLE</w:t>
              </w:r>
            </w:hyperlink>
          </w:p>
        </w:tc>
        <w:tc>
          <w:tcPr>
            <w:tcW w:w="800" w:type="dxa"/>
            <w:vAlign w:val="bottom"/>
          </w:tcPr>
          <w:p>
            <w:pPr>
              <w:jc w:val="right"/>
              <w:spacing w:after="0"/>
              <w:rPr>
                <w:sz w:val="20"/>
                <w:szCs w:val="20"/>
                <w:color w:val="auto"/>
              </w:rPr>
            </w:pPr>
            <w:r>
              <w:rPr>
                <w:rFonts w:ascii="Arial" w:cs="Arial" w:eastAsia="Arial" w:hAnsi="Arial"/>
                <w:sz w:val="22"/>
                <w:szCs w:val="22"/>
                <w:b w:val="1"/>
                <w:bCs w:val="1"/>
                <w:color w:val="0033A0"/>
              </w:rPr>
              <w:t>47</w:t>
            </w:r>
          </w:p>
        </w:tc>
      </w:tr>
    </w:tbl>
    <w:p>
      <w:pPr>
        <w:ind w:left="640" w:hanging="519"/>
        <w:spacing w:after="0" w:line="193" w:lineRule="auto"/>
        <w:tabs>
          <w:tab w:leader="none" w:pos="640" w:val="left"/>
        </w:tabs>
        <w:numPr>
          <w:ilvl w:val="0"/>
          <w:numId w:val="8"/>
        </w:numPr>
        <w:rPr>
          <w:rFonts w:ascii="Arial" w:cs="Arial" w:eastAsia="Arial" w:hAnsi="Arial"/>
          <w:sz w:val="22"/>
          <w:szCs w:val="22"/>
          <w:b w:val="1"/>
          <w:bCs w:val="1"/>
          <w:u w:val="single" w:color="auto"/>
          <w:color w:val="0000EE"/>
        </w:rPr>
      </w:pPr>
      <w:hyperlink w:anchor="page55">
        <w:r>
          <w:rPr>
            <w:rFonts w:ascii="Arial" w:cs="Arial" w:eastAsia="Arial" w:hAnsi="Arial"/>
            <w:sz w:val="22"/>
            <w:szCs w:val="22"/>
            <w:b w:val="1"/>
            <w:bCs w:val="1"/>
            <w:u w:val="single" w:color="auto"/>
            <w:color w:val="0000EE"/>
          </w:rPr>
          <w:t>OUTSTANDING EQUITY AWARDS AT FISCAL</w:t>
        </w:r>
      </w:hyperlink>
    </w:p>
    <w:tbl>
      <w:tblPr>
        <w:tblLayout w:type="fixed"/>
        <w:tblInd w:w="0" w:type="dxa"/>
        <w:tblCellMar>
          <w:top w:w="0" w:type="dxa"/>
          <w:left w:w="0" w:type="dxa"/>
          <w:bottom w:w="0" w:type="dxa"/>
          <w:right w:w="0" w:type="dxa"/>
        </w:tblCellMar>
      </w:tblPr>
      <w:tr>
        <w:trPr>
          <w:trHeight w:val="210"/>
        </w:trPr>
        <w:tc>
          <w:tcPr>
            <w:tcW w:w="640" w:type="dxa"/>
            <w:vAlign w:val="bottom"/>
          </w:tcPr>
          <w:p>
            <w:pPr>
              <w:jc w:val="right"/>
              <w:ind w:right="312"/>
              <w:spacing w:after="0" w:line="210" w:lineRule="exact"/>
              <w:rPr>
                <w:sz w:val="20"/>
                <w:szCs w:val="20"/>
                <w:color w:val="auto"/>
              </w:rPr>
            </w:pPr>
            <w:r>
              <w:rPr>
                <w:rFonts w:ascii="Arial" w:cs="Arial" w:eastAsia="Arial" w:hAnsi="Arial"/>
                <w:sz w:val="22"/>
                <w:szCs w:val="22"/>
                <w:b w:val="1"/>
                <w:bCs w:val="1"/>
                <w:color w:val="0033A0"/>
              </w:rPr>
              <w:t>9</w:t>
            </w:r>
          </w:p>
        </w:tc>
        <w:tc>
          <w:tcPr>
            <w:tcW w:w="4880" w:type="dxa"/>
            <w:vAlign w:val="bottom"/>
            <w:gridSpan w:val="15"/>
          </w:tcPr>
          <w:p>
            <w:pPr>
              <w:spacing w:after="0" w:line="210" w:lineRule="exact"/>
              <w:rPr>
                <w:rFonts w:ascii="Arial" w:cs="Arial" w:eastAsia="Arial" w:hAnsi="Arial"/>
                <w:sz w:val="22"/>
                <w:szCs w:val="22"/>
                <w:b w:val="1"/>
                <w:bCs w:val="1"/>
                <w:color w:val="0000EE"/>
              </w:rPr>
            </w:pPr>
            <w:hyperlink w:anchor="page55">
              <w:r>
                <w:rPr>
                  <w:rFonts w:ascii="Arial" w:cs="Arial" w:eastAsia="Arial" w:hAnsi="Arial"/>
                  <w:sz w:val="22"/>
                  <w:szCs w:val="22"/>
                  <w:b w:val="1"/>
                  <w:bCs w:val="1"/>
                  <w:color w:val="0000EE"/>
                </w:rPr>
                <w:t>YEAR-END TABLE</w:t>
              </w:r>
            </w:hyperlink>
          </w:p>
        </w:tc>
        <w:tc>
          <w:tcPr>
            <w:tcW w:w="460" w:type="dxa"/>
            <w:vAlign w:val="bottom"/>
          </w:tcPr>
          <w:p>
            <w:pPr>
              <w:jc w:val="right"/>
              <w:spacing w:after="0" w:line="210" w:lineRule="exact"/>
              <w:rPr>
                <w:sz w:val="20"/>
                <w:szCs w:val="20"/>
                <w:color w:val="auto"/>
              </w:rPr>
            </w:pPr>
            <w:r>
              <w:rPr>
                <w:rFonts w:ascii="Arial" w:cs="Arial" w:eastAsia="Arial" w:hAnsi="Arial"/>
                <w:sz w:val="22"/>
                <w:szCs w:val="22"/>
                <w:b w:val="1"/>
                <w:bCs w:val="1"/>
                <w:color w:val="0033A0"/>
              </w:rPr>
              <w:t>50</w:t>
            </w:r>
          </w:p>
        </w:tc>
        <w:tc>
          <w:tcPr>
            <w:tcW w:w="0" w:type="dxa"/>
            <w:vAlign w:val="bottom"/>
          </w:tcPr>
          <w:p>
            <w:pPr>
              <w:spacing w:after="0"/>
              <w:rPr>
                <w:sz w:val="1"/>
                <w:szCs w:val="1"/>
                <w:color w:val="auto"/>
              </w:rPr>
            </w:pPr>
          </w:p>
        </w:tc>
      </w:tr>
      <w:tr>
        <w:trPr>
          <w:trHeight w:val="20"/>
        </w:trPr>
        <w:tc>
          <w:tcPr>
            <w:tcW w:w="640" w:type="dxa"/>
            <w:vAlign w:val="bottom"/>
            <w:vMerge w:val="restart"/>
          </w:tcPr>
          <w:p>
            <w:pPr>
              <w:jc w:val="right"/>
              <w:ind w:right="312"/>
              <w:spacing w:after="0"/>
              <w:rPr>
                <w:sz w:val="20"/>
                <w:szCs w:val="20"/>
                <w:color w:val="auto"/>
              </w:rPr>
            </w:pPr>
            <w:r>
              <w:rPr>
                <w:rFonts w:ascii="Arial" w:cs="Arial" w:eastAsia="Arial" w:hAnsi="Arial"/>
                <w:sz w:val="17"/>
                <w:szCs w:val="17"/>
                <w:color w:val="auto"/>
              </w:rPr>
              <w:t>9</w:t>
            </w:r>
          </w:p>
        </w:tc>
        <w:tc>
          <w:tcPr>
            <w:tcW w:w="2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40" w:type="dxa"/>
            <w:vAlign w:val="bottom"/>
            <w:vMerge w:val="continue"/>
          </w:tcPr>
          <w:p>
            <w:pPr>
              <w:spacing w:after="0"/>
              <w:rPr>
                <w:sz w:val="20"/>
                <w:szCs w:val="20"/>
                <w:color w:val="auto"/>
              </w:rPr>
            </w:pPr>
          </w:p>
        </w:tc>
        <w:tc>
          <w:tcPr>
            <w:tcW w:w="4400" w:type="dxa"/>
            <w:vAlign w:val="bottom"/>
            <w:gridSpan w:val="13"/>
            <w:vMerge w:val="restart"/>
          </w:tcPr>
          <w:p>
            <w:pPr>
              <w:spacing w:after="0"/>
              <w:rPr>
                <w:rFonts w:ascii="Arial" w:cs="Arial" w:eastAsia="Arial" w:hAnsi="Arial"/>
                <w:sz w:val="22"/>
                <w:szCs w:val="22"/>
                <w:b w:val="1"/>
                <w:bCs w:val="1"/>
                <w:color w:val="0000EE"/>
                <w:w w:val="97"/>
              </w:rPr>
            </w:pPr>
            <w:hyperlink w:anchor="page57">
              <w:r>
                <w:rPr>
                  <w:rFonts w:ascii="Arial" w:cs="Arial" w:eastAsia="Arial" w:hAnsi="Arial"/>
                  <w:sz w:val="22"/>
                  <w:szCs w:val="22"/>
                  <w:b w:val="1"/>
                  <w:bCs w:val="1"/>
                  <w:color w:val="0000EE"/>
                  <w:w w:val="97"/>
                </w:rPr>
                <w:t>OPTION EXERCISES AND STOCK VESTED</w:t>
              </w:r>
            </w:hyperlink>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3"/>
        </w:trPr>
        <w:tc>
          <w:tcPr>
            <w:tcW w:w="640" w:type="dxa"/>
            <w:vAlign w:val="bottom"/>
            <w:vMerge w:val="restart"/>
          </w:tcPr>
          <w:p>
            <w:pPr>
              <w:jc w:val="right"/>
              <w:ind w:right="312"/>
              <w:spacing w:after="0"/>
              <w:rPr>
                <w:sz w:val="20"/>
                <w:szCs w:val="20"/>
                <w:color w:val="auto"/>
              </w:rPr>
            </w:pPr>
            <w:r>
              <w:rPr>
                <w:rFonts w:ascii="Arial" w:cs="Arial" w:eastAsia="Arial" w:hAnsi="Arial"/>
                <w:sz w:val="17"/>
                <w:szCs w:val="17"/>
                <w:color w:val="auto"/>
              </w:rPr>
              <w:t>10</w:t>
            </w:r>
          </w:p>
        </w:tc>
        <w:tc>
          <w:tcPr>
            <w:tcW w:w="4400" w:type="dxa"/>
            <w:vAlign w:val="bottom"/>
            <w:tcBorders>
              <w:bottom w:val="single" w:sz="8" w:color="0000EE"/>
            </w:tcBorders>
            <w:gridSpan w:val="13"/>
            <w:vMerge w:val="continue"/>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5"/>
        </w:trPr>
        <w:tc>
          <w:tcPr>
            <w:tcW w:w="640" w:type="dxa"/>
            <w:vAlign w:val="bottom"/>
            <w:vMerge w:val="continue"/>
          </w:tcPr>
          <w:p>
            <w:pPr>
              <w:spacing w:after="0"/>
              <w:rPr>
                <w:sz w:val="4"/>
                <w:szCs w:val="4"/>
                <w:color w:val="auto"/>
              </w:rPr>
            </w:pPr>
          </w:p>
        </w:tc>
        <w:tc>
          <w:tcPr>
            <w:tcW w:w="4880" w:type="dxa"/>
            <w:vAlign w:val="bottom"/>
            <w:gridSpan w:val="15"/>
            <w:vMerge w:val="restart"/>
          </w:tcPr>
          <w:p>
            <w:pPr>
              <w:spacing w:after="0" w:line="223" w:lineRule="exact"/>
              <w:rPr>
                <w:rFonts w:ascii="Arial" w:cs="Arial" w:eastAsia="Arial" w:hAnsi="Arial"/>
                <w:sz w:val="22"/>
                <w:szCs w:val="22"/>
                <w:b w:val="1"/>
                <w:bCs w:val="1"/>
                <w:color w:val="0000EE"/>
              </w:rPr>
            </w:pPr>
            <w:hyperlink w:anchor="page57">
              <w:r>
                <w:rPr>
                  <w:rFonts w:ascii="Arial" w:cs="Arial" w:eastAsia="Arial" w:hAnsi="Arial"/>
                  <w:sz w:val="22"/>
                  <w:szCs w:val="22"/>
                  <w:b w:val="1"/>
                  <w:bCs w:val="1"/>
                  <w:color w:val="0000EE"/>
                </w:rPr>
                <w:t>TABLE</w:t>
              </w:r>
            </w:hyperlink>
          </w:p>
        </w:tc>
        <w:tc>
          <w:tcPr>
            <w:tcW w:w="460" w:type="dxa"/>
            <w:vAlign w:val="bottom"/>
            <w:vMerge w:val="restart"/>
          </w:tcPr>
          <w:p>
            <w:pPr>
              <w:jc w:val="right"/>
              <w:spacing w:after="0" w:line="223" w:lineRule="exact"/>
              <w:rPr>
                <w:sz w:val="20"/>
                <w:szCs w:val="20"/>
                <w:color w:val="auto"/>
              </w:rPr>
            </w:pPr>
            <w:r>
              <w:rPr>
                <w:rFonts w:ascii="Arial" w:cs="Arial" w:eastAsia="Arial" w:hAnsi="Arial"/>
                <w:sz w:val="22"/>
                <w:szCs w:val="22"/>
                <w:b w:val="1"/>
                <w:bCs w:val="1"/>
                <w:color w:val="0033A0"/>
              </w:rPr>
              <w:t>52</w:t>
            </w:r>
          </w:p>
        </w:tc>
        <w:tc>
          <w:tcPr>
            <w:tcW w:w="0" w:type="dxa"/>
            <w:vAlign w:val="bottom"/>
          </w:tcPr>
          <w:p>
            <w:pPr>
              <w:spacing w:after="0"/>
              <w:rPr>
                <w:sz w:val="1"/>
                <w:szCs w:val="1"/>
                <w:color w:val="auto"/>
              </w:rPr>
            </w:pPr>
          </w:p>
        </w:tc>
      </w:tr>
      <w:tr>
        <w:trPr>
          <w:trHeight w:val="168"/>
        </w:trPr>
        <w:tc>
          <w:tcPr>
            <w:tcW w:w="640" w:type="dxa"/>
            <w:vAlign w:val="bottom"/>
          </w:tcPr>
          <w:p>
            <w:pPr>
              <w:jc w:val="right"/>
              <w:ind w:right="312"/>
              <w:spacing w:after="0" w:line="168" w:lineRule="exact"/>
              <w:rPr>
                <w:sz w:val="20"/>
                <w:szCs w:val="20"/>
                <w:color w:val="auto"/>
              </w:rPr>
            </w:pPr>
            <w:r>
              <w:rPr>
                <w:rFonts w:ascii="Arial" w:cs="Arial" w:eastAsia="Arial" w:hAnsi="Arial"/>
                <w:sz w:val="17"/>
                <w:szCs w:val="17"/>
                <w:color w:val="auto"/>
              </w:rPr>
              <w:t>11</w:t>
            </w:r>
          </w:p>
        </w:tc>
        <w:tc>
          <w:tcPr>
            <w:tcW w:w="4880" w:type="dxa"/>
            <w:vAlign w:val="bottom"/>
            <w:gridSpan w:val="15"/>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40" w:type="dxa"/>
            <w:vAlign w:val="bottom"/>
            <w:vMerge w:val="restart"/>
          </w:tcPr>
          <w:p>
            <w:pPr>
              <w:jc w:val="right"/>
              <w:ind w:right="312"/>
              <w:spacing w:after="0"/>
              <w:rPr>
                <w:sz w:val="20"/>
                <w:szCs w:val="20"/>
                <w:color w:val="auto"/>
              </w:rPr>
            </w:pPr>
            <w:r>
              <w:rPr>
                <w:rFonts w:ascii="Arial" w:cs="Arial" w:eastAsia="Arial" w:hAnsi="Arial"/>
                <w:sz w:val="17"/>
                <w:szCs w:val="17"/>
                <w:color w:val="auto"/>
              </w:rPr>
              <w:t>12</w:t>
            </w:r>
          </w:p>
        </w:tc>
        <w:tc>
          <w:tcPr>
            <w:tcW w:w="2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860" w:type="dxa"/>
            <w:vAlign w:val="bottom"/>
            <w:gridSpan w:val="7"/>
            <w:vMerge w:val="restart"/>
          </w:tcPr>
          <w:p>
            <w:pPr>
              <w:spacing w:after="0"/>
              <w:rPr>
                <w:rFonts w:ascii="Arial" w:cs="Arial" w:eastAsia="Arial" w:hAnsi="Arial"/>
                <w:sz w:val="22"/>
                <w:szCs w:val="22"/>
                <w:b w:val="1"/>
                <w:bCs w:val="1"/>
                <w:color w:val="0000EE"/>
                <w:w w:val="96"/>
              </w:rPr>
            </w:pPr>
            <w:hyperlink w:anchor="page58">
              <w:r>
                <w:rPr>
                  <w:rFonts w:ascii="Arial" w:cs="Arial" w:eastAsia="Arial" w:hAnsi="Arial"/>
                  <w:sz w:val="22"/>
                  <w:szCs w:val="22"/>
                  <w:b w:val="1"/>
                  <w:bCs w:val="1"/>
                  <w:color w:val="0000EE"/>
                  <w:w w:val="96"/>
                </w:rPr>
                <w:t>PENSION BENEFITS TABLE</w:t>
              </w:r>
            </w:hyperlink>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vMerge w:val="restart"/>
          </w:tcPr>
          <w:p>
            <w:pPr>
              <w:jc w:val="right"/>
              <w:spacing w:after="0"/>
              <w:rPr>
                <w:sz w:val="20"/>
                <w:szCs w:val="20"/>
                <w:color w:val="auto"/>
              </w:rPr>
            </w:pPr>
            <w:r>
              <w:rPr>
                <w:rFonts w:ascii="Arial" w:cs="Arial" w:eastAsia="Arial" w:hAnsi="Arial"/>
                <w:sz w:val="22"/>
                <w:szCs w:val="22"/>
                <w:b w:val="1"/>
                <w:bCs w:val="1"/>
                <w:color w:val="0033A0"/>
              </w:rPr>
              <w:t>53</w:t>
            </w:r>
          </w:p>
        </w:tc>
        <w:tc>
          <w:tcPr>
            <w:tcW w:w="0" w:type="dxa"/>
            <w:vAlign w:val="bottom"/>
          </w:tcPr>
          <w:p>
            <w:pPr>
              <w:spacing w:after="0"/>
              <w:rPr>
                <w:sz w:val="1"/>
                <w:szCs w:val="1"/>
                <w:color w:val="auto"/>
              </w:rPr>
            </w:pPr>
          </w:p>
        </w:tc>
      </w:tr>
      <w:tr>
        <w:trPr>
          <w:trHeight w:val="146"/>
        </w:trPr>
        <w:tc>
          <w:tcPr>
            <w:tcW w:w="640" w:type="dxa"/>
            <w:vAlign w:val="bottom"/>
          </w:tcPr>
          <w:p>
            <w:pPr>
              <w:jc w:val="right"/>
              <w:ind w:right="312"/>
              <w:spacing w:after="0" w:line="135" w:lineRule="exact"/>
              <w:rPr>
                <w:sz w:val="20"/>
                <w:szCs w:val="20"/>
                <w:color w:val="auto"/>
              </w:rPr>
            </w:pPr>
            <w:r>
              <w:rPr>
                <w:rFonts w:ascii="Arial" w:cs="Arial" w:eastAsia="Arial" w:hAnsi="Arial"/>
                <w:sz w:val="15"/>
                <w:szCs w:val="15"/>
                <w:color w:val="auto"/>
              </w:rPr>
              <w:t>13</w:t>
            </w:r>
          </w:p>
        </w:tc>
        <w:tc>
          <w:tcPr>
            <w:tcW w:w="20" w:type="dxa"/>
            <w:vAlign w:val="bottom"/>
          </w:tcPr>
          <w:p>
            <w:pPr>
              <w:spacing w:after="0"/>
              <w:rPr>
                <w:sz w:val="12"/>
                <w:szCs w:val="12"/>
                <w:color w:val="auto"/>
              </w:rPr>
            </w:pPr>
          </w:p>
        </w:tc>
        <w:tc>
          <w:tcPr>
            <w:tcW w:w="2860" w:type="dxa"/>
            <w:vAlign w:val="bottom"/>
            <w:tcBorders>
              <w:bottom w:val="single" w:sz="8" w:color="0000EE"/>
            </w:tcBorders>
            <w:gridSpan w:val="7"/>
            <w:vMerge w:val="continue"/>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gridSpan w:val="2"/>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4"/>
        </w:trPr>
        <w:tc>
          <w:tcPr>
            <w:tcW w:w="640" w:type="dxa"/>
            <w:vAlign w:val="bottom"/>
          </w:tcPr>
          <w:p>
            <w:pPr>
              <w:jc w:val="right"/>
              <w:ind w:right="312"/>
              <w:spacing w:after="0"/>
              <w:rPr>
                <w:sz w:val="20"/>
                <w:szCs w:val="20"/>
                <w:color w:val="auto"/>
              </w:rPr>
            </w:pPr>
            <w:r>
              <w:rPr>
                <w:rFonts w:ascii="Arial" w:cs="Arial" w:eastAsia="Arial" w:hAnsi="Arial"/>
                <w:sz w:val="17"/>
                <w:szCs w:val="17"/>
                <w:color w:val="auto"/>
              </w:rPr>
              <w:t>13</w:t>
            </w:r>
          </w:p>
        </w:tc>
        <w:tc>
          <w:tcPr>
            <w:tcW w:w="2900" w:type="dxa"/>
            <w:vAlign w:val="bottom"/>
            <w:gridSpan w:val="9"/>
            <w:vMerge w:val="restart"/>
          </w:tcPr>
          <w:p>
            <w:pPr>
              <w:spacing w:after="0"/>
              <w:rPr>
                <w:rFonts w:ascii="Arial" w:cs="Arial" w:eastAsia="Arial" w:hAnsi="Arial"/>
                <w:sz w:val="22"/>
                <w:szCs w:val="22"/>
                <w:b w:val="1"/>
                <w:bCs w:val="1"/>
                <w:color w:val="0000EE"/>
                <w:w w:val="97"/>
              </w:rPr>
            </w:pPr>
            <w:hyperlink w:anchor="page60">
              <w:r>
                <w:rPr>
                  <w:rFonts w:ascii="Arial" w:cs="Arial" w:eastAsia="Arial" w:hAnsi="Arial"/>
                  <w:sz w:val="22"/>
                  <w:szCs w:val="22"/>
                  <w:b w:val="1"/>
                  <w:bCs w:val="1"/>
                  <w:color w:val="0000EE"/>
                  <w:w w:val="97"/>
                </w:rPr>
                <w:t>NONQUALIFIED DEFERRED</w:t>
              </w:r>
            </w:hyperlink>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9"/>
        </w:trPr>
        <w:tc>
          <w:tcPr>
            <w:tcW w:w="640" w:type="dxa"/>
            <w:vAlign w:val="bottom"/>
            <w:vMerge w:val="restart"/>
          </w:tcPr>
          <w:p>
            <w:pPr>
              <w:jc w:val="right"/>
              <w:ind w:right="312"/>
              <w:spacing w:after="0"/>
              <w:rPr>
                <w:sz w:val="20"/>
                <w:szCs w:val="20"/>
                <w:color w:val="auto"/>
              </w:rPr>
            </w:pPr>
            <w:r>
              <w:rPr>
                <w:rFonts w:ascii="Arial" w:cs="Arial" w:eastAsia="Arial" w:hAnsi="Arial"/>
                <w:sz w:val="17"/>
                <w:szCs w:val="17"/>
                <w:color w:val="auto"/>
              </w:rPr>
              <w:t>14</w:t>
            </w:r>
          </w:p>
        </w:tc>
        <w:tc>
          <w:tcPr>
            <w:tcW w:w="2900" w:type="dxa"/>
            <w:vAlign w:val="bottom"/>
            <w:tcBorders>
              <w:bottom w:val="single" w:sz="8" w:color="0000EE"/>
            </w:tcBorders>
            <w:gridSpan w:val="9"/>
            <w:vMerge w:val="continue"/>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1"/>
        </w:trPr>
        <w:tc>
          <w:tcPr>
            <w:tcW w:w="640" w:type="dxa"/>
            <w:vAlign w:val="bottom"/>
            <w:vMerge w:val="continue"/>
          </w:tcPr>
          <w:p>
            <w:pPr>
              <w:spacing w:after="0"/>
              <w:rPr>
                <w:sz w:val="6"/>
                <w:szCs w:val="6"/>
                <w:color w:val="auto"/>
              </w:rPr>
            </w:pPr>
          </w:p>
        </w:tc>
        <w:tc>
          <w:tcPr>
            <w:tcW w:w="4880" w:type="dxa"/>
            <w:vAlign w:val="bottom"/>
            <w:gridSpan w:val="15"/>
            <w:vMerge w:val="restart"/>
          </w:tcPr>
          <w:p>
            <w:pPr>
              <w:spacing w:after="0" w:line="223" w:lineRule="exact"/>
              <w:rPr>
                <w:rFonts w:ascii="Arial" w:cs="Arial" w:eastAsia="Arial" w:hAnsi="Arial"/>
                <w:sz w:val="22"/>
                <w:szCs w:val="22"/>
                <w:b w:val="1"/>
                <w:bCs w:val="1"/>
                <w:color w:val="0000EE"/>
              </w:rPr>
            </w:pPr>
            <w:hyperlink w:anchor="page60">
              <w:r>
                <w:rPr>
                  <w:rFonts w:ascii="Arial" w:cs="Arial" w:eastAsia="Arial" w:hAnsi="Arial"/>
                  <w:sz w:val="22"/>
                  <w:szCs w:val="22"/>
                  <w:b w:val="1"/>
                  <w:bCs w:val="1"/>
                  <w:color w:val="0000EE"/>
                </w:rPr>
                <w:t>COMPENSATION TABLE</w:t>
              </w:r>
            </w:hyperlink>
          </w:p>
        </w:tc>
        <w:tc>
          <w:tcPr>
            <w:tcW w:w="460" w:type="dxa"/>
            <w:vAlign w:val="bottom"/>
            <w:vMerge w:val="restart"/>
          </w:tcPr>
          <w:p>
            <w:pPr>
              <w:jc w:val="right"/>
              <w:spacing w:after="0" w:line="223" w:lineRule="exact"/>
              <w:rPr>
                <w:sz w:val="20"/>
                <w:szCs w:val="20"/>
                <w:color w:val="auto"/>
              </w:rPr>
            </w:pPr>
            <w:r>
              <w:rPr>
                <w:rFonts w:ascii="Arial" w:cs="Arial" w:eastAsia="Arial" w:hAnsi="Arial"/>
                <w:sz w:val="22"/>
                <w:szCs w:val="22"/>
                <w:b w:val="1"/>
                <w:bCs w:val="1"/>
                <w:color w:val="0033A0"/>
              </w:rPr>
              <w:t>55</w:t>
            </w:r>
          </w:p>
        </w:tc>
        <w:tc>
          <w:tcPr>
            <w:tcW w:w="0" w:type="dxa"/>
            <w:vAlign w:val="bottom"/>
          </w:tcPr>
          <w:p>
            <w:pPr>
              <w:spacing w:after="0"/>
              <w:rPr>
                <w:sz w:val="1"/>
                <w:szCs w:val="1"/>
                <w:color w:val="auto"/>
              </w:rPr>
            </w:pPr>
          </w:p>
        </w:tc>
      </w:tr>
      <w:tr>
        <w:trPr>
          <w:trHeight w:val="153"/>
        </w:trPr>
        <w:tc>
          <w:tcPr>
            <w:tcW w:w="640" w:type="dxa"/>
            <w:vAlign w:val="bottom"/>
            <w:vMerge w:val="restart"/>
          </w:tcPr>
          <w:p>
            <w:pPr>
              <w:jc w:val="right"/>
              <w:ind w:right="312"/>
              <w:spacing w:after="0"/>
              <w:rPr>
                <w:sz w:val="20"/>
                <w:szCs w:val="20"/>
                <w:color w:val="auto"/>
              </w:rPr>
            </w:pPr>
            <w:r>
              <w:rPr>
                <w:rFonts w:ascii="Arial" w:cs="Arial" w:eastAsia="Arial" w:hAnsi="Arial"/>
                <w:sz w:val="17"/>
                <w:szCs w:val="17"/>
                <w:color w:val="auto"/>
              </w:rPr>
              <w:t>15</w:t>
            </w:r>
          </w:p>
        </w:tc>
        <w:tc>
          <w:tcPr>
            <w:tcW w:w="4880" w:type="dxa"/>
            <w:vAlign w:val="bottom"/>
            <w:gridSpan w:val="15"/>
            <w:vMerge w:val="continue"/>
          </w:tcPr>
          <w:p>
            <w:pPr>
              <w:spacing w:after="0"/>
              <w:rPr>
                <w:sz w:val="13"/>
                <w:szCs w:val="13"/>
                <w:color w:val="auto"/>
              </w:rPr>
            </w:pPr>
          </w:p>
        </w:tc>
        <w:tc>
          <w:tcPr>
            <w:tcW w:w="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4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640" w:type="dxa"/>
            <w:vAlign w:val="bottom"/>
            <w:vMerge w:val="continue"/>
          </w:tcPr>
          <w:p>
            <w:pPr>
              <w:spacing w:after="0"/>
              <w:rPr>
                <w:sz w:val="19"/>
                <w:szCs w:val="19"/>
                <w:color w:val="auto"/>
              </w:rPr>
            </w:pPr>
          </w:p>
        </w:tc>
        <w:tc>
          <w:tcPr>
            <w:tcW w:w="4880" w:type="dxa"/>
            <w:vAlign w:val="bottom"/>
            <w:gridSpan w:val="15"/>
            <w:vMerge w:val="restart"/>
          </w:tcPr>
          <w:p>
            <w:pPr>
              <w:spacing w:after="0"/>
              <w:rPr>
                <w:rFonts w:ascii="Arial" w:cs="Arial" w:eastAsia="Arial" w:hAnsi="Arial"/>
                <w:sz w:val="22"/>
                <w:szCs w:val="22"/>
                <w:b w:val="1"/>
                <w:bCs w:val="1"/>
                <w:color w:val="0000EE"/>
              </w:rPr>
            </w:pPr>
            <w:hyperlink w:anchor="page63">
              <w:r>
                <w:rPr>
                  <w:rFonts w:ascii="Arial" w:cs="Arial" w:eastAsia="Arial" w:hAnsi="Arial"/>
                  <w:sz w:val="22"/>
                  <w:szCs w:val="22"/>
                  <w:b w:val="1"/>
                  <w:bCs w:val="1"/>
                  <w:color w:val="0000EE"/>
                </w:rPr>
                <w:t>POTENTIAL PAYMENTS UPON TERMINATION</w:t>
              </w:r>
            </w:hyperlink>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640" w:type="dxa"/>
            <w:vAlign w:val="bottom"/>
          </w:tcPr>
          <w:p>
            <w:pPr>
              <w:spacing w:after="0"/>
              <w:rPr>
                <w:sz w:val="12"/>
                <w:szCs w:val="12"/>
                <w:color w:val="auto"/>
              </w:rPr>
            </w:pPr>
          </w:p>
        </w:tc>
        <w:tc>
          <w:tcPr>
            <w:tcW w:w="4880" w:type="dxa"/>
            <w:vAlign w:val="bottom"/>
            <w:gridSpan w:val="15"/>
            <w:vMerge w:val="continue"/>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Arial" w:cs="Arial" w:eastAsia="Arial" w:hAnsi="Arial"/>
                <w:sz w:val="22"/>
                <w:szCs w:val="22"/>
                <w:b w:val="1"/>
                <w:bCs w:val="1"/>
                <w:color w:val="0033A0"/>
              </w:rPr>
              <w:t>58</w:t>
            </w:r>
          </w:p>
        </w:tc>
        <w:tc>
          <w:tcPr>
            <w:tcW w:w="0" w:type="dxa"/>
            <w:vAlign w:val="bottom"/>
          </w:tcPr>
          <w:p>
            <w:pPr>
              <w:spacing w:after="0"/>
              <w:rPr>
                <w:sz w:val="1"/>
                <w:szCs w:val="1"/>
                <w:color w:val="auto"/>
              </w:rPr>
            </w:pPr>
          </w:p>
        </w:tc>
      </w:tr>
      <w:tr>
        <w:trPr>
          <w:trHeight w:val="223"/>
        </w:trPr>
        <w:tc>
          <w:tcPr>
            <w:tcW w:w="640" w:type="dxa"/>
            <w:vAlign w:val="bottom"/>
          </w:tcPr>
          <w:p>
            <w:pPr>
              <w:jc w:val="right"/>
              <w:ind w:right="312"/>
              <w:spacing w:after="0"/>
              <w:rPr>
                <w:sz w:val="20"/>
                <w:szCs w:val="20"/>
                <w:color w:val="auto"/>
              </w:rPr>
            </w:pPr>
            <w:r>
              <w:rPr>
                <w:rFonts w:ascii="Arial" w:cs="Arial" w:eastAsia="Arial" w:hAnsi="Arial"/>
                <w:sz w:val="17"/>
                <w:szCs w:val="17"/>
                <w:color w:val="auto"/>
              </w:rPr>
              <w:t>15</w:t>
            </w:r>
          </w:p>
        </w:tc>
        <w:tc>
          <w:tcPr>
            <w:tcW w:w="4680" w:type="dxa"/>
            <w:vAlign w:val="bottom"/>
            <w:tcBorders>
              <w:top w:val="single" w:sz="8" w:color="0000EE"/>
            </w:tcBorders>
            <w:gridSpan w:val="14"/>
          </w:tcPr>
          <w:p>
            <w:pPr>
              <w:spacing w:after="0" w:line="223" w:lineRule="exact"/>
              <w:rPr>
                <w:rFonts w:ascii="Arial" w:cs="Arial" w:eastAsia="Arial" w:hAnsi="Arial"/>
                <w:sz w:val="22"/>
                <w:szCs w:val="22"/>
                <w:b w:val="1"/>
                <w:bCs w:val="1"/>
                <w:color w:val="0000EE"/>
              </w:rPr>
            </w:pPr>
            <w:hyperlink w:anchor="page63">
              <w:r>
                <w:rPr>
                  <w:rFonts w:ascii="Arial" w:cs="Arial" w:eastAsia="Arial" w:hAnsi="Arial"/>
                  <w:sz w:val="22"/>
                  <w:szCs w:val="22"/>
                  <w:b w:val="1"/>
                  <w:bCs w:val="1"/>
                  <w:color w:val="0000EE"/>
                </w:rPr>
                <w:t>OR CHANGE IN CONTROL</w:t>
              </w:r>
            </w:hyperlink>
          </w:p>
        </w:tc>
        <w:tc>
          <w:tcPr>
            <w:tcW w:w="200" w:type="dxa"/>
            <w:vAlign w:val="bottom"/>
          </w:tcPr>
          <w:p>
            <w:pPr>
              <w:spacing w:after="0"/>
              <w:rPr>
                <w:sz w:val="19"/>
                <w:szCs w:val="19"/>
                <w:color w:val="auto"/>
              </w:rPr>
            </w:pPr>
          </w:p>
        </w:tc>
        <w:tc>
          <w:tcPr>
            <w:tcW w:w="4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 w:type="dxa"/>
            <w:vAlign w:val="bottom"/>
            <w:vMerge w:val="restart"/>
          </w:tcPr>
          <w:p>
            <w:pPr>
              <w:jc w:val="right"/>
              <w:ind w:right="312"/>
              <w:spacing w:after="0"/>
              <w:rPr>
                <w:sz w:val="20"/>
                <w:szCs w:val="20"/>
                <w:color w:val="auto"/>
              </w:rPr>
            </w:pPr>
            <w:r>
              <w:rPr>
                <w:rFonts w:ascii="Arial" w:cs="Arial" w:eastAsia="Arial" w:hAnsi="Arial"/>
                <w:sz w:val="17"/>
                <w:szCs w:val="17"/>
                <w:color w:val="auto"/>
              </w:rPr>
              <w:t>15</w:t>
            </w:r>
          </w:p>
        </w:tc>
        <w:tc>
          <w:tcPr>
            <w:tcW w:w="2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40" w:type="dxa"/>
            <w:vAlign w:val="bottom"/>
            <w:vMerge w:val="continue"/>
          </w:tcPr>
          <w:p>
            <w:pPr>
              <w:spacing w:after="0"/>
              <w:rPr>
                <w:sz w:val="16"/>
                <w:szCs w:val="16"/>
                <w:color w:val="auto"/>
              </w:rPr>
            </w:pPr>
          </w:p>
        </w:tc>
        <w:tc>
          <w:tcPr>
            <w:tcW w:w="4880" w:type="dxa"/>
            <w:vAlign w:val="bottom"/>
            <w:gridSpan w:val="15"/>
            <w:vMerge w:val="restart"/>
          </w:tcPr>
          <w:p>
            <w:pPr>
              <w:spacing w:after="0"/>
              <w:rPr>
                <w:rFonts w:ascii="Arial" w:cs="Arial" w:eastAsia="Arial" w:hAnsi="Arial"/>
                <w:sz w:val="22"/>
                <w:szCs w:val="22"/>
                <w:b w:val="1"/>
                <w:bCs w:val="1"/>
                <w:color w:val="0000EE"/>
              </w:rPr>
            </w:pPr>
            <w:hyperlink w:anchor="page70">
              <w:r>
                <w:rPr>
                  <w:rFonts w:ascii="Arial" w:cs="Arial" w:eastAsia="Arial" w:hAnsi="Arial"/>
                  <w:sz w:val="22"/>
                  <w:szCs w:val="22"/>
                  <w:b w:val="1"/>
                  <w:bCs w:val="1"/>
                  <w:color w:val="0000EE"/>
                </w:rPr>
                <w:t>CHIEF EXECUTIVE OFFICER PAY RATIO</w:t>
              </w:r>
            </w:hyperlink>
          </w:p>
        </w:tc>
        <w:tc>
          <w:tcPr>
            <w:tcW w:w="460" w:type="dxa"/>
            <w:vAlign w:val="bottom"/>
            <w:vMerge w:val="restart"/>
          </w:tcPr>
          <w:p>
            <w:pPr>
              <w:jc w:val="right"/>
              <w:spacing w:after="0"/>
              <w:rPr>
                <w:sz w:val="20"/>
                <w:szCs w:val="20"/>
                <w:color w:val="auto"/>
              </w:rPr>
            </w:pPr>
            <w:r>
              <w:rPr>
                <w:rFonts w:ascii="Arial" w:cs="Arial" w:eastAsia="Arial" w:hAnsi="Arial"/>
                <w:sz w:val="22"/>
                <w:szCs w:val="22"/>
                <w:b w:val="1"/>
                <w:bCs w:val="1"/>
                <w:color w:val="0033A0"/>
              </w:rPr>
              <w:t>65</w:t>
            </w:r>
          </w:p>
        </w:tc>
        <w:tc>
          <w:tcPr>
            <w:tcW w:w="0" w:type="dxa"/>
            <w:vAlign w:val="bottom"/>
          </w:tcPr>
          <w:p>
            <w:pPr>
              <w:spacing w:after="0"/>
              <w:rPr>
                <w:sz w:val="1"/>
                <w:szCs w:val="1"/>
                <w:color w:val="auto"/>
              </w:rPr>
            </w:pPr>
          </w:p>
        </w:tc>
      </w:tr>
      <w:tr>
        <w:trPr>
          <w:trHeight w:val="168"/>
        </w:trPr>
        <w:tc>
          <w:tcPr>
            <w:tcW w:w="640" w:type="dxa"/>
            <w:vAlign w:val="bottom"/>
          </w:tcPr>
          <w:p>
            <w:pPr>
              <w:jc w:val="right"/>
              <w:ind w:right="312"/>
              <w:spacing w:after="0" w:line="168" w:lineRule="exact"/>
              <w:rPr>
                <w:sz w:val="20"/>
                <w:szCs w:val="20"/>
                <w:color w:val="auto"/>
              </w:rPr>
            </w:pPr>
            <w:r>
              <w:rPr>
                <w:rFonts w:ascii="Arial" w:cs="Arial" w:eastAsia="Arial" w:hAnsi="Arial"/>
                <w:sz w:val="17"/>
                <w:szCs w:val="17"/>
                <w:color w:val="auto"/>
              </w:rPr>
              <w:t>15</w:t>
            </w:r>
          </w:p>
        </w:tc>
        <w:tc>
          <w:tcPr>
            <w:tcW w:w="4880" w:type="dxa"/>
            <w:vAlign w:val="bottom"/>
            <w:gridSpan w:val="15"/>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40" w:type="dxa"/>
            <w:vAlign w:val="bottom"/>
            <w:vMerge w:val="restart"/>
          </w:tcPr>
          <w:p>
            <w:pPr>
              <w:jc w:val="right"/>
              <w:ind w:right="312"/>
              <w:spacing w:after="0"/>
              <w:rPr>
                <w:sz w:val="20"/>
                <w:szCs w:val="20"/>
                <w:color w:val="auto"/>
              </w:rPr>
            </w:pPr>
            <w:r>
              <w:rPr>
                <w:rFonts w:ascii="Arial" w:cs="Arial" w:eastAsia="Arial" w:hAnsi="Arial"/>
                <w:sz w:val="17"/>
                <w:szCs w:val="17"/>
                <w:color w:val="auto"/>
              </w:rPr>
              <w:t>16</w:t>
            </w:r>
          </w:p>
        </w:tc>
        <w:tc>
          <w:tcPr>
            <w:tcW w:w="2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640" w:type="dxa"/>
            <w:vAlign w:val="bottom"/>
            <w:vMerge w:val="continue"/>
          </w:tcPr>
          <w:p>
            <w:pPr>
              <w:spacing w:after="0"/>
              <w:rPr>
                <w:sz w:val="19"/>
                <w:szCs w:val="19"/>
                <w:color w:val="auto"/>
              </w:rPr>
            </w:pPr>
          </w:p>
        </w:tc>
        <w:tc>
          <w:tcPr>
            <w:tcW w:w="4880" w:type="dxa"/>
            <w:vAlign w:val="bottom"/>
            <w:gridSpan w:val="15"/>
            <w:vMerge w:val="restart"/>
          </w:tcPr>
          <w:p>
            <w:pPr>
              <w:spacing w:after="0"/>
              <w:rPr>
                <w:rFonts w:ascii="Arial" w:cs="Arial" w:eastAsia="Arial" w:hAnsi="Arial"/>
                <w:sz w:val="22"/>
                <w:szCs w:val="22"/>
                <w:b w:val="1"/>
                <w:bCs w:val="1"/>
                <w:color w:val="0000EE"/>
              </w:rPr>
            </w:pPr>
            <w:hyperlink w:anchor="page72">
              <w:r>
                <w:rPr>
                  <w:rFonts w:ascii="Arial" w:cs="Arial" w:eastAsia="Arial" w:hAnsi="Arial"/>
                  <w:sz w:val="22"/>
                  <w:szCs w:val="22"/>
                  <w:b w:val="1"/>
                  <w:bCs w:val="1"/>
                  <w:color w:val="0000EE"/>
                </w:rPr>
                <w:t>DIRECTOR COMPENSATION</w:t>
              </w:r>
            </w:hyperlink>
          </w:p>
        </w:tc>
        <w:tc>
          <w:tcPr>
            <w:tcW w:w="460" w:type="dxa"/>
            <w:vAlign w:val="bottom"/>
            <w:vMerge w:val="restart"/>
          </w:tcPr>
          <w:p>
            <w:pPr>
              <w:jc w:val="right"/>
              <w:spacing w:after="0"/>
              <w:rPr>
                <w:sz w:val="20"/>
                <w:szCs w:val="20"/>
                <w:color w:val="auto"/>
              </w:rPr>
            </w:pPr>
            <w:r>
              <w:rPr>
                <w:rFonts w:ascii="Arial" w:cs="Arial" w:eastAsia="Arial" w:hAnsi="Arial"/>
                <w:sz w:val="22"/>
                <w:szCs w:val="22"/>
                <w:b w:val="1"/>
                <w:bCs w:val="1"/>
                <w:color w:val="0033A0"/>
              </w:rPr>
              <w:t>67</w:t>
            </w:r>
          </w:p>
        </w:tc>
        <w:tc>
          <w:tcPr>
            <w:tcW w:w="0" w:type="dxa"/>
            <w:vAlign w:val="bottom"/>
          </w:tcPr>
          <w:p>
            <w:pPr>
              <w:spacing w:after="0"/>
              <w:rPr>
                <w:sz w:val="1"/>
                <w:szCs w:val="1"/>
                <w:color w:val="auto"/>
              </w:rPr>
            </w:pPr>
          </w:p>
        </w:tc>
      </w:tr>
      <w:tr>
        <w:trPr>
          <w:trHeight w:val="139"/>
        </w:trPr>
        <w:tc>
          <w:tcPr>
            <w:tcW w:w="640" w:type="dxa"/>
            <w:vAlign w:val="bottom"/>
          </w:tcPr>
          <w:p>
            <w:pPr>
              <w:spacing w:after="0"/>
              <w:rPr>
                <w:sz w:val="12"/>
                <w:szCs w:val="12"/>
                <w:color w:val="auto"/>
              </w:rPr>
            </w:pPr>
          </w:p>
        </w:tc>
        <w:tc>
          <w:tcPr>
            <w:tcW w:w="4880" w:type="dxa"/>
            <w:vAlign w:val="bottom"/>
            <w:gridSpan w:val="15"/>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58"/>
        </w:trPr>
        <w:tc>
          <w:tcPr>
            <w:tcW w:w="640" w:type="dxa"/>
            <w:vAlign w:val="bottom"/>
            <w:vMerge w:val="restart"/>
          </w:tcPr>
          <w:p>
            <w:pPr>
              <w:jc w:val="right"/>
              <w:ind w:right="312"/>
              <w:spacing w:after="0"/>
              <w:rPr>
                <w:sz w:val="20"/>
                <w:szCs w:val="20"/>
                <w:color w:val="auto"/>
              </w:rPr>
            </w:pPr>
            <w:r>
              <w:rPr>
                <w:rFonts w:ascii="Arial" w:cs="Arial" w:eastAsia="Arial" w:hAnsi="Arial"/>
                <w:sz w:val="22"/>
                <w:szCs w:val="22"/>
                <w:b w:val="1"/>
                <w:bCs w:val="1"/>
                <w:color w:val="0033A0"/>
                <w:w w:val="89"/>
              </w:rPr>
              <w:t>17</w:t>
            </w:r>
          </w:p>
        </w:tc>
        <w:tc>
          <w:tcPr>
            <w:tcW w:w="2160" w:type="dxa"/>
            <w:vAlign w:val="bottom"/>
            <w:tcBorders>
              <w:top w:val="single" w:sz="8" w:color="0000EE"/>
              <w:bottom w:val="single" w:sz="8" w:color="0000EE"/>
            </w:tcBorders>
            <w:gridSpan w:val="4"/>
          </w:tcPr>
          <w:p>
            <w:pPr>
              <w:spacing w:after="0"/>
              <w:rPr>
                <w:rFonts w:ascii="Arial" w:cs="Arial" w:eastAsia="Arial" w:hAnsi="Arial"/>
                <w:sz w:val="22"/>
                <w:szCs w:val="22"/>
                <w:b w:val="1"/>
                <w:bCs w:val="1"/>
                <w:color w:val="0000EE"/>
                <w:w w:val="97"/>
              </w:rPr>
            </w:pPr>
            <w:hyperlink w:anchor="page76">
              <w:r>
                <w:rPr>
                  <w:rFonts w:ascii="Arial" w:cs="Arial" w:eastAsia="Arial" w:hAnsi="Arial"/>
                  <w:sz w:val="22"/>
                  <w:szCs w:val="22"/>
                  <w:b w:val="1"/>
                  <w:bCs w:val="1"/>
                  <w:color w:val="0000EE"/>
                  <w:w w:val="97"/>
                </w:rPr>
                <w:t>STOCK OWNERSHIP</w:t>
              </w:r>
            </w:hyperlink>
          </w:p>
        </w:tc>
        <w:tc>
          <w:tcPr>
            <w:tcW w:w="180" w:type="dxa"/>
            <w:vAlign w:val="bottom"/>
            <w:tcBorders>
              <w:top w:val="single" w:sz="8" w:color="0000EE"/>
              <w:bottom w:val="single" w:sz="8" w:color="0000EE"/>
            </w:tcBorders>
          </w:tcPr>
          <w:p>
            <w:pPr>
              <w:spacing w:after="0"/>
              <w:rPr>
                <w:sz w:val="24"/>
                <w:szCs w:val="24"/>
                <w:color w:val="auto"/>
              </w:rPr>
            </w:pPr>
          </w:p>
        </w:tc>
        <w:tc>
          <w:tcPr>
            <w:tcW w:w="600" w:type="dxa"/>
            <w:vAlign w:val="bottom"/>
            <w:tcBorders>
              <w:top w:val="single" w:sz="8" w:color="0000EE"/>
              <w:bottom w:val="single" w:sz="8" w:color="0000EE"/>
            </w:tcBorders>
            <w:gridSpan w:val="5"/>
          </w:tcPr>
          <w:p>
            <w:pPr>
              <w:spacing w:after="0"/>
              <w:rPr>
                <w:sz w:val="24"/>
                <w:szCs w:val="24"/>
                <w:color w:val="auto"/>
              </w:rPr>
            </w:pPr>
          </w:p>
        </w:tc>
        <w:tc>
          <w:tcPr>
            <w:tcW w:w="580" w:type="dxa"/>
            <w:vAlign w:val="bottom"/>
          </w:tcPr>
          <w:p>
            <w:pPr>
              <w:spacing w:after="0"/>
              <w:rPr>
                <w:sz w:val="24"/>
                <w:szCs w:val="24"/>
                <w:color w:val="auto"/>
              </w:rPr>
            </w:pPr>
          </w:p>
        </w:tc>
        <w:tc>
          <w:tcPr>
            <w:tcW w:w="1360" w:type="dxa"/>
            <w:vAlign w:val="bottom"/>
            <w:gridSpan w:val="4"/>
          </w:tcPr>
          <w:p>
            <w:pPr>
              <w:spacing w:after="0"/>
              <w:rPr>
                <w:sz w:val="24"/>
                <w:szCs w:val="24"/>
                <w:color w:val="auto"/>
              </w:rPr>
            </w:pPr>
          </w:p>
        </w:tc>
        <w:tc>
          <w:tcPr>
            <w:tcW w:w="460" w:type="dxa"/>
            <w:vAlign w:val="bottom"/>
            <w:vMerge w:val="restart"/>
          </w:tcPr>
          <w:p>
            <w:pPr>
              <w:jc w:val="right"/>
              <w:spacing w:after="0"/>
              <w:rPr>
                <w:sz w:val="20"/>
                <w:szCs w:val="20"/>
                <w:color w:val="auto"/>
              </w:rPr>
            </w:pPr>
            <w:r>
              <w:rPr>
                <w:rFonts w:ascii="Arial" w:cs="Arial" w:eastAsia="Arial" w:hAnsi="Arial"/>
                <w:sz w:val="22"/>
                <w:szCs w:val="22"/>
                <w:b w:val="1"/>
                <w:bCs w:val="1"/>
                <w:color w:val="0033A0"/>
              </w:rPr>
              <w:t>71</w:t>
            </w:r>
          </w:p>
        </w:tc>
        <w:tc>
          <w:tcPr>
            <w:tcW w:w="0" w:type="dxa"/>
            <w:vAlign w:val="bottom"/>
          </w:tcPr>
          <w:p>
            <w:pPr>
              <w:spacing w:after="0"/>
              <w:rPr>
                <w:sz w:val="1"/>
                <w:szCs w:val="1"/>
                <w:color w:val="auto"/>
              </w:rPr>
            </w:pPr>
          </w:p>
        </w:tc>
      </w:tr>
      <w:tr>
        <w:trPr>
          <w:trHeight w:val="85"/>
        </w:trPr>
        <w:tc>
          <w:tcPr>
            <w:tcW w:w="640" w:type="dxa"/>
            <w:vAlign w:val="bottom"/>
            <w:vMerge w:val="continue"/>
          </w:tcPr>
          <w:p>
            <w:pPr>
              <w:spacing w:after="0"/>
              <w:rPr>
                <w:sz w:val="7"/>
                <w:szCs w:val="7"/>
                <w:color w:val="auto"/>
              </w:rPr>
            </w:pPr>
          </w:p>
        </w:tc>
        <w:tc>
          <w:tcPr>
            <w:tcW w:w="4880" w:type="dxa"/>
            <w:vAlign w:val="bottom"/>
            <w:gridSpan w:val="15"/>
            <w:vMerge w:val="restart"/>
          </w:tcPr>
          <w:p>
            <w:pPr>
              <w:spacing w:after="0"/>
              <w:rPr>
                <w:rFonts w:ascii="Arial" w:cs="Arial" w:eastAsia="Arial" w:hAnsi="Arial"/>
                <w:sz w:val="22"/>
                <w:szCs w:val="22"/>
                <w:b w:val="1"/>
                <w:bCs w:val="1"/>
                <w:color w:val="0000EE"/>
              </w:rPr>
            </w:pPr>
            <w:hyperlink w:anchor="page77">
              <w:r>
                <w:rPr>
                  <w:rFonts w:ascii="Arial" w:cs="Arial" w:eastAsia="Arial" w:hAnsi="Arial"/>
                  <w:sz w:val="22"/>
                  <w:szCs w:val="22"/>
                  <w:b w:val="1"/>
                  <w:bCs w:val="1"/>
                  <w:color w:val="0000EE"/>
                </w:rPr>
                <w:t>STOCK OWNERSHIP OF CERTAIN</w:t>
              </w:r>
            </w:hyperlink>
          </w:p>
        </w:tc>
        <w:tc>
          <w:tcPr>
            <w:tcW w:w="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640" w:type="dxa"/>
            <w:vAlign w:val="bottom"/>
          </w:tcPr>
          <w:p>
            <w:pPr>
              <w:spacing w:after="0"/>
              <w:rPr>
                <w:sz w:val="23"/>
                <w:szCs w:val="23"/>
                <w:color w:val="auto"/>
              </w:rPr>
            </w:pPr>
          </w:p>
        </w:tc>
        <w:tc>
          <w:tcPr>
            <w:tcW w:w="4880" w:type="dxa"/>
            <w:vAlign w:val="bottom"/>
            <w:gridSpan w:val="15"/>
            <w:vMerge w:val="continue"/>
          </w:tcPr>
          <w:p>
            <w:pPr>
              <w:spacing w:after="0"/>
              <w:rPr>
                <w:sz w:val="23"/>
                <w:szCs w:val="23"/>
                <w:color w:val="auto"/>
              </w:rPr>
            </w:pPr>
          </w:p>
        </w:tc>
        <w:tc>
          <w:tcPr>
            <w:tcW w:w="460" w:type="dxa"/>
            <w:vAlign w:val="bottom"/>
            <w:vMerge w:val="restart"/>
          </w:tcPr>
          <w:p>
            <w:pPr>
              <w:jc w:val="right"/>
              <w:spacing w:after="0"/>
              <w:rPr>
                <w:sz w:val="20"/>
                <w:szCs w:val="20"/>
                <w:color w:val="auto"/>
              </w:rPr>
            </w:pPr>
            <w:r>
              <w:rPr>
                <w:rFonts w:ascii="Arial" w:cs="Arial" w:eastAsia="Arial" w:hAnsi="Arial"/>
                <w:sz w:val="22"/>
                <w:szCs w:val="22"/>
                <w:b w:val="1"/>
                <w:bCs w:val="1"/>
                <w:color w:val="0033A0"/>
              </w:rPr>
              <w:t>72</w:t>
            </w: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2340" w:type="dxa"/>
            <w:vAlign w:val="bottom"/>
            <w:tcBorders>
              <w:top w:val="single" w:sz="8" w:color="0000EE"/>
              <w:bottom w:val="single" w:sz="8" w:color="0000EE"/>
            </w:tcBorders>
            <w:gridSpan w:val="5"/>
          </w:tcPr>
          <w:p>
            <w:pPr>
              <w:spacing w:after="0" w:line="223" w:lineRule="exact"/>
              <w:rPr>
                <w:rFonts w:ascii="Arial" w:cs="Arial" w:eastAsia="Arial" w:hAnsi="Arial"/>
                <w:sz w:val="22"/>
                <w:szCs w:val="22"/>
                <w:b w:val="1"/>
                <w:bCs w:val="1"/>
                <w:color w:val="0000EE"/>
                <w:w w:val="97"/>
              </w:rPr>
            </w:pPr>
            <w:hyperlink w:anchor="page77">
              <w:r>
                <w:rPr>
                  <w:rFonts w:ascii="Arial" w:cs="Arial" w:eastAsia="Arial" w:hAnsi="Arial"/>
                  <w:sz w:val="22"/>
                  <w:szCs w:val="22"/>
                  <w:b w:val="1"/>
                  <w:bCs w:val="1"/>
                  <w:color w:val="0000EE"/>
                  <w:w w:val="97"/>
                </w:rPr>
                <w:t>BENEFICIAL OWNERS</w:t>
              </w:r>
            </w:hyperlink>
          </w:p>
        </w:tc>
        <w:tc>
          <w:tcPr>
            <w:tcW w:w="1180" w:type="dxa"/>
            <w:vAlign w:val="bottom"/>
            <w:tcBorders>
              <w:top w:val="single" w:sz="8" w:color="0000EE"/>
            </w:tcBorders>
            <w:gridSpan w:val="6"/>
          </w:tcPr>
          <w:p>
            <w:pPr>
              <w:spacing w:after="0"/>
              <w:rPr>
                <w:sz w:val="19"/>
                <w:szCs w:val="19"/>
                <w:color w:val="auto"/>
              </w:rPr>
            </w:pPr>
          </w:p>
        </w:tc>
        <w:tc>
          <w:tcPr>
            <w:tcW w:w="1360" w:type="dxa"/>
            <w:vAlign w:val="bottom"/>
            <w:gridSpan w:val="4"/>
          </w:tcPr>
          <w:p>
            <w:pPr>
              <w:spacing w:after="0"/>
              <w:rPr>
                <w:sz w:val="19"/>
                <w:szCs w:val="19"/>
                <w:color w:val="auto"/>
              </w:rPr>
            </w:pPr>
          </w:p>
        </w:tc>
        <w:tc>
          <w:tcPr>
            <w:tcW w:w="4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ind w:left="640" w:hanging="639"/>
        <w:spacing w:after="0" w:line="193" w:lineRule="auto"/>
        <w:tabs>
          <w:tab w:leader="none" w:pos="640" w:val="left"/>
        </w:tabs>
        <w:numPr>
          <w:ilvl w:val="0"/>
          <w:numId w:val="9"/>
        </w:numPr>
        <w:rPr>
          <w:rFonts w:ascii="Arial" w:cs="Arial" w:eastAsia="Arial" w:hAnsi="Arial"/>
          <w:sz w:val="22"/>
          <w:szCs w:val="22"/>
          <w:b w:val="1"/>
          <w:bCs w:val="1"/>
          <w:u w:val="single" w:color="auto"/>
          <w:color w:val="0000EE"/>
        </w:rPr>
      </w:pPr>
      <w:hyperlink w:anchor="page77">
        <w:r>
          <w:rPr>
            <w:rFonts w:ascii="Arial" w:cs="Arial" w:eastAsia="Arial" w:hAnsi="Arial"/>
            <w:sz w:val="22"/>
            <w:szCs w:val="22"/>
            <w:b w:val="1"/>
            <w:bCs w:val="1"/>
            <w:u w:val="single" w:color="auto"/>
            <w:color w:val="0000EE"/>
          </w:rPr>
          <w:t>SECTION 16(A) BENEFICIAL OWNERSHIP</w:t>
        </w:r>
      </w:hyperlink>
    </w:p>
    <w:tbl>
      <w:tblPr>
        <w:tblLayout w:type="fixed"/>
        <w:tblInd w:w="0" w:type="dxa"/>
        <w:tblCellMar>
          <w:top w:w="0" w:type="dxa"/>
          <w:left w:w="0" w:type="dxa"/>
          <w:bottom w:w="0" w:type="dxa"/>
          <w:right w:w="0" w:type="dxa"/>
        </w:tblCellMar>
      </w:tblPr>
      <w:tr>
        <w:trPr>
          <w:trHeight w:val="210"/>
        </w:trPr>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40" w:type="dxa"/>
            <w:vAlign w:val="bottom"/>
            <w:gridSpan w:val="10"/>
          </w:tcPr>
          <w:p>
            <w:pPr>
              <w:spacing w:after="0" w:line="210" w:lineRule="exact"/>
              <w:rPr>
                <w:rFonts w:ascii="Arial" w:cs="Arial" w:eastAsia="Arial" w:hAnsi="Arial"/>
                <w:sz w:val="22"/>
                <w:szCs w:val="22"/>
                <w:b w:val="1"/>
                <w:bCs w:val="1"/>
                <w:color w:val="0000EE"/>
              </w:rPr>
            </w:pPr>
            <w:hyperlink w:anchor="page77">
              <w:r>
                <w:rPr>
                  <w:rFonts w:ascii="Arial" w:cs="Arial" w:eastAsia="Arial" w:hAnsi="Arial"/>
                  <w:sz w:val="22"/>
                  <w:szCs w:val="22"/>
                  <w:b w:val="1"/>
                  <w:bCs w:val="1"/>
                  <w:color w:val="0000EE"/>
                </w:rPr>
                <w:t>REPORTING COMPLIANCE</w:t>
              </w:r>
            </w:hyperlink>
          </w:p>
        </w:tc>
        <w:tc>
          <w:tcPr>
            <w:tcW w:w="500" w:type="dxa"/>
            <w:vAlign w:val="bottom"/>
          </w:tcPr>
          <w:p>
            <w:pPr>
              <w:jc w:val="right"/>
              <w:spacing w:after="0" w:line="210" w:lineRule="exact"/>
              <w:rPr>
                <w:sz w:val="20"/>
                <w:szCs w:val="20"/>
                <w:color w:val="auto"/>
              </w:rPr>
            </w:pPr>
            <w:r>
              <w:rPr>
                <w:rFonts w:ascii="Arial" w:cs="Arial" w:eastAsia="Arial" w:hAnsi="Arial"/>
                <w:sz w:val="22"/>
                <w:szCs w:val="22"/>
                <w:b w:val="1"/>
                <w:bCs w:val="1"/>
                <w:color w:val="0033A0"/>
              </w:rPr>
              <w:t>72</w:t>
            </w:r>
          </w:p>
        </w:tc>
        <w:tc>
          <w:tcPr>
            <w:tcW w:w="0" w:type="dxa"/>
            <w:vAlign w:val="bottom"/>
          </w:tcPr>
          <w:p>
            <w:pPr>
              <w:spacing w:after="0"/>
              <w:rPr>
                <w:sz w:val="1"/>
                <w:szCs w:val="1"/>
                <w:color w:val="auto"/>
              </w:rPr>
            </w:pPr>
          </w:p>
        </w:tc>
      </w:tr>
      <w:tr>
        <w:trPr>
          <w:trHeight w:val="20"/>
        </w:trPr>
        <w:tc>
          <w:tcPr>
            <w:tcW w:w="440" w:type="dxa"/>
            <w:vAlign w:val="bottom"/>
            <w:vMerge w:val="restart"/>
          </w:tcPr>
          <w:p>
            <w:pPr>
              <w:jc w:val="right"/>
              <w:ind w:right="111"/>
              <w:spacing w:after="0"/>
              <w:rPr>
                <w:sz w:val="20"/>
                <w:szCs w:val="20"/>
                <w:color w:val="auto"/>
              </w:rPr>
            </w:pPr>
            <w:r>
              <w:rPr>
                <w:rFonts w:ascii="Arial" w:cs="Arial" w:eastAsia="Arial" w:hAnsi="Arial"/>
                <w:sz w:val="22"/>
                <w:szCs w:val="22"/>
                <w:b w:val="1"/>
                <w:bCs w:val="1"/>
                <w:color w:val="0033A0"/>
                <w:w w:val="89"/>
              </w:rPr>
              <w:t>25</w:t>
            </w:r>
          </w:p>
        </w:tc>
        <w:tc>
          <w:tcPr>
            <w:tcW w:w="20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440" w:type="dxa"/>
            <w:vAlign w:val="bottom"/>
            <w:vMerge w:val="continue"/>
          </w:tcPr>
          <w:p>
            <w:pPr>
              <w:spacing w:after="0"/>
              <w:rPr>
                <w:sz w:val="24"/>
                <w:szCs w:val="24"/>
                <w:color w:val="auto"/>
              </w:rPr>
            </w:pPr>
          </w:p>
        </w:tc>
        <w:tc>
          <w:tcPr>
            <w:tcW w:w="200" w:type="dxa"/>
            <w:vAlign w:val="bottom"/>
            <w:vMerge w:val="restart"/>
          </w:tcPr>
          <w:p>
            <w:pPr>
              <w:spacing w:after="0"/>
              <w:rPr>
                <w:sz w:val="24"/>
                <w:szCs w:val="24"/>
                <w:color w:val="auto"/>
              </w:rPr>
            </w:pPr>
          </w:p>
        </w:tc>
        <w:tc>
          <w:tcPr>
            <w:tcW w:w="3280" w:type="dxa"/>
            <w:vAlign w:val="bottom"/>
            <w:gridSpan w:val="6"/>
            <w:vMerge w:val="restart"/>
          </w:tcPr>
          <w:p>
            <w:pPr>
              <w:spacing w:after="0"/>
              <w:rPr>
                <w:rFonts w:ascii="Arial" w:cs="Arial" w:eastAsia="Arial" w:hAnsi="Arial"/>
                <w:sz w:val="22"/>
                <w:szCs w:val="22"/>
                <w:b w:val="1"/>
                <w:bCs w:val="1"/>
                <w:color w:val="0000EE"/>
                <w:w w:val="97"/>
              </w:rPr>
            </w:pPr>
            <w:hyperlink w:anchor="page78">
              <w:r>
                <w:rPr>
                  <w:rFonts w:ascii="Arial" w:cs="Arial" w:eastAsia="Arial" w:hAnsi="Arial"/>
                  <w:sz w:val="22"/>
                  <w:szCs w:val="22"/>
                  <w:b w:val="1"/>
                  <w:bCs w:val="1"/>
                  <w:color w:val="0000EE"/>
                  <w:w w:val="97"/>
                </w:rPr>
                <w:t>EQUITY COMPENSATION PLAN</w:t>
              </w:r>
            </w:hyperlink>
          </w:p>
        </w:tc>
        <w:tc>
          <w:tcPr>
            <w:tcW w:w="1560" w:type="dxa"/>
            <w:vAlign w:val="bottom"/>
            <w:gridSpan w:val="4"/>
            <w:vMerge w:val="restart"/>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440" w:type="dxa"/>
            <w:vAlign w:val="bottom"/>
            <w:vMerge w:val="restart"/>
          </w:tcPr>
          <w:p>
            <w:pPr>
              <w:jc w:val="right"/>
              <w:ind w:right="111"/>
              <w:spacing w:after="0"/>
              <w:rPr>
                <w:sz w:val="20"/>
                <w:szCs w:val="20"/>
                <w:color w:val="auto"/>
              </w:rPr>
            </w:pPr>
            <w:r>
              <w:rPr>
                <w:rFonts w:ascii="Arial" w:cs="Arial" w:eastAsia="Arial" w:hAnsi="Arial"/>
                <w:sz w:val="17"/>
                <w:szCs w:val="17"/>
                <w:color w:val="auto"/>
              </w:rPr>
              <w:t>25</w:t>
            </w:r>
          </w:p>
        </w:tc>
        <w:tc>
          <w:tcPr>
            <w:tcW w:w="200" w:type="dxa"/>
            <w:vAlign w:val="bottom"/>
            <w:vMerge w:val="continue"/>
          </w:tcPr>
          <w:p>
            <w:pPr>
              <w:spacing w:after="0"/>
              <w:rPr>
                <w:sz w:val="2"/>
                <w:szCs w:val="2"/>
                <w:color w:val="auto"/>
              </w:rPr>
            </w:pPr>
          </w:p>
        </w:tc>
        <w:tc>
          <w:tcPr>
            <w:tcW w:w="3280" w:type="dxa"/>
            <w:vAlign w:val="bottom"/>
            <w:tcBorders>
              <w:bottom w:val="single" w:sz="8" w:color="0000EE"/>
            </w:tcBorders>
            <w:gridSpan w:val="6"/>
            <w:vMerge w:val="continue"/>
          </w:tcPr>
          <w:p>
            <w:pPr>
              <w:spacing w:after="0"/>
              <w:rPr>
                <w:sz w:val="2"/>
                <w:szCs w:val="2"/>
                <w:color w:val="auto"/>
              </w:rPr>
            </w:pPr>
          </w:p>
        </w:tc>
        <w:tc>
          <w:tcPr>
            <w:tcW w:w="1560" w:type="dxa"/>
            <w:vAlign w:val="bottom"/>
            <w:gridSpan w:val="4"/>
            <w:vMerge w:val="continue"/>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440" w:type="dxa"/>
            <w:vAlign w:val="bottom"/>
            <w:vMerge w:val="continue"/>
          </w:tcPr>
          <w:p>
            <w:pPr>
              <w:spacing w:after="0"/>
              <w:rPr>
                <w:sz w:val="12"/>
                <w:szCs w:val="12"/>
                <w:color w:val="auto"/>
              </w:rPr>
            </w:pPr>
          </w:p>
        </w:tc>
        <w:tc>
          <w:tcPr>
            <w:tcW w:w="5040" w:type="dxa"/>
            <w:vAlign w:val="bottom"/>
            <w:gridSpan w:val="11"/>
            <w:vMerge w:val="restart"/>
          </w:tcPr>
          <w:p>
            <w:pPr>
              <w:ind w:left="200"/>
              <w:spacing w:after="0" w:line="223" w:lineRule="exact"/>
              <w:rPr>
                <w:rFonts w:ascii="Arial" w:cs="Arial" w:eastAsia="Arial" w:hAnsi="Arial"/>
                <w:sz w:val="22"/>
                <w:szCs w:val="22"/>
                <w:b w:val="1"/>
                <w:bCs w:val="1"/>
                <w:color w:val="0000EE"/>
              </w:rPr>
            </w:pPr>
            <w:hyperlink w:anchor="page78">
              <w:r>
                <w:rPr>
                  <w:rFonts w:ascii="Arial" w:cs="Arial" w:eastAsia="Arial" w:hAnsi="Arial"/>
                  <w:sz w:val="22"/>
                  <w:szCs w:val="22"/>
                  <w:b w:val="1"/>
                  <w:bCs w:val="1"/>
                  <w:color w:val="0000EE"/>
                </w:rPr>
                <w:t>INFORMATION</w:t>
              </w:r>
            </w:hyperlink>
          </w:p>
        </w:tc>
        <w:tc>
          <w:tcPr>
            <w:tcW w:w="500" w:type="dxa"/>
            <w:vAlign w:val="bottom"/>
            <w:vMerge w:val="restart"/>
          </w:tcPr>
          <w:p>
            <w:pPr>
              <w:jc w:val="right"/>
              <w:spacing w:after="0" w:line="223" w:lineRule="exact"/>
              <w:rPr>
                <w:sz w:val="20"/>
                <w:szCs w:val="20"/>
                <w:color w:val="auto"/>
              </w:rPr>
            </w:pPr>
            <w:r>
              <w:rPr>
                <w:rFonts w:ascii="Arial" w:cs="Arial" w:eastAsia="Arial" w:hAnsi="Arial"/>
                <w:sz w:val="22"/>
                <w:szCs w:val="22"/>
                <w:b w:val="1"/>
                <w:bCs w:val="1"/>
                <w:color w:val="0033A0"/>
              </w:rPr>
              <w:t>73</w:t>
            </w:r>
          </w:p>
        </w:tc>
        <w:tc>
          <w:tcPr>
            <w:tcW w:w="0" w:type="dxa"/>
            <w:vAlign w:val="bottom"/>
          </w:tcPr>
          <w:p>
            <w:pPr>
              <w:spacing w:after="0"/>
              <w:rPr>
                <w:sz w:val="1"/>
                <w:szCs w:val="1"/>
                <w:color w:val="auto"/>
              </w:rPr>
            </w:pPr>
          </w:p>
        </w:tc>
      </w:tr>
      <w:tr>
        <w:trPr>
          <w:trHeight w:val="74"/>
        </w:trPr>
        <w:tc>
          <w:tcPr>
            <w:tcW w:w="440" w:type="dxa"/>
            <w:vAlign w:val="bottom"/>
            <w:vMerge w:val="restart"/>
          </w:tcPr>
          <w:p>
            <w:pPr>
              <w:jc w:val="right"/>
              <w:ind w:right="111"/>
              <w:spacing w:after="0"/>
              <w:rPr>
                <w:sz w:val="20"/>
                <w:szCs w:val="20"/>
                <w:color w:val="auto"/>
              </w:rPr>
            </w:pPr>
            <w:r>
              <w:rPr>
                <w:rFonts w:ascii="Arial" w:cs="Arial" w:eastAsia="Arial" w:hAnsi="Arial"/>
                <w:sz w:val="17"/>
                <w:szCs w:val="17"/>
                <w:color w:val="auto"/>
              </w:rPr>
              <w:t>27</w:t>
            </w:r>
          </w:p>
        </w:tc>
        <w:tc>
          <w:tcPr>
            <w:tcW w:w="5040" w:type="dxa"/>
            <w:vAlign w:val="bottom"/>
            <w:gridSpan w:val="11"/>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4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Borders>
              <w:top w:val="single" w:sz="8" w:color="0000EE"/>
            </w:tcBorders>
          </w:tcPr>
          <w:p>
            <w:pPr>
              <w:spacing w:after="0"/>
              <w:rPr>
                <w:sz w:val="9"/>
                <w:szCs w:val="9"/>
                <w:color w:val="auto"/>
              </w:rPr>
            </w:pPr>
          </w:p>
        </w:tc>
        <w:tc>
          <w:tcPr>
            <w:tcW w:w="540" w:type="dxa"/>
            <w:vAlign w:val="bottom"/>
            <w:tcBorders>
              <w:top w:val="single" w:sz="8" w:color="0000EE"/>
            </w:tcBorders>
          </w:tcPr>
          <w:p>
            <w:pPr>
              <w:spacing w:after="0"/>
              <w:rPr>
                <w:sz w:val="9"/>
                <w:szCs w:val="9"/>
                <w:color w:val="auto"/>
              </w:rPr>
            </w:pPr>
          </w:p>
        </w:tc>
        <w:tc>
          <w:tcPr>
            <w:tcW w:w="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440" w:type="dxa"/>
            <w:vAlign w:val="bottom"/>
          </w:tcPr>
          <w:p>
            <w:pPr>
              <w:jc w:val="right"/>
              <w:ind w:right="111"/>
              <w:spacing w:after="0"/>
              <w:rPr>
                <w:sz w:val="20"/>
                <w:szCs w:val="20"/>
                <w:color w:val="auto"/>
              </w:rPr>
            </w:pPr>
            <w:r>
              <w:rPr>
                <w:rFonts w:ascii="Arial" w:cs="Arial" w:eastAsia="Arial" w:hAnsi="Arial"/>
                <w:sz w:val="17"/>
                <w:szCs w:val="17"/>
                <w:color w:val="auto"/>
              </w:rPr>
              <w:t>29</w:t>
            </w:r>
          </w:p>
        </w:tc>
        <w:tc>
          <w:tcPr>
            <w:tcW w:w="200" w:type="dxa"/>
            <w:vAlign w:val="bottom"/>
          </w:tcPr>
          <w:p>
            <w:pPr>
              <w:spacing w:after="0"/>
              <w:rPr>
                <w:sz w:val="21"/>
                <w:szCs w:val="21"/>
                <w:color w:val="auto"/>
              </w:rPr>
            </w:pPr>
          </w:p>
        </w:tc>
        <w:tc>
          <w:tcPr>
            <w:tcW w:w="4100" w:type="dxa"/>
            <w:vAlign w:val="bottom"/>
            <w:tcBorders>
              <w:bottom w:val="single" w:sz="8" w:color="0000EE"/>
            </w:tcBorders>
            <w:gridSpan w:val="7"/>
          </w:tcPr>
          <w:p>
            <w:pPr>
              <w:spacing w:after="0" w:line="236" w:lineRule="exact"/>
              <w:rPr>
                <w:rFonts w:ascii="Arial" w:cs="Arial" w:eastAsia="Arial" w:hAnsi="Arial"/>
                <w:sz w:val="22"/>
                <w:szCs w:val="22"/>
                <w:b w:val="1"/>
                <w:bCs w:val="1"/>
                <w:color w:val="0000EE"/>
                <w:w w:val="97"/>
              </w:rPr>
            </w:pPr>
            <w:hyperlink w:anchor="page79">
              <w:r>
                <w:rPr>
                  <w:rFonts w:ascii="Arial" w:cs="Arial" w:eastAsia="Arial" w:hAnsi="Arial"/>
                  <w:sz w:val="22"/>
                  <w:szCs w:val="22"/>
                  <w:b w:val="1"/>
                  <w:bCs w:val="1"/>
                  <w:color w:val="0000EE"/>
                  <w:w w:val="97"/>
                </w:rPr>
                <w:t>PROPOSAL NO. 3—APPROVAL OF THE</w:t>
              </w:r>
            </w:hyperlink>
          </w:p>
        </w:tc>
        <w:tc>
          <w:tcPr>
            <w:tcW w:w="740" w:type="dxa"/>
            <w:vAlign w:val="bottom"/>
            <w:gridSpan w:val="3"/>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440" w:type="dxa"/>
            <w:vAlign w:val="bottom"/>
          </w:tcPr>
          <w:p>
            <w:pPr>
              <w:jc w:val="right"/>
              <w:ind w:right="111"/>
              <w:spacing w:after="0" w:line="142" w:lineRule="exact"/>
              <w:rPr>
                <w:sz w:val="20"/>
                <w:szCs w:val="20"/>
                <w:color w:val="auto"/>
              </w:rPr>
            </w:pPr>
            <w:r>
              <w:rPr>
                <w:rFonts w:ascii="Arial" w:cs="Arial" w:eastAsia="Arial" w:hAnsi="Arial"/>
                <w:sz w:val="16"/>
                <w:szCs w:val="16"/>
                <w:color w:val="auto"/>
              </w:rPr>
              <w:t>30</w:t>
            </w:r>
          </w:p>
        </w:tc>
        <w:tc>
          <w:tcPr>
            <w:tcW w:w="5040" w:type="dxa"/>
            <w:vAlign w:val="bottom"/>
            <w:gridSpan w:val="11"/>
            <w:vMerge w:val="restart"/>
          </w:tcPr>
          <w:p>
            <w:pPr>
              <w:ind w:left="200"/>
              <w:spacing w:after="0" w:line="229" w:lineRule="exact"/>
              <w:rPr>
                <w:rFonts w:ascii="Arial" w:cs="Arial" w:eastAsia="Arial" w:hAnsi="Arial"/>
                <w:sz w:val="22"/>
                <w:szCs w:val="22"/>
                <w:b w:val="1"/>
                <w:bCs w:val="1"/>
                <w:color w:val="0000EE"/>
              </w:rPr>
            </w:pPr>
            <w:hyperlink w:anchor="page79">
              <w:r>
                <w:rPr>
                  <w:rFonts w:ascii="Arial" w:cs="Arial" w:eastAsia="Arial" w:hAnsi="Arial"/>
                  <w:sz w:val="22"/>
                  <w:szCs w:val="22"/>
                  <w:b w:val="1"/>
                  <w:bCs w:val="1"/>
                  <w:color w:val="0000EE"/>
                </w:rPr>
                <w:t>SELECTION OF INDEPENDENT REGISTERED</w:t>
              </w:r>
            </w:hyperlink>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7"/>
        </w:trPr>
        <w:tc>
          <w:tcPr>
            <w:tcW w:w="440" w:type="dxa"/>
            <w:vAlign w:val="bottom"/>
            <w:vMerge w:val="restart"/>
          </w:tcPr>
          <w:p>
            <w:pPr>
              <w:jc w:val="right"/>
              <w:ind w:right="111"/>
              <w:spacing w:after="0"/>
              <w:rPr>
                <w:sz w:val="20"/>
                <w:szCs w:val="20"/>
                <w:color w:val="auto"/>
              </w:rPr>
            </w:pPr>
            <w:r>
              <w:rPr>
                <w:rFonts w:ascii="Arial" w:cs="Arial" w:eastAsia="Arial" w:hAnsi="Arial"/>
                <w:sz w:val="17"/>
                <w:szCs w:val="17"/>
                <w:color w:val="auto"/>
              </w:rPr>
              <w:t>31</w:t>
            </w:r>
          </w:p>
        </w:tc>
        <w:tc>
          <w:tcPr>
            <w:tcW w:w="5040" w:type="dxa"/>
            <w:vAlign w:val="bottom"/>
            <w:gridSpan w:val="11"/>
            <w:vMerge w:val="continue"/>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4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2920" w:type="dxa"/>
            <w:vAlign w:val="bottom"/>
            <w:tcBorders>
              <w:top w:val="single" w:sz="8" w:color="0000EE"/>
            </w:tcBorders>
            <w:gridSpan w:val="5"/>
            <w:vMerge w:val="restart"/>
          </w:tcPr>
          <w:p>
            <w:pPr>
              <w:spacing w:after="0" w:line="209" w:lineRule="exact"/>
              <w:rPr>
                <w:rFonts w:ascii="Arial" w:cs="Arial" w:eastAsia="Arial" w:hAnsi="Arial"/>
                <w:sz w:val="22"/>
                <w:szCs w:val="22"/>
                <w:b w:val="1"/>
                <w:bCs w:val="1"/>
                <w:color w:val="0000EE"/>
                <w:w w:val="97"/>
              </w:rPr>
            </w:pPr>
            <w:hyperlink w:anchor="page79">
              <w:r>
                <w:rPr>
                  <w:rFonts w:ascii="Arial" w:cs="Arial" w:eastAsia="Arial" w:hAnsi="Arial"/>
                  <w:sz w:val="22"/>
                  <w:szCs w:val="22"/>
                  <w:b w:val="1"/>
                  <w:bCs w:val="1"/>
                  <w:color w:val="0000EE"/>
                  <w:w w:val="97"/>
                </w:rPr>
                <w:t>PUBLIC ACCOUNTING FIRM</w:t>
              </w:r>
            </w:hyperlink>
          </w:p>
        </w:tc>
        <w:tc>
          <w:tcPr>
            <w:tcW w:w="360" w:type="dxa"/>
            <w:vAlign w:val="bottom"/>
            <w:tcBorders>
              <w:top w:val="single" w:sz="8" w:color="0000EE"/>
            </w:tcBorders>
          </w:tcPr>
          <w:p>
            <w:pPr>
              <w:spacing w:after="0"/>
              <w:rPr>
                <w:sz w:val="8"/>
                <w:szCs w:val="8"/>
                <w:color w:val="auto"/>
              </w:rPr>
            </w:pPr>
          </w:p>
        </w:tc>
        <w:tc>
          <w:tcPr>
            <w:tcW w:w="820" w:type="dxa"/>
            <w:vAlign w:val="bottom"/>
            <w:tcBorders>
              <w:top w:val="single" w:sz="8" w:color="0000EE"/>
            </w:tcBorders>
          </w:tcPr>
          <w:p>
            <w:pPr>
              <w:spacing w:after="0"/>
              <w:rPr>
                <w:sz w:val="8"/>
                <w:szCs w:val="8"/>
                <w:color w:val="auto"/>
              </w:rPr>
            </w:pPr>
          </w:p>
        </w:tc>
        <w:tc>
          <w:tcPr>
            <w:tcW w:w="260" w:type="dxa"/>
            <w:vAlign w:val="bottom"/>
            <w:tcBorders>
              <w:top w:val="single" w:sz="8" w:color="0000EE"/>
            </w:tcBorders>
          </w:tcPr>
          <w:p>
            <w:pPr>
              <w:spacing w:after="0"/>
              <w:rPr>
                <w:sz w:val="8"/>
                <w:szCs w:val="8"/>
                <w:color w:val="auto"/>
              </w:rPr>
            </w:pPr>
          </w:p>
        </w:tc>
        <w:tc>
          <w:tcPr>
            <w:tcW w:w="320" w:type="dxa"/>
            <w:vAlign w:val="bottom"/>
            <w:tcBorders>
              <w:top w:val="single" w:sz="8" w:color="0000EE"/>
            </w:tcBorders>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vMerge w:val="restart"/>
          </w:tcPr>
          <w:p>
            <w:pPr>
              <w:jc w:val="right"/>
              <w:spacing w:after="0"/>
              <w:rPr>
                <w:sz w:val="20"/>
                <w:szCs w:val="20"/>
                <w:color w:val="auto"/>
              </w:rPr>
            </w:pPr>
            <w:r>
              <w:rPr>
                <w:rFonts w:ascii="Arial" w:cs="Arial" w:eastAsia="Arial" w:hAnsi="Arial"/>
                <w:sz w:val="22"/>
                <w:szCs w:val="22"/>
                <w:b w:val="1"/>
                <w:bCs w:val="1"/>
                <w:color w:val="0033A0"/>
              </w:rPr>
              <w:t>74</w:t>
            </w:r>
          </w:p>
        </w:tc>
        <w:tc>
          <w:tcPr>
            <w:tcW w:w="0" w:type="dxa"/>
            <w:vAlign w:val="bottom"/>
          </w:tcPr>
          <w:p>
            <w:pPr>
              <w:spacing w:after="0"/>
              <w:rPr>
                <w:sz w:val="1"/>
                <w:szCs w:val="1"/>
                <w:color w:val="auto"/>
              </w:rPr>
            </w:pPr>
          </w:p>
        </w:tc>
      </w:tr>
      <w:tr>
        <w:trPr>
          <w:trHeight w:val="133"/>
        </w:trPr>
        <w:tc>
          <w:tcPr>
            <w:tcW w:w="440" w:type="dxa"/>
            <w:vAlign w:val="bottom"/>
            <w:vMerge w:val="restart"/>
          </w:tcPr>
          <w:p>
            <w:pPr>
              <w:jc w:val="right"/>
              <w:ind w:right="111"/>
              <w:spacing w:after="0"/>
              <w:rPr>
                <w:sz w:val="20"/>
                <w:szCs w:val="20"/>
                <w:color w:val="auto"/>
              </w:rPr>
            </w:pPr>
            <w:r>
              <w:rPr>
                <w:rFonts w:ascii="Arial" w:cs="Arial" w:eastAsia="Arial" w:hAnsi="Arial"/>
                <w:sz w:val="17"/>
                <w:szCs w:val="17"/>
                <w:color w:val="auto"/>
              </w:rPr>
              <w:t>40</w:t>
            </w:r>
          </w:p>
        </w:tc>
        <w:tc>
          <w:tcPr>
            <w:tcW w:w="200" w:type="dxa"/>
            <w:vAlign w:val="bottom"/>
            <w:vMerge w:val="restart"/>
          </w:tcPr>
          <w:p>
            <w:pPr>
              <w:spacing w:after="0"/>
              <w:rPr>
                <w:sz w:val="11"/>
                <w:szCs w:val="11"/>
                <w:color w:val="auto"/>
              </w:rPr>
            </w:pPr>
          </w:p>
        </w:tc>
        <w:tc>
          <w:tcPr>
            <w:tcW w:w="2920" w:type="dxa"/>
            <w:vAlign w:val="bottom"/>
            <w:tcBorders>
              <w:bottom w:val="single" w:sz="8" w:color="0000EE"/>
            </w:tcBorders>
            <w:gridSpan w:val="5"/>
            <w:vMerge w:val="continue"/>
          </w:tcPr>
          <w:p>
            <w:pPr>
              <w:spacing w:after="0"/>
              <w:rPr>
                <w:sz w:val="11"/>
                <w:szCs w:val="11"/>
                <w:color w:val="auto"/>
              </w:rPr>
            </w:pPr>
          </w:p>
        </w:tc>
        <w:tc>
          <w:tcPr>
            <w:tcW w:w="1440" w:type="dxa"/>
            <w:vAlign w:val="bottom"/>
            <w:gridSpan w:val="3"/>
            <w:vMerge w:val="restart"/>
          </w:tcPr>
          <w:p>
            <w:pPr>
              <w:spacing w:after="0"/>
              <w:rPr>
                <w:sz w:val="11"/>
                <w:szCs w:val="11"/>
                <w:color w:val="auto"/>
              </w:rPr>
            </w:pPr>
          </w:p>
        </w:tc>
        <w:tc>
          <w:tcPr>
            <w:tcW w:w="480" w:type="dxa"/>
            <w:vAlign w:val="bottom"/>
            <w:gridSpan w:val="2"/>
            <w:vMerge w:val="restart"/>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5"/>
        </w:trPr>
        <w:tc>
          <w:tcPr>
            <w:tcW w:w="44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980" w:type="dxa"/>
            <w:vAlign w:val="bottom"/>
          </w:tcPr>
          <w:p>
            <w:pPr>
              <w:spacing w:after="0"/>
              <w:rPr>
                <w:sz w:val="4"/>
                <w:szCs w:val="4"/>
                <w:color w:val="auto"/>
              </w:rPr>
            </w:pPr>
          </w:p>
        </w:tc>
        <w:tc>
          <w:tcPr>
            <w:tcW w:w="1360" w:type="dxa"/>
            <w:vAlign w:val="bottom"/>
            <w:gridSpan w:val="2"/>
          </w:tcPr>
          <w:p>
            <w:pPr>
              <w:spacing w:after="0"/>
              <w:rPr>
                <w:sz w:val="4"/>
                <w:szCs w:val="4"/>
                <w:color w:val="auto"/>
              </w:rPr>
            </w:pPr>
          </w:p>
        </w:tc>
        <w:tc>
          <w:tcPr>
            <w:tcW w:w="580" w:type="dxa"/>
            <w:vAlign w:val="bottom"/>
            <w:gridSpan w:val="2"/>
          </w:tcPr>
          <w:p>
            <w:pPr>
              <w:spacing w:after="0"/>
              <w:rPr>
                <w:sz w:val="4"/>
                <w:szCs w:val="4"/>
                <w:color w:val="auto"/>
              </w:rPr>
            </w:pPr>
          </w:p>
        </w:tc>
        <w:tc>
          <w:tcPr>
            <w:tcW w:w="1440" w:type="dxa"/>
            <w:vAlign w:val="bottom"/>
            <w:gridSpan w:val="3"/>
            <w:vMerge w:val="continue"/>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40" w:type="dxa"/>
            <w:vAlign w:val="bottom"/>
          </w:tcPr>
          <w:p>
            <w:pPr>
              <w:jc w:val="right"/>
              <w:ind w:right="111"/>
              <w:spacing w:after="0"/>
              <w:rPr>
                <w:sz w:val="20"/>
                <w:szCs w:val="20"/>
                <w:color w:val="auto"/>
              </w:rPr>
            </w:pPr>
            <w:r>
              <w:rPr>
                <w:rFonts w:ascii="Arial" w:cs="Arial" w:eastAsia="Arial" w:hAnsi="Arial"/>
                <w:sz w:val="17"/>
                <w:szCs w:val="17"/>
                <w:color w:val="auto"/>
              </w:rPr>
              <w:t>41</w:t>
            </w:r>
          </w:p>
        </w:tc>
        <w:tc>
          <w:tcPr>
            <w:tcW w:w="200" w:type="dxa"/>
            <w:vAlign w:val="bottom"/>
            <w:vMerge w:val="restart"/>
          </w:tcPr>
          <w:p>
            <w:pPr>
              <w:spacing w:after="0"/>
              <w:rPr>
                <w:sz w:val="17"/>
                <w:szCs w:val="17"/>
                <w:color w:val="auto"/>
              </w:rPr>
            </w:pPr>
          </w:p>
        </w:tc>
        <w:tc>
          <w:tcPr>
            <w:tcW w:w="4840" w:type="dxa"/>
            <w:vAlign w:val="bottom"/>
            <w:gridSpan w:val="10"/>
            <w:vMerge w:val="restart"/>
          </w:tcPr>
          <w:p>
            <w:pPr>
              <w:spacing w:after="0"/>
              <w:rPr>
                <w:rFonts w:ascii="Arial" w:cs="Arial" w:eastAsia="Arial" w:hAnsi="Arial"/>
                <w:sz w:val="22"/>
                <w:szCs w:val="22"/>
                <w:b w:val="1"/>
                <w:bCs w:val="1"/>
                <w:color w:val="0000EE"/>
              </w:rPr>
            </w:pPr>
            <w:hyperlink w:anchor="page81">
              <w:r>
                <w:rPr>
                  <w:rFonts w:ascii="Arial" w:cs="Arial" w:eastAsia="Arial" w:hAnsi="Arial"/>
                  <w:sz w:val="22"/>
                  <w:szCs w:val="22"/>
                  <w:b w:val="1"/>
                  <w:bCs w:val="1"/>
                  <w:color w:val="0000EE"/>
                </w:rPr>
                <w:t>AUDIT AND ETHICS COMMITTEE REPORT</w:t>
              </w:r>
            </w:hyperlink>
          </w:p>
        </w:tc>
        <w:tc>
          <w:tcPr>
            <w:tcW w:w="500" w:type="dxa"/>
            <w:vAlign w:val="bottom"/>
            <w:vMerge w:val="restart"/>
          </w:tcPr>
          <w:p>
            <w:pPr>
              <w:jc w:val="right"/>
              <w:spacing w:after="0"/>
              <w:rPr>
                <w:sz w:val="20"/>
                <w:szCs w:val="20"/>
                <w:color w:val="auto"/>
              </w:rPr>
            </w:pPr>
            <w:r>
              <w:rPr>
                <w:rFonts w:ascii="Arial" w:cs="Arial" w:eastAsia="Arial" w:hAnsi="Arial"/>
                <w:sz w:val="22"/>
                <w:szCs w:val="22"/>
                <w:b w:val="1"/>
                <w:bCs w:val="1"/>
                <w:color w:val="0033A0"/>
              </w:rPr>
              <w:t>76</w:t>
            </w:r>
          </w:p>
        </w:tc>
        <w:tc>
          <w:tcPr>
            <w:tcW w:w="0" w:type="dxa"/>
            <w:vAlign w:val="bottom"/>
          </w:tcPr>
          <w:p>
            <w:pPr>
              <w:spacing w:after="0"/>
              <w:rPr>
                <w:sz w:val="1"/>
                <w:szCs w:val="1"/>
                <w:color w:val="auto"/>
              </w:rPr>
            </w:pPr>
          </w:p>
        </w:tc>
      </w:tr>
      <w:tr>
        <w:trPr>
          <w:trHeight w:val="101"/>
        </w:trPr>
        <w:tc>
          <w:tcPr>
            <w:tcW w:w="440" w:type="dxa"/>
            <w:vAlign w:val="bottom"/>
            <w:vMerge w:val="restart"/>
          </w:tcPr>
          <w:p>
            <w:pPr>
              <w:jc w:val="right"/>
              <w:ind w:right="111"/>
              <w:spacing w:after="0"/>
              <w:rPr>
                <w:sz w:val="20"/>
                <w:szCs w:val="20"/>
                <w:color w:val="auto"/>
              </w:rPr>
            </w:pPr>
            <w:r>
              <w:rPr>
                <w:rFonts w:ascii="Arial" w:cs="Arial" w:eastAsia="Arial" w:hAnsi="Arial"/>
                <w:sz w:val="17"/>
                <w:szCs w:val="17"/>
                <w:color w:val="auto"/>
              </w:rPr>
              <w:t>42</w:t>
            </w:r>
          </w:p>
        </w:tc>
        <w:tc>
          <w:tcPr>
            <w:tcW w:w="200" w:type="dxa"/>
            <w:vAlign w:val="bottom"/>
            <w:vMerge w:val="continue"/>
          </w:tcPr>
          <w:p>
            <w:pPr>
              <w:spacing w:after="0"/>
              <w:rPr>
                <w:sz w:val="8"/>
                <w:szCs w:val="8"/>
                <w:color w:val="auto"/>
              </w:rPr>
            </w:pPr>
          </w:p>
        </w:tc>
        <w:tc>
          <w:tcPr>
            <w:tcW w:w="4840" w:type="dxa"/>
            <w:vAlign w:val="bottom"/>
            <w:gridSpan w:val="10"/>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440" w:type="dxa"/>
            <w:vAlign w:val="bottom"/>
            <w:vMerge w:val="continue"/>
          </w:tcPr>
          <w:p>
            <w:pPr>
              <w:spacing w:after="0"/>
              <w:rPr>
                <w:sz w:val="7"/>
                <w:szCs w:val="7"/>
                <w:color w:val="auto"/>
              </w:rPr>
            </w:pPr>
          </w:p>
        </w:tc>
        <w:tc>
          <w:tcPr>
            <w:tcW w:w="200" w:type="dxa"/>
            <w:vAlign w:val="bottom"/>
            <w:vMerge w:val="restart"/>
          </w:tcPr>
          <w:p>
            <w:pPr>
              <w:spacing w:after="0"/>
              <w:rPr>
                <w:sz w:val="7"/>
                <w:szCs w:val="7"/>
                <w:color w:val="auto"/>
              </w:rPr>
            </w:pPr>
          </w:p>
        </w:tc>
        <w:tc>
          <w:tcPr>
            <w:tcW w:w="2340" w:type="dxa"/>
            <w:vAlign w:val="bottom"/>
            <w:tcBorders>
              <w:top w:val="single" w:sz="8" w:color="0000EE"/>
            </w:tcBorders>
            <w:gridSpan w:val="3"/>
            <w:vMerge w:val="restart"/>
          </w:tcPr>
          <w:p>
            <w:pPr>
              <w:spacing w:after="0"/>
              <w:rPr>
                <w:rFonts w:ascii="Arial" w:cs="Arial" w:eastAsia="Arial" w:hAnsi="Arial"/>
                <w:sz w:val="22"/>
                <w:szCs w:val="22"/>
                <w:b w:val="1"/>
                <w:bCs w:val="1"/>
                <w:color w:val="0000EE"/>
                <w:w w:val="97"/>
              </w:rPr>
            </w:pPr>
            <w:hyperlink w:anchor="page82">
              <w:r>
                <w:rPr>
                  <w:rFonts w:ascii="Arial" w:cs="Arial" w:eastAsia="Arial" w:hAnsi="Arial"/>
                  <w:sz w:val="22"/>
                  <w:szCs w:val="22"/>
                  <w:b w:val="1"/>
                  <w:bCs w:val="1"/>
                  <w:color w:val="0000EE"/>
                  <w:w w:val="97"/>
                </w:rPr>
                <w:t>OTHER INFORMATION</w:t>
              </w:r>
            </w:hyperlink>
          </w:p>
        </w:tc>
        <w:tc>
          <w:tcPr>
            <w:tcW w:w="2020" w:type="dxa"/>
            <w:vAlign w:val="bottom"/>
            <w:tcBorders>
              <w:top w:val="single" w:sz="8" w:color="0000EE"/>
            </w:tcBorders>
            <w:gridSpan w:val="5"/>
            <w:vMerge w:val="restart"/>
          </w:tcPr>
          <w:p>
            <w:pPr>
              <w:spacing w:after="0"/>
              <w:rPr>
                <w:sz w:val="7"/>
                <w:szCs w:val="7"/>
                <w:color w:val="auto"/>
              </w:rPr>
            </w:pPr>
          </w:p>
        </w:tc>
        <w:tc>
          <w:tcPr>
            <w:tcW w:w="480" w:type="dxa"/>
            <w:vAlign w:val="bottom"/>
            <w:gridSpan w:val="2"/>
            <w:vMerge w:val="restart"/>
          </w:tcPr>
          <w:p>
            <w:pPr>
              <w:spacing w:after="0"/>
              <w:rPr>
                <w:sz w:val="7"/>
                <w:szCs w:val="7"/>
                <w:color w:val="auto"/>
              </w:rPr>
            </w:pPr>
          </w:p>
        </w:tc>
        <w:tc>
          <w:tcPr>
            <w:tcW w:w="500" w:type="dxa"/>
            <w:vAlign w:val="bottom"/>
            <w:vMerge w:val="restart"/>
          </w:tcPr>
          <w:p>
            <w:pPr>
              <w:jc w:val="right"/>
              <w:spacing w:after="0"/>
              <w:rPr>
                <w:sz w:val="20"/>
                <w:szCs w:val="20"/>
                <w:color w:val="auto"/>
              </w:rPr>
            </w:pPr>
            <w:r>
              <w:rPr>
                <w:rFonts w:ascii="Arial" w:cs="Arial" w:eastAsia="Arial" w:hAnsi="Arial"/>
                <w:sz w:val="22"/>
                <w:szCs w:val="22"/>
                <w:b w:val="1"/>
                <w:bCs w:val="1"/>
                <w:color w:val="0033A0"/>
              </w:rPr>
              <w:t>77</w:t>
            </w:r>
          </w:p>
        </w:tc>
        <w:tc>
          <w:tcPr>
            <w:tcW w:w="0" w:type="dxa"/>
            <w:vAlign w:val="bottom"/>
          </w:tcPr>
          <w:p>
            <w:pPr>
              <w:spacing w:after="0"/>
              <w:rPr>
                <w:sz w:val="1"/>
                <w:szCs w:val="1"/>
                <w:color w:val="auto"/>
              </w:rPr>
            </w:pPr>
          </w:p>
        </w:tc>
      </w:tr>
      <w:tr>
        <w:trPr>
          <w:trHeight w:val="279"/>
        </w:trPr>
        <w:tc>
          <w:tcPr>
            <w:tcW w:w="440" w:type="dxa"/>
            <w:vAlign w:val="bottom"/>
            <w:vMerge w:val="restart"/>
          </w:tcPr>
          <w:p>
            <w:pPr>
              <w:jc w:val="right"/>
              <w:ind w:right="111"/>
              <w:spacing w:after="0"/>
              <w:rPr>
                <w:sz w:val="20"/>
                <w:szCs w:val="20"/>
                <w:color w:val="auto"/>
              </w:rPr>
            </w:pPr>
            <w:r>
              <w:rPr>
                <w:rFonts w:ascii="Arial" w:cs="Arial" w:eastAsia="Arial" w:hAnsi="Arial"/>
                <w:sz w:val="17"/>
                <w:szCs w:val="17"/>
                <w:color w:val="auto"/>
              </w:rPr>
              <w:t>42</w:t>
            </w:r>
          </w:p>
        </w:tc>
        <w:tc>
          <w:tcPr>
            <w:tcW w:w="200" w:type="dxa"/>
            <w:vAlign w:val="bottom"/>
            <w:vMerge w:val="continue"/>
          </w:tcPr>
          <w:p>
            <w:pPr>
              <w:spacing w:after="0"/>
              <w:rPr>
                <w:sz w:val="23"/>
                <w:szCs w:val="23"/>
                <w:color w:val="auto"/>
              </w:rPr>
            </w:pPr>
          </w:p>
        </w:tc>
        <w:tc>
          <w:tcPr>
            <w:tcW w:w="2340" w:type="dxa"/>
            <w:vAlign w:val="bottom"/>
            <w:tcBorders>
              <w:bottom w:val="single" w:sz="8" w:color="0000EE"/>
            </w:tcBorders>
            <w:gridSpan w:val="3"/>
            <w:vMerge w:val="continue"/>
          </w:tcPr>
          <w:p>
            <w:pPr>
              <w:spacing w:after="0"/>
              <w:rPr>
                <w:sz w:val="23"/>
                <w:szCs w:val="23"/>
                <w:color w:val="auto"/>
              </w:rPr>
            </w:pPr>
          </w:p>
        </w:tc>
        <w:tc>
          <w:tcPr>
            <w:tcW w:w="2020" w:type="dxa"/>
            <w:vAlign w:val="bottom"/>
            <w:gridSpan w:val="5"/>
            <w:vMerge w:val="continue"/>
          </w:tcPr>
          <w:p>
            <w:pPr>
              <w:spacing w:after="0"/>
              <w:rPr>
                <w:sz w:val="23"/>
                <w:szCs w:val="23"/>
                <w:color w:val="auto"/>
              </w:rPr>
            </w:pPr>
          </w:p>
        </w:tc>
        <w:tc>
          <w:tcPr>
            <w:tcW w:w="480" w:type="dxa"/>
            <w:vAlign w:val="bottom"/>
            <w:gridSpan w:val="2"/>
            <w:vMerge w:val="continue"/>
          </w:tcPr>
          <w:p>
            <w:pPr>
              <w:spacing w:after="0"/>
              <w:rPr>
                <w:sz w:val="23"/>
                <w:szCs w:val="23"/>
                <w:color w:val="auto"/>
              </w:rPr>
            </w:pPr>
          </w:p>
        </w:tc>
        <w:tc>
          <w:tcPr>
            <w:tcW w:w="5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440" w:type="dxa"/>
            <w:vAlign w:val="bottom"/>
            <w:vMerge w:val="continue"/>
          </w:tcPr>
          <w:p>
            <w:pPr>
              <w:spacing w:after="0"/>
              <w:rPr>
                <w:sz w:val="8"/>
                <w:szCs w:val="8"/>
                <w:color w:val="auto"/>
              </w:rPr>
            </w:pPr>
          </w:p>
        </w:tc>
        <w:tc>
          <w:tcPr>
            <w:tcW w:w="5040" w:type="dxa"/>
            <w:vAlign w:val="bottom"/>
            <w:gridSpan w:val="11"/>
            <w:vMerge w:val="restart"/>
          </w:tcPr>
          <w:p>
            <w:pPr>
              <w:ind w:left="200"/>
              <w:spacing w:after="0"/>
              <w:rPr>
                <w:sz w:val="20"/>
                <w:szCs w:val="20"/>
                <w:color w:val="auto"/>
              </w:rPr>
            </w:pPr>
            <w:r>
              <w:rPr>
                <w:rFonts w:ascii="Arial" w:cs="Arial" w:eastAsia="Arial" w:hAnsi="Arial"/>
                <w:sz w:val="22"/>
                <w:szCs w:val="22"/>
                <w:b w:val="1"/>
                <w:bCs w:val="1"/>
                <w:color w:val="0000EE"/>
              </w:rPr>
              <w:t>ANNEX A</w:t>
            </w:r>
          </w:p>
        </w:tc>
        <w:tc>
          <w:tcPr>
            <w:tcW w:w="500" w:type="dxa"/>
            <w:vAlign w:val="bottom"/>
            <w:vMerge w:val="restart"/>
          </w:tcPr>
          <w:p>
            <w:pPr>
              <w:jc w:val="right"/>
              <w:spacing w:after="0"/>
              <w:rPr>
                <w:sz w:val="20"/>
                <w:szCs w:val="20"/>
                <w:color w:val="auto"/>
              </w:rPr>
            </w:pPr>
            <w:r>
              <w:rPr>
                <w:rFonts w:ascii="Arial" w:cs="Arial" w:eastAsia="Arial" w:hAnsi="Arial"/>
                <w:sz w:val="22"/>
                <w:szCs w:val="22"/>
                <w:b w:val="1"/>
                <w:bCs w:val="1"/>
                <w:color w:val="0033A0"/>
              </w:rPr>
              <w:t>A-1</w:t>
            </w:r>
          </w:p>
        </w:tc>
        <w:tc>
          <w:tcPr>
            <w:tcW w:w="0" w:type="dxa"/>
            <w:vAlign w:val="bottom"/>
          </w:tcPr>
          <w:p>
            <w:pPr>
              <w:spacing w:after="0"/>
              <w:rPr>
                <w:sz w:val="1"/>
                <w:szCs w:val="1"/>
                <w:color w:val="auto"/>
              </w:rPr>
            </w:pPr>
          </w:p>
        </w:tc>
      </w:tr>
      <w:tr>
        <w:trPr>
          <w:trHeight w:val="261"/>
        </w:trPr>
        <w:tc>
          <w:tcPr>
            <w:tcW w:w="440" w:type="dxa"/>
            <w:vAlign w:val="bottom"/>
          </w:tcPr>
          <w:p>
            <w:pPr>
              <w:spacing w:after="0"/>
              <w:rPr>
                <w:sz w:val="22"/>
                <w:szCs w:val="22"/>
                <w:color w:val="auto"/>
              </w:rPr>
            </w:pPr>
          </w:p>
        </w:tc>
        <w:tc>
          <w:tcPr>
            <w:tcW w:w="5040" w:type="dxa"/>
            <w:vAlign w:val="bottom"/>
            <w:gridSpan w:val="11"/>
            <w:vMerge w:val="continue"/>
          </w:tcPr>
          <w:p>
            <w:pPr>
              <w:spacing w:after="0"/>
              <w:rPr>
                <w:sz w:val="22"/>
                <w:szCs w:val="22"/>
                <w:color w:val="auto"/>
              </w:rPr>
            </w:pPr>
          </w:p>
        </w:tc>
        <w:tc>
          <w:tcPr>
            <w:tcW w:w="5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41"/>
        </w:trPr>
        <w:tc>
          <w:tcPr>
            <w:tcW w:w="440" w:type="dxa"/>
            <w:vAlign w:val="bottom"/>
          </w:tcPr>
          <w:p>
            <w:pPr>
              <w:jc w:val="right"/>
              <w:ind w:right="111"/>
              <w:spacing w:after="0"/>
              <w:rPr>
                <w:sz w:val="20"/>
                <w:szCs w:val="20"/>
                <w:color w:val="auto"/>
              </w:rPr>
            </w:pPr>
            <w:r>
              <w:rPr>
                <w:rFonts w:ascii="Arial" w:cs="Arial" w:eastAsia="Arial" w:hAnsi="Arial"/>
                <w:sz w:val="22"/>
                <w:szCs w:val="22"/>
                <w:b w:val="1"/>
                <w:bCs w:val="1"/>
                <w:color w:val="0033A0"/>
                <w:w w:val="89"/>
              </w:rPr>
              <w:t>43</w:t>
            </w:r>
          </w:p>
        </w:tc>
        <w:tc>
          <w:tcPr>
            <w:tcW w:w="200" w:type="dxa"/>
            <w:vAlign w:val="bottom"/>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4780" w:space="400"/>
            <w:col w:w="5980"/>
          </w:cols>
          <w:pgMar w:left="240" w:top="459" w:right="49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0033A0"/>
        </w:rPr>
        <w:t>The Brink’s Company</w:t>
      </w:r>
    </w:p>
    <w:p>
      <w:pPr>
        <w:spacing w:after="0" w:line="161" w:lineRule="exact"/>
        <w:rPr>
          <w:sz w:val="20"/>
          <w:szCs w:val="20"/>
          <w:color w:val="auto"/>
        </w:rPr>
      </w:pPr>
    </w:p>
    <w:p>
      <w:pPr>
        <w:ind w:left="200"/>
        <w:spacing w:after="0"/>
        <w:rPr>
          <w:sz w:val="20"/>
          <w:szCs w:val="20"/>
          <w:color w:val="auto"/>
        </w:rPr>
      </w:pPr>
      <w:r>
        <w:rPr>
          <w:rFonts w:ascii="Arial" w:cs="Arial" w:eastAsia="Arial" w:hAnsi="Arial"/>
          <w:sz w:val="43"/>
          <w:szCs w:val="43"/>
          <w:color w:val="0033A0"/>
        </w:rPr>
        <w:t>PROXY SUMMARY</w:t>
      </w:r>
    </w:p>
    <w:p>
      <w:pPr>
        <w:spacing w:after="0" w:line="200" w:lineRule="exact"/>
        <w:rPr>
          <w:sz w:val="20"/>
          <w:szCs w:val="20"/>
          <w:color w:val="auto"/>
        </w:rPr>
      </w:pPr>
    </w:p>
    <w:p>
      <w:pPr>
        <w:spacing w:after="0" w:line="224" w:lineRule="exact"/>
        <w:rPr>
          <w:sz w:val="20"/>
          <w:szCs w:val="20"/>
          <w:color w:val="auto"/>
        </w:rPr>
      </w:pPr>
    </w:p>
    <w:p>
      <w:pPr>
        <w:ind w:left="200"/>
        <w:spacing w:after="0" w:line="261" w:lineRule="auto"/>
        <w:rPr>
          <w:sz w:val="20"/>
          <w:szCs w:val="20"/>
          <w:color w:val="auto"/>
        </w:rPr>
      </w:pPr>
      <w:r>
        <w:rPr>
          <w:rFonts w:ascii="Arial" w:cs="Arial" w:eastAsia="Arial" w:hAnsi="Arial"/>
          <w:sz w:val="17"/>
          <w:szCs w:val="17"/>
          <w:color w:val="auto"/>
        </w:rPr>
        <w:t>To help you review The Brink’s Company’s (“Brink’s” or the “Company”) 2019 proxy statement, we have summarized several key topics below. The following description is only a summary.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For more complete information about these topics, please review the complete proxy statement and the Company’s 2018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-1748155</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16" w:lineRule="exact"/>
        <w:rPr>
          <w:sz w:val="20"/>
          <w:szCs w:val="20"/>
          <w:color w:val="auto"/>
        </w:rPr>
      </w:pPr>
    </w:p>
    <w:p>
      <w:pPr>
        <w:sectPr>
          <w:pgSz w:w="11900" w:h="16838" w:orient="portrait"/>
          <w:cols w:equalWidth="0" w:num="2">
            <w:col w:w="5360" w:space="460"/>
            <w:col w:w="5380"/>
          </w:cols>
          <w:pgMar w:left="240" w:top="459" w:right="459" w:bottom="1440" w:gutter="0" w:footer="0" w:header="0"/>
        </w:sectPr>
      </w:pPr>
    </w:p>
    <w:p>
      <w:pPr>
        <w:spacing w:after="0" w:line="375"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auto"/>
        </w:rPr>
        <w:t>2018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68580</wp:posOffset>
            </wp:positionV>
            <wp:extent cx="6997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00"/>
          </w:cols>
          <w:pgMar w:left="240" w:top="459" w:right="459" w:bottom="1440" w:gutter="0" w:footer="0" w:header="0"/>
          <w:type w:val="continuous"/>
        </w:sectPr>
      </w:pPr>
    </w:p>
    <w:p>
      <w:pPr>
        <w:spacing w:after="0" w:line="336"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Brink’s is the global leader in total cash management, route-based logistics and payment solutions, including cash-in-transit, ATM services, cash management services, including vault outsourcing, money processing and intelligent safe services, and international transportation of valuables to financial institutions, retailers, government agencies (including central banks), mints, jewelers and other commercial operations around the world. We serve customers in more than 100 countries and have approximately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1744980</wp:posOffset>
            </wp:positionV>
            <wp:extent cx="111506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62,400 employees worldwide. A significant portion of our business is conducted internationally, with approximately 73% of our revenues earned outside the United States. Brink’s reported strong earnings growth in 2018. Following are key financial performance metrics that are monitored by management and the Board, reported to shareholders, and used in determining 2018 compensation for the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-2660650</wp:posOffset>
            </wp:positionH>
            <wp:positionV relativeFrom="paragraph">
              <wp:posOffset>361315</wp:posOffset>
            </wp:positionV>
            <wp:extent cx="5188585" cy="12693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88585" cy="1269365"/>
                    </a:xfrm>
                    <a:prstGeom prst="rect">
                      <a:avLst/>
                    </a:prstGeom>
                    <a:noFill/>
                  </pic:spPr>
                </pic:pic>
              </a:graphicData>
            </a:graphic>
          </wp:anchor>
        </w:drawing>
      </w:r>
    </w:p>
    <w:p>
      <w:pPr>
        <w:spacing w:after="0" w:line="397" w:lineRule="exact"/>
        <w:rPr>
          <w:sz w:val="20"/>
          <w:szCs w:val="20"/>
          <w:color w:val="auto"/>
        </w:rPr>
      </w:pPr>
    </w:p>
    <w:p>
      <w:pPr>
        <w:sectPr>
          <w:pgSz w:w="11900" w:h="16838" w:orient="portrait"/>
          <w:cols w:equalWidth="0" w:num="2">
            <w:col w:w="5480" w:space="340"/>
            <w:col w:w="5380"/>
          </w:cols>
          <w:pgMar w:left="240" w:top="459"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20" w:right="260" w:hanging="316"/>
        <w:spacing w:after="0" w:line="250" w:lineRule="auto"/>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These non-GAAP financial measures are not presented in accordance with U.S. generally accepted accounting principles (“GAAP”). See page 35 of the Company’s Annual Report on Form 10-K for the year ended December 31, 2018 for a reconciliation of non-GAAP operating profit and revenue to the most directly comparable GAAP financial measures.</w:t>
      </w:r>
    </w:p>
    <w:p>
      <w:pPr>
        <w:spacing w:after="0" w:line="164"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auto"/>
        </w:rPr>
        <w:t>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68580</wp:posOffset>
            </wp:positionV>
            <wp:extent cx="6997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00"/>
          </w:cols>
          <w:pgMar w:left="240" w:top="459" w:right="459" w:bottom="1440" w:gutter="0" w:footer="0" w:header="0"/>
          <w:type w:val="continuous"/>
        </w:sectPr>
      </w:pPr>
    </w:p>
    <w:p>
      <w:pPr>
        <w:spacing w:after="0" w:line="336" w:lineRule="exact"/>
        <w:rPr>
          <w:sz w:val="20"/>
          <w:szCs w:val="20"/>
          <w:color w:val="auto"/>
        </w:rPr>
      </w:pPr>
    </w:p>
    <w:p>
      <w:pPr>
        <w:ind w:left="200"/>
        <w:spacing w:after="0" w:line="255" w:lineRule="auto"/>
        <w:rPr>
          <w:sz w:val="20"/>
          <w:szCs w:val="20"/>
          <w:color w:val="auto"/>
        </w:rPr>
      </w:pPr>
      <w:r>
        <w:rPr>
          <w:rFonts w:ascii="Arial" w:cs="Arial" w:eastAsia="Arial" w:hAnsi="Arial"/>
          <w:sz w:val="17"/>
          <w:szCs w:val="17"/>
          <w:color w:val="auto"/>
        </w:rPr>
        <w:t>Our executive compensation program is structured to link compensation to Company and individual performance over the short- and long-term and to align the interests of executives and shareholders. We do this by using shares of the Company’s common stock (“Brink’s Common Stock”) and stock-</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based awards in our incentive compensation programs and by maintaining robust executive stock ownership guidelines. Elements of compensation for Brink’s executives include base salary, annual incentives and long-term incentives (“LTI”).</w:t>
      </w:r>
    </w:p>
    <w:p>
      <w:pPr>
        <w:spacing w:after="0" w:line="413" w:lineRule="exact"/>
        <w:rPr>
          <w:sz w:val="20"/>
          <w:szCs w:val="20"/>
          <w:color w:val="auto"/>
        </w:rPr>
      </w:pPr>
    </w:p>
    <w:p>
      <w:pPr>
        <w:sectPr>
          <w:pgSz w:w="11900" w:h="16838" w:orient="portrait"/>
          <w:cols w:equalWidth="0" w:num="2">
            <w:col w:w="5280" w:space="540"/>
            <w:col w:w="5380"/>
          </w:cols>
          <w:pgMar w:left="240" w:top="459" w:right="459" w:bottom="1440" w:gutter="0" w:footer="0" w:header="0"/>
          <w:type w:val="continuous"/>
        </w:sectPr>
      </w:pPr>
    </w:p>
    <w:p>
      <w:pPr>
        <w:spacing w:after="0" w:line="59" w:lineRule="exact"/>
        <w:rPr>
          <w:sz w:val="20"/>
          <w:szCs w:val="20"/>
          <w:color w:val="auto"/>
        </w:rPr>
      </w:pPr>
    </w:p>
    <w:tbl>
      <w:tblPr>
        <w:tblLayout w:type="fixed"/>
        <w:tblInd w:w="8920" w:type="dxa"/>
        <w:tblCellMar>
          <w:top w:w="0" w:type="dxa"/>
          <w:left w:w="0" w:type="dxa"/>
          <w:bottom w:w="0" w:type="dxa"/>
          <w:right w:w="0" w:type="dxa"/>
        </w:tblCellMar>
      </w:tblPr>
      <w:tr>
        <w:trPr>
          <w:trHeight w:val="297"/>
        </w:trPr>
        <w:tc>
          <w:tcPr>
            <w:tcW w:w="1920" w:type="dxa"/>
            <w:vAlign w:val="bottom"/>
            <w:tcBorders>
              <w:right w:val="single" w:sz="8" w:color="0033A0"/>
            </w:tcBorders>
          </w:tcPr>
          <w:p>
            <w:pPr>
              <w:spacing w:after="0"/>
              <w:rPr>
                <w:sz w:val="20"/>
                <w:szCs w:val="20"/>
                <w:color w:val="auto"/>
              </w:rPr>
            </w:pPr>
            <w:r>
              <w:rPr>
                <w:rFonts w:ascii="Arial" w:cs="Arial" w:eastAsia="Arial" w:hAnsi="Arial"/>
                <w:sz w:val="18"/>
                <w:szCs w:val="18"/>
                <w:i w:val="1"/>
                <w:iCs w:val="1"/>
                <w:color w:val="auto"/>
              </w:rPr>
              <w:t>2019 Proxy Statement</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-170815</wp:posOffset>
            </wp:positionV>
            <wp:extent cx="720090"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090" cy="128905"/>
                    </a:xfrm>
                    <a:prstGeom prst="rect">
                      <a:avLst/>
                    </a:prstGeom>
                    <a:noFill/>
                  </pic:spPr>
                </pic:pic>
              </a:graphicData>
            </a:graphic>
          </wp:anchor>
        </w:drawing>
      </w:r>
    </w:p>
    <w:p>
      <w:pPr>
        <w:sectPr>
          <w:pgSz w:w="11900" w:h="16838" w:orient="portrait"/>
          <w:cols w:equalWidth="0" w:num="1">
            <w:col w:w="11200"/>
          </w:cols>
          <w:pgMar w:left="240" w:top="459" w:right="45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0033A0"/>
        </w:rPr>
        <w:t>The Brink’s Company</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auto"/>
        </w:rPr>
        <w:t>Performance-Based and Variable Compensation in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68580</wp:posOffset>
            </wp:positionV>
            <wp:extent cx="6997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00"/>
          </w:cols>
          <w:pgMar w:left="240" w:top="459" w:right="459" w:bottom="1440" w:gutter="0" w:footer="0" w:header="0"/>
        </w:sectPr>
      </w:pPr>
    </w:p>
    <w:p>
      <w:pPr>
        <w:spacing w:after="0" w:line="387"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FFFFFF"/>
        </w:rPr>
        <w:t>Annual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-104775</wp:posOffset>
            </wp:positionV>
            <wp:extent cx="900430" cy="31045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00430" cy="3104515"/>
                    </a:xfrm>
                    <a:prstGeom prst="rect">
                      <a:avLst/>
                    </a:prstGeom>
                    <a:noFill/>
                  </pic:spPr>
                </pic:pic>
              </a:graphicData>
            </a:graphic>
          </wp:anchor>
        </w:drawing>
      </w:r>
    </w:p>
    <w:p>
      <w:pPr>
        <w:spacing w:after="0" w:line="5"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FFFFFF"/>
        </w:rPr>
        <w:t>Incentives</w:t>
      </w:r>
    </w:p>
    <w:p>
      <w:pPr>
        <w:spacing w:after="0" w:line="282"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FFFFFF"/>
        </w:rPr>
        <w:t>Long Term</w:t>
      </w:r>
    </w:p>
    <w:p>
      <w:pPr>
        <w:spacing w:after="0" w:line="25"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FFFFFF"/>
        </w:rPr>
        <w:t>Incentives</w:t>
      </w:r>
    </w:p>
    <w:p>
      <w:pPr>
        <w:spacing w:after="0" w:line="5"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FFFFFF"/>
        </w:rPr>
        <w:t>awarded in</w:t>
      </w:r>
    </w:p>
    <w:p>
      <w:pPr>
        <w:spacing w:after="0" w:line="5"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FFFFFF"/>
        </w:rPr>
        <w:t>2018</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Annual Incentive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-113030</wp:posOffset>
            </wp:positionV>
            <wp:extent cx="5908675" cy="31045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908675" cy="3104515"/>
                    </a:xfrm>
                    <a:prstGeom prst="rect">
                      <a:avLst/>
                    </a:prstGeom>
                    <a:noFill/>
                  </pic:spPr>
                </pic:pic>
              </a:graphicData>
            </a:graphic>
          </wp:anchor>
        </w:drawing>
      </w:r>
    </w:p>
    <w:p>
      <w:pPr>
        <w:spacing w:after="0" w:line="5" w:lineRule="exact"/>
        <w:rPr>
          <w:sz w:val="20"/>
          <w:szCs w:val="20"/>
          <w:color w:val="auto"/>
        </w:rPr>
      </w:pPr>
    </w:p>
    <w:p>
      <w:pPr>
        <w:ind w:right="300"/>
        <w:spacing w:after="0" w:line="260" w:lineRule="auto"/>
        <w:rPr>
          <w:sz w:val="20"/>
          <w:szCs w:val="20"/>
          <w:color w:val="auto"/>
        </w:rPr>
      </w:pPr>
      <w:r>
        <w:rPr>
          <w:rFonts w:ascii="Arial" w:cs="Arial" w:eastAsia="Arial" w:hAnsi="Arial"/>
          <w:sz w:val="16"/>
          <w:szCs w:val="16"/>
          <w:i w:val="1"/>
          <w:iCs w:val="1"/>
          <w:color w:val="auto"/>
        </w:rPr>
        <w:t>Provides a cash award based on achievement of pre-established one-year non-GAAP operating profit and revenue goals as well as individual performance.</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Internal Metric Performance Share Units (“Internal Metric PSUs”)</w:t>
      </w:r>
    </w:p>
    <w:p>
      <w:pPr>
        <w:spacing w:after="0" w:line="25" w:lineRule="exact"/>
        <w:rPr>
          <w:sz w:val="20"/>
          <w:szCs w:val="20"/>
          <w:color w:val="auto"/>
        </w:rPr>
      </w:pPr>
    </w:p>
    <w:p>
      <w:pPr>
        <w:jc w:val="both"/>
        <w:ind w:right="640"/>
        <w:spacing w:after="0" w:line="253" w:lineRule="auto"/>
        <w:rPr>
          <w:sz w:val="20"/>
          <w:szCs w:val="20"/>
          <w:color w:val="auto"/>
        </w:rPr>
      </w:pPr>
      <w:r>
        <w:rPr>
          <w:rFonts w:ascii="Arial" w:cs="Arial" w:eastAsia="Arial" w:hAnsi="Arial"/>
          <w:sz w:val="16"/>
          <w:szCs w:val="16"/>
          <w:i w:val="1"/>
          <w:iCs w:val="1"/>
          <w:color w:val="auto"/>
        </w:rPr>
        <w:t>Paid out in shares of Brink’s Common Stock at the end of a three-year performance period, based on achievement of a pre-established three-year total non-GAAP EBITDA performance goal, and subject to a three-year vesting requirement. Represents 25% of the total LTI award for the named executive officers other than the Chief Executive Officer.</w:t>
      </w:r>
    </w:p>
    <w:p>
      <w:pPr>
        <w:spacing w:after="0" w:line="60" w:lineRule="exact"/>
        <w:rPr>
          <w:sz w:val="20"/>
          <w:szCs w:val="20"/>
          <w:color w:val="auto"/>
        </w:rPr>
      </w:pPr>
    </w:p>
    <w:p>
      <w:pPr>
        <w:ind w:right="500"/>
        <w:spacing w:after="0" w:line="259" w:lineRule="auto"/>
        <w:rPr>
          <w:sz w:val="20"/>
          <w:szCs w:val="20"/>
          <w:color w:val="auto"/>
        </w:rPr>
      </w:pPr>
      <w:r>
        <w:rPr>
          <w:rFonts w:ascii="Arial" w:cs="Arial" w:eastAsia="Arial" w:hAnsi="Arial"/>
          <w:sz w:val="16"/>
          <w:szCs w:val="16"/>
          <w:b w:val="1"/>
          <w:bCs w:val="1"/>
          <w:color w:val="auto"/>
        </w:rPr>
        <w:t>Relative Total Shareholder Return (“TSR”) Performance Share Units (“Relative TSR PSUs” and, together with the Internal Metric PSUs, the “PSUs”)</w:t>
      </w:r>
    </w:p>
    <w:p>
      <w:pPr>
        <w:spacing w:after="0" w:line="1" w:lineRule="exact"/>
        <w:rPr>
          <w:sz w:val="20"/>
          <w:szCs w:val="20"/>
          <w:color w:val="auto"/>
        </w:rPr>
      </w:pPr>
    </w:p>
    <w:p>
      <w:pPr>
        <w:ind w:right="440"/>
        <w:spacing w:after="0" w:line="253" w:lineRule="auto"/>
        <w:rPr>
          <w:sz w:val="20"/>
          <w:szCs w:val="20"/>
          <w:color w:val="auto"/>
        </w:rPr>
      </w:pPr>
      <w:r>
        <w:rPr>
          <w:rFonts w:ascii="Arial" w:cs="Arial" w:eastAsia="Arial" w:hAnsi="Arial"/>
          <w:sz w:val="16"/>
          <w:szCs w:val="16"/>
          <w:i w:val="1"/>
          <w:iCs w:val="1"/>
          <w:color w:val="auto"/>
        </w:rPr>
        <w:t>Paid out in shares of Brink’s Common Stock at the end of a three-year performance period, based on the Company’s TSR relative to that of companies in the S&amp;P MidCap 400 with foreign revenues equal to or exceeding 50% of total revenues. Represents 25% of the total LTI award for each of the named executive officers.</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Performance Stock Options</w:t>
      </w:r>
    </w:p>
    <w:p>
      <w:pPr>
        <w:spacing w:after="0" w:line="25" w:lineRule="exact"/>
        <w:rPr>
          <w:sz w:val="20"/>
          <w:szCs w:val="20"/>
          <w:color w:val="auto"/>
        </w:rPr>
      </w:pPr>
    </w:p>
    <w:p>
      <w:pPr>
        <w:ind w:right="280"/>
        <w:spacing w:after="0" w:line="248" w:lineRule="auto"/>
        <w:rPr>
          <w:sz w:val="20"/>
          <w:szCs w:val="20"/>
          <w:color w:val="auto"/>
        </w:rPr>
      </w:pPr>
      <w:r>
        <w:rPr>
          <w:rFonts w:ascii="Arial" w:cs="Arial" w:eastAsia="Arial" w:hAnsi="Arial"/>
          <w:sz w:val="16"/>
          <w:szCs w:val="16"/>
          <w:i w:val="1"/>
          <w:iCs w:val="1"/>
          <w:color w:val="auto"/>
        </w:rPr>
        <w:t>Each option represents the opportunity to purchase one share of Brink’s Common Stock at the end of a three–year vesting period at the price per share on the grant date, provided that the average closing price during any fifteen–day period between the grant date and the three–year anniversary equals or exceeds 125% of the closing price on the grant date (with respect to the stock options awarded to the named executive officers other than the Chief Executive Officer and with respect to half of the stock options awarded to the Chief Executive Officer) or equals or exceeds 150% of the closing price on the grant date (with respect to half of the options awarded to the Chief Executive Officer). Represents 75 % of the total LTI award for the Chief Executive Officer and 25% of the total LTI award for the other named executive officers.</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Restricted Stock Units (“RSUs”)</w:t>
      </w:r>
    </w:p>
    <w:p>
      <w:pPr>
        <w:spacing w:after="0" w:line="25" w:lineRule="exact"/>
        <w:rPr>
          <w:sz w:val="20"/>
          <w:szCs w:val="20"/>
          <w:color w:val="auto"/>
        </w:rPr>
      </w:pPr>
    </w:p>
    <w:p>
      <w:pPr>
        <w:ind w:right="320"/>
        <w:spacing w:after="0" w:line="260" w:lineRule="auto"/>
        <w:rPr>
          <w:sz w:val="20"/>
          <w:szCs w:val="20"/>
          <w:color w:val="auto"/>
        </w:rPr>
      </w:pPr>
      <w:r>
        <w:rPr>
          <w:rFonts w:ascii="Arial" w:cs="Arial" w:eastAsia="Arial" w:hAnsi="Arial"/>
          <w:sz w:val="16"/>
          <w:szCs w:val="16"/>
          <w:i w:val="1"/>
          <w:iCs w:val="1"/>
          <w:color w:val="auto"/>
        </w:rPr>
        <w:t>Paid out in shares of Brink’s Common Stock and vesting in three equal annual installments. Represents 25% of the total LTI award for the named executive officers other than the Chief Executive Officer.</w:t>
      </w:r>
    </w:p>
    <w:p>
      <w:pPr>
        <w:spacing w:after="0" w:line="200" w:lineRule="exact"/>
        <w:rPr>
          <w:sz w:val="20"/>
          <w:szCs w:val="20"/>
          <w:color w:val="auto"/>
        </w:rPr>
      </w:pPr>
    </w:p>
    <w:p>
      <w:pPr>
        <w:sectPr>
          <w:pgSz w:w="11900" w:h="16838" w:orient="portrait"/>
          <w:cols w:equalWidth="0" w:num="2">
            <w:col w:w="1300" w:space="720"/>
            <w:col w:w="9180"/>
          </w:cols>
          <w:pgMar w:left="240" w:top="459" w:right="459" w:bottom="1440" w:gutter="0" w:footer="0" w:header="0"/>
          <w:type w:val="continuous"/>
        </w:sectPr>
      </w:pPr>
    </w:p>
    <w:p>
      <w:pPr>
        <w:spacing w:after="0" w:line="209" w:lineRule="exact"/>
        <w:rPr>
          <w:sz w:val="20"/>
          <w:szCs w:val="20"/>
          <w:color w:val="auto"/>
        </w:rPr>
      </w:pPr>
    </w:p>
    <w:p>
      <w:pPr>
        <w:ind w:left="200"/>
        <w:spacing w:after="0" w:line="257" w:lineRule="auto"/>
        <w:rPr>
          <w:sz w:val="20"/>
          <w:szCs w:val="20"/>
          <w:color w:val="auto"/>
        </w:rPr>
      </w:pPr>
      <w:r>
        <w:rPr>
          <w:rFonts w:ascii="Arial" w:cs="Arial" w:eastAsia="Arial" w:hAnsi="Arial"/>
          <w:sz w:val="17"/>
          <w:szCs w:val="17"/>
          <w:color w:val="auto"/>
        </w:rPr>
        <w:t>In 2018, performance-based compensation (which includes annual incentives, Internal Metric PSUs, Relative TSR PSUs and Performance Stock Options) represented approximately 90% of total target compensation for the Chief Executive Officer and</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approximately 59% of total target compensation (on average) for the Company’s other named executive officers, as illustrated below. See pages 36 - 37 for additional information about the long-term incentive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-2386330</wp:posOffset>
            </wp:positionH>
            <wp:positionV relativeFrom="paragraph">
              <wp:posOffset>240030</wp:posOffset>
            </wp:positionV>
            <wp:extent cx="4639310" cy="15347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639310" cy="1534795"/>
                    </a:xfrm>
                    <a:prstGeom prst="rect">
                      <a:avLst/>
                    </a:prstGeom>
                    <a:noFill/>
                  </pic:spPr>
                </pic:pic>
              </a:graphicData>
            </a:graphic>
          </wp:anchor>
        </w:drawing>
      </w:r>
    </w:p>
    <w:p>
      <w:pPr>
        <w:spacing w:after="0" w:line="212" w:lineRule="exact"/>
        <w:rPr>
          <w:sz w:val="20"/>
          <w:szCs w:val="20"/>
          <w:color w:val="auto"/>
        </w:rPr>
      </w:pPr>
    </w:p>
    <w:p>
      <w:pPr>
        <w:sectPr>
          <w:pgSz w:w="11900" w:h="16838" w:orient="portrait"/>
          <w:cols w:equalWidth="0" w:num="2">
            <w:col w:w="5360" w:space="460"/>
            <w:col w:w="5380"/>
          </w:cols>
          <w:pgMar w:left="240" w:top="459"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200" w:type="dxa"/>
        <w:tblCellMar>
          <w:top w:w="0" w:type="dxa"/>
          <w:left w:w="0" w:type="dxa"/>
          <w:bottom w:w="0" w:type="dxa"/>
          <w:right w:w="0" w:type="dxa"/>
        </w:tblCellMar>
      </w:tblPr>
      <w:tr>
        <w:trPr>
          <w:trHeight w:val="297"/>
        </w:trPr>
        <w:tc>
          <w:tcPr>
            <w:tcW w:w="260" w:type="dxa"/>
            <w:vAlign w:val="bottom"/>
            <w:tcBorders>
              <w:right w:val="single" w:sz="8" w:color="0033A0"/>
            </w:tcBorders>
          </w:tcPr>
          <w:p>
            <w:pPr>
              <w:jc w:val="right"/>
              <w:ind w:right="70"/>
              <w:spacing w:after="0"/>
              <w:rPr>
                <w:sz w:val="20"/>
                <w:szCs w:val="20"/>
                <w:color w:val="auto"/>
              </w:rPr>
            </w:pPr>
            <w:r>
              <w:rPr>
                <w:rFonts w:ascii="Arial" w:cs="Arial" w:eastAsia="Arial" w:hAnsi="Arial"/>
                <w:sz w:val="18"/>
                <w:szCs w:val="18"/>
                <w:b w:val="1"/>
                <w:bCs w:val="1"/>
                <w:color w:val="auto"/>
                <w:w w:val="79"/>
              </w:rPr>
              <w:t>2</w:t>
            </w:r>
          </w:p>
        </w:tc>
        <w:tc>
          <w:tcPr>
            <w:tcW w:w="3380" w:type="dxa"/>
            <w:vAlign w:val="bottom"/>
          </w:tcPr>
          <w:p>
            <w:pPr>
              <w:ind w:left="1600"/>
              <w:spacing w:after="0"/>
              <w:rPr>
                <w:sz w:val="20"/>
                <w:szCs w:val="20"/>
                <w:color w:val="auto"/>
              </w:rPr>
            </w:pPr>
            <w:r>
              <w:rPr>
                <w:rFonts w:ascii="Arial" w:cs="Arial" w:eastAsia="Arial" w:hAnsi="Arial"/>
                <w:sz w:val="18"/>
                <w:szCs w:val="18"/>
                <w:i w:val="1"/>
                <w:iCs w:val="1"/>
                <w:color w:val="auto"/>
                <w:w w:val="98"/>
              </w:rPr>
              <w:t>2019 Proxy Statement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-170815</wp:posOffset>
            </wp:positionV>
            <wp:extent cx="720090"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090" cy="128905"/>
                    </a:xfrm>
                    <a:prstGeom prst="rect">
                      <a:avLst/>
                    </a:prstGeom>
                    <a:noFill/>
                  </pic:spPr>
                </pic:pic>
              </a:graphicData>
            </a:graphic>
          </wp:anchor>
        </w:drawing>
      </w:r>
    </w:p>
    <w:p>
      <w:pPr>
        <w:sectPr>
          <w:pgSz w:w="11900" w:h="16838" w:orient="portrait"/>
          <w:cols w:equalWidth="0" w:num="1">
            <w:col w:w="11200"/>
          </w:cols>
          <w:pgMar w:left="240" w:top="459" w:right="45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0033A0"/>
        </w:rPr>
        <w:t>PROXY SUMMARY</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auto"/>
        </w:rPr>
        <w:t>2018 Compensation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68580</wp:posOffset>
            </wp:positionV>
            <wp:extent cx="6997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336" w:lineRule="exact"/>
        <w:rPr>
          <w:sz w:val="20"/>
          <w:szCs w:val="20"/>
          <w:color w:val="auto"/>
        </w:rPr>
      </w:pPr>
    </w:p>
    <w:p>
      <w:pPr>
        <w:ind w:left="200"/>
        <w:spacing w:after="0" w:line="234" w:lineRule="auto"/>
        <w:rPr>
          <w:sz w:val="20"/>
          <w:szCs w:val="20"/>
          <w:color w:val="auto"/>
        </w:rPr>
      </w:pPr>
      <w:r>
        <w:rPr>
          <w:rFonts w:ascii="Arial" w:cs="Arial" w:eastAsia="Arial" w:hAnsi="Arial"/>
          <w:sz w:val="18"/>
          <w:szCs w:val="18"/>
          <w:color w:val="auto"/>
        </w:rPr>
        <w:t>In February 2018, the Compensation and Benefits Committee (the “Compensation Committee”) approved LTI awards of Internal Metric PSUs, Relative TSR PSUs, Performance Stock Options and RSUs to the Company’s named executive officers (no Internal Metric PSUs or RSUs were awarded to the Chief Executive Officer). Payouts of 2018 annual incentives to named executive officers were approved by the Compensation Committee in February 2019 ranging from approximately 108% to 137% of target (depending on the named executive officer), reflecting corporate performance that was above the target levels of the non-GAAP operating profit and revenue goals as well as performance in the countries within each executive’s area of responsibility (where applicable) and individual performance factors. In</w:t>
      </w:r>
    </w:p>
    <w:p>
      <w:pPr>
        <w:spacing w:after="0" w:line="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February 2019, the Compensation Committee also</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approved payouts for LTI awards granted in 2016, which consisted of Internal Metric PSUs, Relative TSR PSUs and RSUs. Relative TSR PSUs were paid out in shares of Brink’s Common Stock at 150% of target, reflecting relative TSR above the 75</w:t>
      </w:r>
      <w:r>
        <w:rPr>
          <w:rFonts w:ascii="Arial" w:cs="Arial" w:eastAsia="Arial" w:hAnsi="Arial"/>
          <w:sz w:val="15"/>
          <w:szCs w:val="15"/>
          <w:color w:val="auto"/>
        </w:rPr>
        <w:t>th</w:t>
      </w:r>
      <w:r>
        <w:rPr>
          <w:rFonts w:ascii="Arial" w:cs="Arial" w:eastAsia="Arial" w:hAnsi="Arial"/>
          <w:sz w:val="18"/>
          <w:szCs w:val="18"/>
          <w:color w:val="auto"/>
        </w:rPr>
        <w:t xml:space="preserve"> percentile of peer companies and stock price appreciation of approximately 123% over the three-year period. Internal Metric PSUs were paid out in shares of Brink’s Common Stock at 110% of target, reflecting performance that was above the target level for the two-year non-GAAP operating profit goal beginning January 1, 2016 and ending December 31, 2017. These compensation decisions are more fully described in the Compensation Discussion and Analysis, beginning on page 25.</w:t>
      </w:r>
    </w:p>
    <w:p>
      <w:pPr>
        <w:spacing w:after="0" w:line="800" w:lineRule="exact"/>
        <w:rPr>
          <w:sz w:val="20"/>
          <w:szCs w:val="20"/>
          <w:color w:val="auto"/>
        </w:rPr>
      </w:pPr>
    </w:p>
    <w:p>
      <w:pPr>
        <w:sectPr>
          <w:pgSz w:w="11900" w:h="16838" w:orient="portrait"/>
          <w:cols w:equalWidth="0" w:num="2">
            <w:col w:w="5480" w:space="340"/>
            <w:col w:w="5400"/>
          </w:cols>
          <w:pgMar w:left="240" w:top="459" w:right="439" w:bottom="1440" w:gutter="0" w:footer="0" w:header="0"/>
          <w:type w:val="continuous"/>
        </w:sectPr>
      </w:pPr>
    </w:p>
    <w:p>
      <w:pPr>
        <w:spacing w:after="0" w:line="94" w:lineRule="exact"/>
        <w:rPr>
          <w:sz w:val="20"/>
          <w:szCs w:val="20"/>
          <w:color w:val="auto"/>
        </w:rPr>
      </w:pPr>
    </w:p>
    <w:tbl>
      <w:tblPr>
        <w:tblLayout w:type="fixed"/>
        <w:tblInd w:w="8920" w:type="dxa"/>
        <w:tblCellMar>
          <w:top w:w="0" w:type="dxa"/>
          <w:left w:w="0" w:type="dxa"/>
          <w:bottom w:w="0" w:type="dxa"/>
          <w:right w:w="0" w:type="dxa"/>
        </w:tblCellMar>
      </w:tblPr>
      <w:tr>
        <w:trPr>
          <w:trHeight w:val="297"/>
        </w:trPr>
        <w:tc>
          <w:tcPr>
            <w:tcW w:w="1920" w:type="dxa"/>
            <w:vAlign w:val="bottom"/>
            <w:tcBorders>
              <w:right w:val="single" w:sz="8" w:color="0033A0"/>
            </w:tcBorders>
          </w:tcPr>
          <w:p>
            <w:pPr>
              <w:spacing w:after="0"/>
              <w:rPr>
                <w:sz w:val="20"/>
                <w:szCs w:val="20"/>
                <w:color w:val="auto"/>
              </w:rPr>
            </w:pPr>
            <w:r>
              <w:rPr>
                <w:rFonts w:ascii="Arial" w:cs="Arial" w:eastAsia="Arial" w:hAnsi="Arial"/>
                <w:sz w:val="18"/>
                <w:szCs w:val="18"/>
                <w:i w:val="1"/>
                <w:iCs w:val="1"/>
                <w:color w:val="auto"/>
              </w:rPr>
              <w:t>2019 Proxy Statement</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-170815</wp:posOffset>
            </wp:positionV>
            <wp:extent cx="720090"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090" cy="12890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0033A0"/>
        </w:rPr>
        <w:t>The Brink’s Company</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68580</wp:posOffset>
            </wp:positionV>
            <wp:extent cx="6997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spacing w:after="0" w:line="33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Brink’s is committed to good corporate governance and employs a number of practices that the Company’s Board of Directors (the “Board”) has</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ind w:right="700"/>
        <w:spacing w:after="0" w:line="246" w:lineRule="auto"/>
        <w:rPr>
          <w:sz w:val="20"/>
          <w:szCs w:val="20"/>
          <w:color w:val="auto"/>
        </w:rPr>
      </w:pPr>
      <w:r>
        <w:rPr>
          <w:rFonts w:ascii="Arial" w:cs="Arial" w:eastAsia="Arial" w:hAnsi="Arial"/>
          <w:sz w:val="18"/>
          <w:szCs w:val="18"/>
          <w:color w:val="auto"/>
        </w:rPr>
        <w:t>determined are in the best interest of the Company and our shareholders. Following are examples of those practices.</w:t>
      </w:r>
    </w:p>
    <w:p>
      <w:pPr>
        <w:spacing w:after="0" w:line="396" w:lineRule="exact"/>
        <w:rPr>
          <w:sz w:val="20"/>
          <w:szCs w:val="20"/>
          <w:color w:val="auto"/>
        </w:rPr>
      </w:pPr>
    </w:p>
    <w:p>
      <w:pPr>
        <w:sectPr>
          <w:pgSz w:w="11900" w:h="16838" w:orient="portrait"/>
          <w:cols w:equalWidth="0" w:num="2">
            <w:col w:w="5480" w:space="340"/>
            <w:col w:w="5420"/>
          </w:cols>
          <w:pgMar w:left="240" w:top="459" w:right="419" w:bottom="1440" w:gutter="0" w:footer="0" w:header="0"/>
          <w:type w:val="continuous"/>
        </w:sectPr>
      </w:pPr>
    </w:p>
    <w:p>
      <w:pPr>
        <w:spacing w:after="0" w:line="156" w:lineRule="exact"/>
        <w:rPr>
          <w:sz w:val="20"/>
          <w:szCs w:val="20"/>
          <w:color w:val="auto"/>
        </w:rPr>
      </w:pPr>
    </w:p>
    <w:tbl>
      <w:tblPr>
        <w:tblLayout w:type="fixed"/>
        <w:tblInd w:w="320" w:type="dxa"/>
        <w:tblCellMar>
          <w:top w:w="0" w:type="dxa"/>
          <w:left w:w="0" w:type="dxa"/>
          <w:bottom w:w="0" w:type="dxa"/>
          <w:right w:w="0" w:type="dxa"/>
        </w:tblCellMar>
      </w:tblPr>
      <w:tr>
        <w:trPr>
          <w:trHeight w:val="239"/>
        </w:trPr>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700" w:type="dxa"/>
            <w:vAlign w:val="bottom"/>
            <w:gridSpan w:val="2"/>
          </w:tcPr>
          <w:p>
            <w:pPr>
              <w:ind w:left="1040"/>
              <w:spacing w:after="0"/>
              <w:rPr>
                <w:sz w:val="20"/>
                <w:szCs w:val="20"/>
                <w:color w:val="auto"/>
              </w:rPr>
            </w:pPr>
            <w:r>
              <w:rPr>
                <w:rFonts w:ascii="Arial" w:cs="Arial" w:eastAsia="Arial" w:hAnsi="Arial"/>
                <w:sz w:val="18"/>
                <w:szCs w:val="18"/>
                <w:b w:val="1"/>
                <w:bCs w:val="1"/>
                <w:color w:val="auto"/>
              </w:rPr>
              <w:t>What We Do and Don’t Do:</w:t>
            </w:r>
          </w:p>
        </w:tc>
        <w:tc>
          <w:tcPr>
            <w:tcW w:w="0" w:type="dxa"/>
            <w:vAlign w:val="bottom"/>
          </w:tcPr>
          <w:p>
            <w:pPr>
              <w:spacing w:after="0"/>
              <w:rPr>
                <w:sz w:val="1"/>
                <w:szCs w:val="1"/>
                <w:color w:val="auto"/>
              </w:rPr>
            </w:pPr>
          </w:p>
        </w:tc>
      </w:tr>
      <w:tr>
        <w:trPr>
          <w:trHeight w:val="230"/>
        </w:trPr>
        <w:tc>
          <w:tcPr>
            <w:tcW w:w="2840" w:type="dxa"/>
            <w:vAlign w:val="bottom"/>
            <w:vMerge w:val="restart"/>
          </w:tcPr>
          <w:p>
            <w:pPr>
              <w:spacing w:after="0"/>
              <w:rPr>
                <w:sz w:val="20"/>
                <w:szCs w:val="20"/>
                <w:color w:val="auto"/>
              </w:rPr>
            </w:pPr>
            <w:r>
              <w:rPr>
                <w:rFonts w:ascii="Arial" w:cs="Arial" w:eastAsia="Arial" w:hAnsi="Arial"/>
                <w:sz w:val="17"/>
                <w:szCs w:val="17"/>
                <w:b w:val="1"/>
                <w:bCs w:val="1"/>
                <w:color w:val="FFFFFF"/>
              </w:rPr>
              <w:t>We strive to employ good</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840" w:type="dxa"/>
            <w:vAlign w:val="bottom"/>
            <w:vMerge w:val="continue"/>
          </w:tcPr>
          <w:p>
            <w:pPr>
              <w:spacing w:after="0"/>
              <w:rPr>
                <w:sz w:val="15"/>
                <w:szCs w:val="15"/>
                <w:color w:val="auto"/>
              </w:rPr>
            </w:pPr>
          </w:p>
        </w:tc>
        <w:tc>
          <w:tcPr>
            <w:tcW w:w="8080" w:type="dxa"/>
            <w:vAlign w:val="bottom"/>
            <w:gridSpan w:val="5"/>
            <w:shd w:val="clear" w:color="auto" w:fill="E5EAF5"/>
          </w:tcPr>
          <w:p>
            <w:pPr>
              <w:ind w:left="100"/>
              <w:spacing w:after="0" w:line="17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b w:val="1"/>
                <w:bCs w:val="1"/>
                <w:color w:val="auto"/>
              </w:rPr>
              <w:t xml:space="preserve"> Non-Executive Chairman</w:t>
            </w:r>
            <w:r>
              <w:rPr>
                <w:rFonts w:ascii="Arial" w:cs="Arial" w:eastAsia="Arial" w:hAnsi="Arial"/>
                <w:sz w:val="17"/>
                <w:szCs w:val="17"/>
                <w:color w:val="auto"/>
              </w:rPr>
              <w:t>—The Board annually appoints a Non-Executive Chairman of the Board</w:t>
            </w:r>
          </w:p>
        </w:tc>
        <w:tc>
          <w:tcPr>
            <w:tcW w:w="0" w:type="dxa"/>
            <w:vAlign w:val="bottom"/>
          </w:tcPr>
          <w:p>
            <w:pPr>
              <w:spacing w:after="0"/>
              <w:rPr>
                <w:sz w:val="1"/>
                <w:szCs w:val="1"/>
                <w:color w:val="auto"/>
              </w:rPr>
            </w:pPr>
          </w:p>
        </w:tc>
      </w:tr>
      <w:tr>
        <w:trPr>
          <w:trHeight w:val="209"/>
        </w:trPr>
        <w:tc>
          <w:tcPr>
            <w:tcW w:w="2840" w:type="dxa"/>
            <w:vAlign w:val="bottom"/>
          </w:tcPr>
          <w:p>
            <w:pPr>
              <w:spacing w:after="0"/>
              <w:rPr>
                <w:sz w:val="20"/>
                <w:szCs w:val="20"/>
                <w:color w:val="auto"/>
              </w:rPr>
            </w:pPr>
            <w:r>
              <w:rPr>
                <w:rFonts w:ascii="Arial" w:cs="Arial" w:eastAsia="Arial" w:hAnsi="Arial"/>
                <w:sz w:val="17"/>
                <w:szCs w:val="17"/>
                <w:b w:val="1"/>
                <w:bCs w:val="1"/>
                <w:color w:val="FFFFFF"/>
              </w:rPr>
              <w:t>governance practices</w:t>
            </w:r>
          </w:p>
        </w:tc>
        <w:tc>
          <w:tcPr>
            <w:tcW w:w="120" w:type="dxa"/>
            <w:vAlign w:val="bottom"/>
            <w:shd w:val="clear" w:color="auto" w:fill="E5EAF5"/>
          </w:tcPr>
          <w:p>
            <w:pPr>
              <w:spacing w:after="0"/>
              <w:rPr>
                <w:sz w:val="18"/>
                <w:szCs w:val="18"/>
                <w:color w:val="auto"/>
              </w:rPr>
            </w:pPr>
          </w:p>
        </w:tc>
        <w:tc>
          <w:tcPr>
            <w:tcW w:w="140" w:type="dxa"/>
            <w:vAlign w:val="bottom"/>
            <w:shd w:val="clear" w:color="auto" w:fill="E5EAF5"/>
          </w:tcPr>
          <w:p>
            <w:pPr>
              <w:spacing w:after="0"/>
              <w:rPr>
                <w:sz w:val="18"/>
                <w:szCs w:val="18"/>
                <w:color w:val="auto"/>
              </w:rPr>
            </w:pPr>
          </w:p>
        </w:tc>
        <w:tc>
          <w:tcPr>
            <w:tcW w:w="7820" w:type="dxa"/>
            <w:vAlign w:val="bottom"/>
            <w:gridSpan w:val="3"/>
            <w:shd w:val="clear" w:color="auto" w:fill="E5EAF5"/>
          </w:tcPr>
          <w:p>
            <w:pPr>
              <w:ind w:left="100"/>
              <w:spacing w:after="0"/>
              <w:rPr>
                <w:sz w:val="20"/>
                <w:szCs w:val="20"/>
                <w:color w:val="auto"/>
              </w:rPr>
            </w:pPr>
            <w:r>
              <w:rPr>
                <w:rFonts w:ascii="Arial" w:cs="Arial" w:eastAsia="Arial" w:hAnsi="Arial"/>
                <w:sz w:val="17"/>
                <w:szCs w:val="17"/>
                <w:color w:val="auto"/>
              </w:rPr>
              <w:t>and is structured to have a lead director if the Board determines to combine the roles of Chairman</w:t>
            </w:r>
          </w:p>
        </w:tc>
        <w:tc>
          <w:tcPr>
            <w:tcW w:w="0" w:type="dxa"/>
            <w:vAlign w:val="bottom"/>
          </w:tcPr>
          <w:p>
            <w:pPr>
              <w:spacing w:after="0"/>
              <w:rPr>
                <w:sz w:val="1"/>
                <w:szCs w:val="1"/>
                <w:color w:val="auto"/>
              </w:rPr>
            </w:pPr>
          </w:p>
        </w:tc>
      </w:tr>
      <w:tr>
        <w:trPr>
          <w:trHeight w:val="189"/>
        </w:trPr>
        <w:tc>
          <w:tcPr>
            <w:tcW w:w="2840" w:type="dxa"/>
            <w:vAlign w:val="bottom"/>
          </w:tcPr>
          <w:p>
            <w:pPr>
              <w:spacing w:after="0"/>
              <w:rPr>
                <w:sz w:val="16"/>
                <w:szCs w:val="16"/>
                <w:color w:val="auto"/>
              </w:rPr>
            </w:pPr>
          </w:p>
        </w:tc>
        <w:tc>
          <w:tcPr>
            <w:tcW w:w="120" w:type="dxa"/>
            <w:vAlign w:val="bottom"/>
            <w:shd w:val="clear" w:color="auto" w:fill="E5EAF5"/>
          </w:tcPr>
          <w:p>
            <w:pPr>
              <w:spacing w:after="0"/>
              <w:rPr>
                <w:sz w:val="16"/>
                <w:szCs w:val="16"/>
                <w:color w:val="auto"/>
              </w:rPr>
            </w:pPr>
          </w:p>
        </w:tc>
        <w:tc>
          <w:tcPr>
            <w:tcW w:w="140" w:type="dxa"/>
            <w:vAlign w:val="bottom"/>
            <w:shd w:val="clear" w:color="auto" w:fill="E5EAF5"/>
          </w:tcPr>
          <w:p>
            <w:pPr>
              <w:spacing w:after="0"/>
              <w:rPr>
                <w:sz w:val="16"/>
                <w:szCs w:val="16"/>
                <w:color w:val="auto"/>
              </w:rPr>
            </w:pPr>
          </w:p>
        </w:tc>
        <w:tc>
          <w:tcPr>
            <w:tcW w:w="7820" w:type="dxa"/>
            <w:vAlign w:val="bottom"/>
            <w:gridSpan w:val="3"/>
            <w:shd w:val="clear" w:color="auto" w:fill="E5EAF5"/>
          </w:tcPr>
          <w:p>
            <w:pPr>
              <w:ind w:left="100"/>
              <w:spacing w:after="0" w:line="189" w:lineRule="exact"/>
              <w:rPr>
                <w:sz w:val="20"/>
                <w:szCs w:val="20"/>
                <w:color w:val="auto"/>
              </w:rPr>
            </w:pPr>
            <w:r>
              <w:rPr>
                <w:rFonts w:ascii="Arial" w:cs="Arial" w:eastAsia="Arial" w:hAnsi="Arial"/>
                <w:sz w:val="17"/>
                <w:szCs w:val="17"/>
                <w:color w:val="auto"/>
              </w:rPr>
              <w:t>of the Board and Chief Executive Officer. This framework ensures the Board operates</w:t>
            </w:r>
          </w:p>
        </w:tc>
        <w:tc>
          <w:tcPr>
            <w:tcW w:w="0" w:type="dxa"/>
            <w:vAlign w:val="bottom"/>
          </w:tcPr>
          <w:p>
            <w:pPr>
              <w:spacing w:after="0"/>
              <w:rPr>
                <w:sz w:val="1"/>
                <w:szCs w:val="1"/>
                <w:color w:val="auto"/>
              </w:rPr>
            </w:pPr>
          </w:p>
        </w:tc>
      </w:tr>
      <w:tr>
        <w:trPr>
          <w:trHeight w:val="189"/>
        </w:trPr>
        <w:tc>
          <w:tcPr>
            <w:tcW w:w="2840" w:type="dxa"/>
            <w:vAlign w:val="bottom"/>
          </w:tcPr>
          <w:p>
            <w:pPr>
              <w:spacing w:after="0"/>
              <w:rPr>
                <w:sz w:val="16"/>
                <w:szCs w:val="16"/>
                <w:color w:val="auto"/>
              </w:rPr>
            </w:pPr>
          </w:p>
        </w:tc>
        <w:tc>
          <w:tcPr>
            <w:tcW w:w="120" w:type="dxa"/>
            <w:vAlign w:val="bottom"/>
            <w:shd w:val="clear" w:color="auto" w:fill="E5EAF5"/>
          </w:tcPr>
          <w:p>
            <w:pPr>
              <w:spacing w:after="0"/>
              <w:rPr>
                <w:sz w:val="16"/>
                <w:szCs w:val="16"/>
                <w:color w:val="auto"/>
              </w:rPr>
            </w:pPr>
          </w:p>
        </w:tc>
        <w:tc>
          <w:tcPr>
            <w:tcW w:w="140" w:type="dxa"/>
            <w:vAlign w:val="bottom"/>
            <w:shd w:val="clear" w:color="auto" w:fill="E5EAF5"/>
          </w:tcPr>
          <w:p>
            <w:pPr>
              <w:spacing w:after="0"/>
              <w:rPr>
                <w:sz w:val="16"/>
                <w:szCs w:val="16"/>
                <w:color w:val="auto"/>
              </w:rPr>
            </w:pPr>
          </w:p>
        </w:tc>
        <w:tc>
          <w:tcPr>
            <w:tcW w:w="7820" w:type="dxa"/>
            <w:vAlign w:val="bottom"/>
            <w:gridSpan w:val="3"/>
            <w:shd w:val="clear" w:color="auto" w:fill="E5EAF5"/>
          </w:tcPr>
          <w:p>
            <w:pPr>
              <w:ind w:left="100"/>
              <w:spacing w:after="0" w:line="189" w:lineRule="exact"/>
              <w:rPr>
                <w:sz w:val="20"/>
                <w:szCs w:val="20"/>
                <w:color w:val="auto"/>
              </w:rPr>
            </w:pPr>
            <w:r>
              <w:rPr>
                <w:rFonts w:ascii="Arial" w:cs="Arial" w:eastAsia="Arial" w:hAnsi="Arial"/>
                <w:sz w:val="17"/>
                <w:szCs w:val="17"/>
                <w:color w:val="auto"/>
              </w:rPr>
              <w:t>independently of management and that directors and shareholders have an independent</w:t>
            </w:r>
          </w:p>
        </w:tc>
        <w:tc>
          <w:tcPr>
            <w:tcW w:w="0" w:type="dxa"/>
            <w:vAlign w:val="bottom"/>
          </w:tcPr>
          <w:p>
            <w:pPr>
              <w:spacing w:after="0"/>
              <w:rPr>
                <w:sz w:val="1"/>
                <w:szCs w:val="1"/>
                <w:color w:val="auto"/>
              </w:rPr>
            </w:pPr>
          </w:p>
        </w:tc>
      </w:tr>
      <w:tr>
        <w:trPr>
          <w:trHeight w:val="209"/>
        </w:trPr>
        <w:tc>
          <w:tcPr>
            <w:tcW w:w="2840" w:type="dxa"/>
            <w:vAlign w:val="bottom"/>
          </w:tcPr>
          <w:p>
            <w:pPr>
              <w:spacing w:after="0"/>
              <w:rPr>
                <w:sz w:val="18"/>
                <w:szCs w:val="18"/>
                <w:color w:val="auto"/>
              </w:rPr>
            </w:pPr>
          </w:p>
        </w:tc>
        <w:tc>
          <w:tcPr>
            <w:tcW w:w="120" w:type="dxa"/>
            <w:vAlign w:val="bottom"/>
            <w:shd w:val="clear" w:color="auto" w:fill="E5EAF5"/>
          </w:tcPr>
          <w:p>
            <w:pPr>
              <w:spacing w:after="0"/>
              <w:rPr>
                <w:sz w:val="18"/>
                <w:szCs w:val="18"/>
                <w:color w:val="auto"/>
              </w:rPr>
            </w:pPr>
          </w:p>
        </w:tc>
        <w:tc>
          <w:tcPr>
            <w:tcW w:w="140" w:type="dxa"/>
            <w:vAlign w:val="bottom"/>
            <w:shd w:val="clear" w:color="auto" w:fill="E5EAF5"/>
          </w:tcPr>
          <w:p>
            <w:pPr>
              <w:spacing w:after="0"/>
              <w:rPr>
                <w:sz w:val="18"/>
                <w:szCs w:val="18"/>
                <w:color w:val="auto"/>
              </w:rPr>
            </w:pPr>
          </w:p>
        </w:tc>
        <w:tc>
          <w:tcPr>
            <w:tcW w:w="7820" w:type="dxa"/>
            <w:vAlign w:val="bottom"/>
            <w:gridSpan w:val="3"/>
            <w:shd w:val="clear" w:color="auto" w:fill="E5EAF5"/>
          </w:tcPr>
          <w:p>
            <w:pPr>
              <w:ind w:left="100"/>
              <w:spacing w:after="0"/>
              <w:rPr>
                <w:sz w:val="20"/>
                <w:szCs w:val="20"/>
                <w:color w:val="auto"/>
              </w:rPr>
            </w:pPr>
            <w:r>
              <w:rPr>
                <w:rFonts w:ascii="Arial" w:cs="Arial" w:eastAsia="Arial" w:hAnsi="Arial"/>
                <w:sz w:val="17"/>
                <w:szCs w:val="17"/>
                <w:color w:val="auto"/>
              </w:rPr>
              <w:t>leadership contact.</w:t>
            </w:r>
          </w:p>
        </w:tc>
        <w:tc>
          <w:tcPr>
            <w:tcW w:w="0" w:type="dxa"/>
            <w:vAlign w:val="bottom"/>
          </w:tcPr>
          <w:p>
            <w:pPr>
              <w:spacing w:after="0"/>
              <w:rPr>
                <w:sz w:val="1"/>
                <w:szCs w:val="1"/>
                <w:color w:val="auto"/>
              </w:rPr>
            </w:pPr>
          </w:p>
        </w:tc>
      </w:tr>
      <w:tr>
        <w:trPr>
          <w:trHeight w:val="223"/>
        </w:trPr>
        <w:tc>
          <w:tcPr>
            <w:tcW w:w="2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960" w:type="dxa"/>
            <w:vAlign w:val="bottom"/>
            <w:gridSpan w:val="4"/>
            <w:shd w:val="clear" w:color="auto" w:fill="E5EAF5"/>
          </w:tcPr>
          <w:p>
            <w:pPr>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b w:val="1"/>
                <w:bCs w:val="1"/>
                <w:color w:val="auto"/>
              </w:rPr>
              <w:t xml:space="preserve"> Majority Vote Standard</w:t>
            </w:r>
            <w:r>
              <w:rPr>
                <w:rFonts w:ascii="Arial" w:cs="Arial" w:eastAsia="Arial" w:hAnsi="Arial"/>
                <w:sz w:val="17"/>
                <w:szCs w:val="17"/>
                <w:color w:val="auto"/>
              </w:rPr>
              <w:t>—A director must tender his or her resignation if his or her election</w:t>
            </w:r>
          </w:p>
        </w:tc>
        <w:tc>
          <w:tcPr>
            <w:tcW w:w="0" w:type="dxa"/>
            <w:vAlign w:val="bottom"/>
          </w:tcPr>
          <w:p>
            <w:pPr>
              <w:spacing w:after="0"/>
              <w:rPr>
                <w:sz w:val="1"/>
                <w:szCs w:val="1"/>
                <w:color w:val="auto"/>
              </w:rPr>
            </w:pPr>
          </w:p>
        </w:tc>
      </w:tr>
      <w:tr>
        <w:trPr>
          <w:trHeight w:val="229"/>
        </w:trPr>
        <w:tc>
          <w:tcPr>
            <w:tcW w:w="2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E5EAF5"/>
            </w:tcBorders>
            <w:shd w:val="clear" w:color="auto" w:fill="E5EAF5"/>
          </w:tcPr>
          <w:p>
            <w:pPr>
              <w:spacing w:after="0"/>
              <w:rPr>
                <w:sz w:val="19"/>
                <w:szCs w:val="19"/>
                <w:color w:val="auto"/>
              </w:rPr>
            </w:pPr>
          </w:p>
        </w:tc>
        <w:tc>
          <w:tcPr>
            <w:tcW w:w="7820" w:type="dxa"/>
            <w:vAlign w:val="bottom"/>
            <w:tcBorders>
              <w:bottom w:val="single" w:sz="8" w:color="E5EAF5"/>
            </w:tcBorders>
            <w:gridSpan w:val="3"/>
            <w:shd w:val="clear" w:color="auto" w:fill="E5EAF5"/>
          </w:tcPr>
          <w:p>
            <w:pPr>
              <w:ind w:left="100"/>
              <w:spacing w:after="0"/>
              <w:rPr>
                <w:sz w:val="20"/>
                <w:szCs w:val="20"/>
                <w:color w:val="auto"/>
              </w:rPr>
            </w:pPr>
            <w:r>
              <w:rPr>
                <w:rFonts w:ascii="Arial" w:cs="Arial" w:eastAsia="Arial" w:hAnsi="Arial"/>
                <w:sz w:val="17"/>
                <w:szCs w:val="17"/>
                <w:color w:val="auto"/>
              </w:rPr>
              <w:t>receives less than a majority vote in an uncontested election.</w:t>
            </w:r>
          </w:p>
        </w:tc>
        <w:tc>
          <w:tcPr>
            <w:tcW w:w="0" w:type="dxa"/>
            <w:vAlign w:val="bottom"/>
          </w:tcPr>
          <w:p>
            <w:pPr>
              <w:spacing w:after="0"/>
              <w:rPr>
                <w:sz w:val="1"/>
                <w:szCs w:val="1"/>
                <w:color w:val="auto"/>
              </w:rPr>
            </w:pPr>
          </w:p>
        </w:tc>
      </w:tr>
      <w:tr>
        <w:trPr>
          <w:trHeight w:val="183"/>
        </w:trPr>
        <w:tc>
          <w:tcPr>
            <w:tcW w:w="2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jc w:val="right"/>
              <w:spacing w:after="0" w:line="171" w:lineRule="exact"/>
              <w:rPr>
                <w:sz w:val="20"/>
                <w:szCs w:val="20"/>
                <w:color w:val="auto"/>
              </w:rPr>
            </w:pPr>
            <w:r>
              <w:rPr>
                <w:rFonts w:ascii="MS PGothic" w:cs="MS PGothic" w:eastAsia="MS PGothic" w:hAnsi="MS PGothic"/>
                <w:sz w:val="17"/>
                <w:szCs w:val="17"/>
                <w:color w:val="auto"/>
                <w:w w:val="70"/>
              </w:rPr>
              <w:t>✓</w:t>
            </w:r>
          </w:p>
        </w:tc>
        <w:tc>
          <w:tcPr>
            <w:tcW w:w="7820" w:type="dxa"/>
            <w:vAlign w:val="bottom"/>
            <w:gridSpan w:val="3"/>
            <w:shd w:val="clear" w:color="auto" w:fill="E5EAF5"/>
          </w:tcPr>
          <w:p>
            <w:pPr>
              <w:ind w:left="100"/>
              <w:spacing w:after="0" w:line="183" w:lineRule="exact"/>
              <w:rPr>
                <w:sz w:val="20"/>
                <w:szCs w:val="20"/>
                <w:color w:val="auto"/>
              </w:rPr>
            </w:pPr>
            <w:r>
              <w:rPr>
                <w:rFonts w:ascii="Arial" w:cs="Arial" w:eastAsia="Arial" w:hAnsi="Arial"/>
                <w:sz w:val="17"/>
                <w:szCs w:val="17"/>
                <w:b w:val="1"/>
                <w:bCs w:val="1"/>
                <w:color w:val="auto"/>
              </w:rPr>
              <w:t>Executive Sessions</w:t>
            </w:r>
            <w:r>
              <w:rPr>
                <w:rFonts w:ascii="Arial" w:cs="Arial" w:eastAsia="Arial" w:hAnsi="Arial"/>
                <w:sz w:val="17"/>
                <w:szCs w:val="17"/>
                <w:color w:val="auto"/>
              </w:rPr>
              <w:t>—The independent members of the Board hold an executive session at each</w:t>
            </w:r>
          </w:p>
        </w:tc>
        <w:tc>
          <w:tcPr>
            <w:tcW w:w="0" w:type="dxa"/>
            <w:vAlign w:val="bottom"/>
          </w:tcPr>
          <w:p>
            <w:pPr>
              <w:spacing w:after="0"/>
              <w:rPr>
                <w:sz w:val="1"/>
                <w:szCs w:val="1"/>
                <w:color w:val="auto"/>
              </w:rPr>
            </w:pPr>
          </w:p>
        </w:tc>
      </w:tr>
      <w:tr>
        <w:trPr>
          <w:trHeight w:val="229"/>
        </w:trPr>
        <w:tc>
          <w:tcPr>
            <w:tcW w:w="2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20" w:type="dxa"/>
            <w:vAlign w:val="bottom"/>
            <w:tcBorders>
              <w:bottom w:val="single" w:sz="8" w:color="E5EAF5"/>
            </w:tcBorders>
            <w:gridSpan w:val="3"/>
            <w:shd w:val="clear" w:color="auto" w:fill="E5EAF5"/>
          </w:tcPr>
          <w:p>
            <w:pPr>
              <w:ind w:left="100"/>
              <w:spacing w:after="0"/>
              <w:rPr>
                <w:sz w:val="20"/>
                <w:szCs w:val="20"/>
                <w:color w:val="auto"/>
              </w:rPr>
            </w:pPr>
            <w:r>
              <w:rPr>
                <w:rFonts w:ascii="Arial" w:cs="Arial" w:eastAsia="Arial" w:hAnsi="Arial"/>
                <w:sz w:val="17"/>
                <w:szCs w:val="17"/>
                <w:color w:val="auto"/>
              </w:rPr>
              <w:t>regular Board meeting.</w:t>
            </w:r>
          </w:p>
        </w:tc>
        <w:tc>
          <w:tcPr>
            <w:tcW w:w="0" w:type="dxa"/>
            <w:vAlign w:val="bottom"/>
          </w:tcPr>
          <w:p>
            <w:pPr>
              <w:spacing w:after="0"/>
              <w:rPr>
                <w:sz w:val="1"/>
                <w:szCs w:val="1"/>
                <w:color w:val="auto"/>
              </w:rPr>
            </w:pPr>
          </w:p>
        </w:tc>
      </w:tr>
      <w:tr>
        <w:trPr>
          <w:trHeight w:val="183"/>
        </w:trPr>
        <w:tc>
          <w:tcPr>
            <w:tcW w:w="2840" w:type="dxa"/>
            <w:vAlign w:val="bottom"/>
          </w:tcPr>
          <w:p>
            <w:pPr>
              <w:spacing w:after="0"/>
              <w:rPr>
                <w:sz w:val="15"/>
                <w:szCs w:val="15"/>
                <w:color w:val="auto"/>
              </w:rPr>
            </w:pPr>
          </w:p>
        </w:tc>
        <w:tc>
          <w:tcPr>
            <w:tcW w:w="260" w:type="dxa"/>
            <w:vAlign w:val="bottom"/>
            <w:gridSpan w:val="2"/>
          </w:tcPr>
          <w:p>
            <w:pPr>
              <w:jc w:val="right"/>
              <w:spacing w:after="0" w:line="171" w:lineRule="exact"/>
              <w:rPr>
                <w:sz w:val="20"/>
                <w:szCs w:val="20"/>
                <w:color w:val="auto"/>
              </w:rPr>
            </w:pPr>
            <w:r>
              <w:rPr>
                <w:rFonts w:ascii="MS PGothic" w:cs="MS PGothic" w:eastAsia="MS PGothic" w:hAnsi="MS PGothic"/>
                <w:sz w:val="17"/>
                <w:szCs w:val="17"/>
                <w:color w:val="auto"/>
              </w:rPr>
              <w:t>✓</w:t>
            </w:r>
          </w:p>
        </w:tc>
        <w:tc>
          <w:tcPr>
            <w:tcW w:w="120" w:type="dxa"/>
            <w:vAlign w:val="bottom"/>
          </w:tcPr>
          <w:p>
            <w:pPr>
              <w:spacing w:after="0"/>
              <w:rPr>
                <w:sz w:val="15"/>
                <w:szCs w:val="15"/>
                <w:color w:val="auto"/>
              </w:rPr>
            </w:pPr>
          </w:p>
        </w:tc>
        <w:tc>
          <w:tcPr>
            <w:tcW w:w="7700" w:type="dxa"/>
            <w:vAlign w:val="bottom"/>
            <w:gridSpan w:val="2"/>
            <w:shd w:val="clear" w:color="auto" w:fill="E5EAF5"/>
          </w:tcPr>
          <w:p>
            <w:pPr>
              <w:spacing w:after="0" w:line="183" w:lineRule="exact"/>
              <w:rPr>
                <w:sz w:val="20"/>
                <w:szCs w:val="20"/>
                <w:color w:val="auto"/>
              </w:rPr>
            </w:pPr>
            <w:r>
              <w:rPr>
                <w:rFonts w:ascii="Arial" w:cs="Arial" w:eastAsia="Arial" w:hAnsi="Arial"/>
                <w:sz w:val="17"/>
                <w:szCs w:val="17"/>
                <w:b w:val="1"/>
                <w:bCs w:val="1"/>
                <w:color w:val="auto"/>
              </w:rPr>
              <w:t>Annual Director Elections</w:t>
            </w:r>
            <w:r>
              <w:rPr>
                <w:rFonts w:ascii="Arial" w:cs="Arial" w:eastAsia="Arial" w:hAnsi="Arial"/>
                <w:sz w:val="17"/>
                <w:szCs w:val="17"/>
                <w:color w:val="auto"/>
              </w:rPr>
              <w:t>—Each director stands for election by the Company’s shareholders</w:t>
            </w:r>
          </w:p>
        </w:tc>
        <w:tc>
          <w:tcPr>
            <w:tcW w:w="0" w:type="dxa"/>
            <w:vAlign w:val="bottom"/>
          </w:tcPr>
          <w:p>
            <w:pPr>
              <w:spacing w:after="0"/>
              <w:rPr>
                <w:sz w:val="1"/>
                <w:szCs w:val="1"/>
                <w:color w:val="auto"/>
              </w:rPr>
            </w:pPr>
          </w:p>
        </w:tc>
      </w:tr>
      <w:tr>
        <w:trPr>
          <w:trHeight w:val="229"/>
        </w:trPr>
        <w:tc>
          <w:tcPr>
            <w:tcW w:w="2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700" w:type="dxa"/>
            <w:vAlign w:val="bottom"/>
            <w:tcBorders>
              <w:bottom w:val="single" w:sz="8" w:color="E5EAF5"/>
            </w:tcBorders>
            <w:gridSpan w:val="2"/>
            <w:shd w:val="clear" w:color="auto" w:fill="E5EAF5"/>
          </w:tcPr>
          <w:p>
            <w:pPr>
              <w:spacing w:after="0"/>
              <w:rPr>
                <w:sz w:val="20"/>
                <w:szCs w:val="20"/>
                <w:color w:val="auto"/>
              </w:rPr>
            </w:pPr>
            <w:r>
              <w:rPr>
                <w:rFonts w:ascii="Arial" w:cs="Arial" w:eastAsia="Arial" w:hAnsi="Arial"/>
                <w:sz w:val="17"/>
                <w:szCs w:val="17"/>
                <w:color w:val="auto"/>
              </w:rPr>
              <w:t>each year.</w:t>
            </w:r>
          </w:p>
        </w:tc>
        <w:tc>
          <w:tcPr>
            <w:tcW w:w="0" w:type="dxa"/>
            <w:vAlign w:val="bottom"/>
          </w:tcPr>
          <w:p>
            <w:pPr>
              <w:spacing w:after="0"/>
              <w:rPr>
                <w:sz w:val="1"/>
                <w:szCs w:val="1"/>
                <w:color w:val="auto"/>
              </w:rPr>
            </w:pPr>
          </w:p>
        </w:tc>
      </w:tr>
      <w:tr>
        <w:trPr>
          <w:trHeight w:val="183"/>
        </w:trPr>
        <w:tc>
          <w:tcPr>
            <w:tcW w:w="2840" w:type="dxa"/>
            <w:vAlign w:val="bottom"/>
          </w:tcPr>
          <w:p>
            <w:pPr>
              <w:spacing w:after="0"/>
              <w:rPr>
                <w:sz w:val="15"/>
                <w:szCs w:val="15"/>
                <w:color w:val="auto"/>
              </w:rPr>
            </w:pPr>
          </w:p>
        </w:tc>
        <w:tc>
          <w:tcPr>
            <w:tcW w:w="380" w:type="dxa"/>
            <w:vAlign w:val="bottom"/>
            <w:gridSpan w:val="3"/>
          </w:tcPr>
          <w:p>
            <w:pPr>
              <w:jc w:val="right"/>
              <w:ind w:right="35"/>
              <w:spacing w:after="0" w:line="171" w:lineRule="exact"/>
              <w:rPr>
                <w:sz w:val="20"/>
                <w:szCs w:val="20"/>
                <w:color w:val="auto"/>
              </w:rPr>
            </w:pPr>
            <w:r>
              <w:rPr>
                <w:rFonts w:ascii="MS PGothic" w:cs="MS PGothic" w:eastAsia="MS PGothic" w:hAnsi="MS PGothic"/>
                <w:sz w:val="17"/>
                <w:szCs w:val="17"/>
                <w:color w:val="auto"/>
              </w:rPr>
              <w:t>✓</w:t>
            </w:r>
          </w:p>
        </w:tc>
        <w:tc>
          <w:tcPr>
            <w:tcW w:w="7480" w:type="dxa"/>
            <w:vAlign w:val="bottom"/>
          </w:tcPr>
          <w:p>
            <w:pPr>
              <w:spacing w:after="0" w:line="183" w:lineRule="exact"/>
              <w:rPr>
                <w:sz w:val="20"/>
                <w:szCs w:val="20"/>
                <w:color w:val="auto"/>
              </w:rPr>
            </w:pPr>
            <w:r>
              <w:rPr>
                <w:rFonts w:ascii="Arial" w:cs="Arial" w:eastAsia="Arial" w:hAnsi="Arial"/>
                <w:sz w:val="17"/>
                <w:szCs w:val="17"/>
                <w:b w:val="1"/>
                <w:bCs w:val="1"/>
                <w:color w:val="auto"/>
              </w:rPr>
              <w:t>Say on Pay</w:t>
            </w:r>
            <w:r>
              <w:rPr>
                <w:rFonts w:ascii="Arial" w:cs="Arial" w:eastAsia="Arial" w:hAnsi="Arial"/>
                <w:sz w:val="17"/>
                <w:szCs w:val="17"/>
                <w:color w:val="auto"/>
              </w:rPr>
              <w:t>—We provide shareholders with an annual advisory vote on named executive officer</w:t>
            </w:r>
          </w:p>
        </w:tc>
        <w:tc>
          <w:tcPr>
            <w:tcW w:w="220" w:type="dxa"/>
            <w:vAlign w:val="bottom"/>
            <w:shd w:val="clear" w:color="auto" w:fill="E5EAF5"/>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0" w:type="dxa"/>
            <w:vAlign w:val="bottom"/>
            <w:gridSpan w:val="2"/>
          </w:tcPr>
          <w:p>
            <w:pPr>
              <w:ind w:left="100"/>
              <w:spacing w:after="0"/>
              <w:rPr>
                <w:sz w:val="20"/>
                <w:szCs w:val="20"/>
                <w:color w:val="auto"/>
              </w:rPr>
            </w:pPr>
            <w:r>
              <w:rPr>
                <w:rFonts w:ascii="Arial" w:cs="Arial" w:eastAsia="Arial" w:hAnsi="Arial"/>
                <w:sz w:val="17"/>
                <w:szCs w:val="17"/>
                <w:color w:val="auto"/>
              </w:rPr>
              <w:t>compensation.</w:t>
            </w:r>
          </w:p>
        </w:tc>
        <w:tc>
          <w:tcPr>
            <w:tcW w:w="220" w:type="dxa"/>
            <w:vAlign w:val="bottom"/>
            <w:tcBorders>
              <w:bottom w:val="single" w:sz="8" w:color="E5EAF5"/>
            </w:tcBorders>
            <w:shd w:val="clear" w:color="auto" w:fill="E5EAF5"/>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840" w:type="dxa"/>
            <w:vAlign w:val="bottom"/>
          </w:tcPr>
          <w:p>
            <w:pPr>
              <w:spacing w:after="0"/>
              <w:rPr>
                <w:sz w:val="15"/>
                <w:szCs w:val="15"/>
                <w:color w:val="auto"/>
              </w:rPr>
            </w:pPr>
          </w:p>
        </w:tc>
        <w:tc>
          <w:tcPr>
            <w:tcW w:w="7860" w:type="dxa"/>
            <w:vAlign w:val="bottom"/>
            <w:gridSpan w:val="4"/>
          </w:tcPr>
          <w:p>
            <w:pPr>
              <w:ind w:left="100"/>
              <w:spacing w:after="0" w:line="183"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b w:val="1"/>
                <w:bCs w:val="1"/>
                <w:color w:val="auto"/>
              </w:rPr>
              <w:t xml:space="preserve"> Proxy Access</w:t>
            </w:r>
            <w:r>
              <w:rPr>
                <w:rFonts w:ascii="Arial" w:cs="Arial" w:eastAsia="Arial" w:hAnsi="Arial"/>
                <w:sz w:val="17"/>
                <w:szCs w:val="17"/>
                <w:color w:val="auto"/>
              </w:rPr>
              <w:t>—A shareholder, or group of up to 20 shareholders, who have continuously owned</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20" w:type="dxa"/>
            <w:vAlign w:val="bottom"/>
            <w:gridSpan w:val="3"/>
          </w:tcPr>
          <w:p>
            <w:pPr>
              <w:ind w:left="100"/>
              <w:spacing w:after="0" w:line="189" w:lineRule="exact"/>
              <w:rPr>
                <w:sz w:val="20"/>
                <w:szCs w:val="20"/>
                <w:color w:val="auto"/>
              </w:rPr>
            </w:pPr>
            <w:r>
              <w:rPr>
                <w:rFonts w:ascii="Arial" w:cs="Arial" w:eastAsia="Arial" w:hAnsi="Arial"/>
                <w:sz w:val="17"/>
                <w:szCs w:val="17"/>
                <w:color w:val="auto"/>
              </w:rPr>
              <w:t>at least 3% of our outstanding Common Stock for three years or more may nominate and include</w:t>
            </w:r>
          </w:p>
        </w:tc>
        <w:tc>
          <w:tcPr>
            <w:tcW w:w="0" w:type="dxa"/>
            <w:vAlign w:val="bottom"/>
          </w:tcPr>
          <w:p>
            <w:pPr>
              <w:spacing w:after="0"/>
              <w:rPr>
                <w:sz w:val="1"/>
                <w:szCs w:val="1"/>
                <w:color w:val="auto"/>
              </w:rPr>
            </w:pPr>
          </w:p>
        </w:tc>
      </w:tr>
      <w:tr>
        <w:trPr>
          <w:trHeight w:val="205"/>
        </w:trPr>
        <w:tc>
          <w:tcPr>
            <w:tcW w:w="2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20" w:type="dxa"/>
            <w:vAlign w:val="bottom"/>
            <w:gridSpan w:val="3"/>
          </w:tcPr>
          <w:p>
            <w:pPr>
              <w:ind w:left="100"/>
              <w:spacing w:after="0"/>
              <w:rPr>
                <w:sz w:val="20"/>
                <w:szCs w:val="20"/>
                <w:color w:val="auto"/>
              </w:rPr>
            </w:pPr>
            <w:r>
              <w:rPr>
                <w:rFonts w:ascii="Arial" w:cs="Arial" w:eastAsia="Arial" w:hAnsi="Arial"/>
                <w:sz w:val="17"/>
                <w:szCs w:val="17"/>
                <w:color w:val="auto"/>
              </w:rPr>
              <w:t>in our proxy statement up to the greater of two director nominees or 20% of our Board.</w:t>
            </w:r>
          </w:p>
        </w:tc>
        <w:tc>
          <w:tcPr>
            <w:tcW w:w="0" w:type="dxa"/>
            <w:vAlign w:val="bottom"/>
          </w:tcPr>
          <w:p>
            <w:pPr>
              <w:spacing w:after="0"/>
              <w:rPr>
                <w:sz w:val="1"/>
                <w:szCs w:val="1"/>
                <w:color w:val="auto"/>
              </w:rPr>
            </w:pPr>
          </w:p>
        </w:tc>
      </w:tr>
      <w:tr>
        <w:trPr>
          <w:trHeight w:val="227"/>
        </w:trPr>
        <w:tc>
          <w:tcPr>
            <w:tcW w:w="2840" w:type="dxa"/>
            <w:vAlign w:val="bottom"/>
          </w:tcPr>
          <w:p>
            <w:pPr>
              <w:spacing w:after="0"/>
              <w:rPr>
                <w:sz w:val="19"/>
                <w:szCs w:val="19"/>
                <w:color w:val="auto"/>
              </w:rPr>
            </w:pPr>
          </w:p>
        </w:tc>
        <w:tc>
          <w:tcPr>
            <w:tcW w:w="8080" w:type="dxa"/>
            <w:vAlign w:val="bottom"/>
            <w:gridSpan w:val="5"/>
          </w:tcPr>
          <w:p>
            <w:pPr>
              <w:ind w:left="10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b w:val="1"/>
                <w:bCs w:val="1"/>
                <w:color w:val="auto"/>
              </w:rPr>
              <w:t xml:space="preserve"> Special Meetings</w:t>
            </w:r>
            <w:r>
              <w:rPr>
                <w:rFonts w:ascii="Arial" w:cs="Arial" w:eastAsia="Arial" w:hAnsi="Arial"/>
                <w:sz w:val="17"/>
                <w:szCs w:val="17"/>
                <w:color w:val="auto"/>
              </w:rPr>
              <w:t>—Shareholders holding at least 20% of our outstanding common stock may call</w:t>
            </w:r>
          </w:p>
        </w:tc>
        <w:tc>
          <w:tcPr>
            <w:tcW w:w="0" w:type="dxa"/>
            <w:vAlign w:val="bottom"/>
          </w:tcPr>
          <w:p>
            <w:pPr>
              <w:spacing w:after="0"/>
              <w:rPr>
                <w:sz w:val="1"/>
                <w:szCs w:val="1"/>
                <w:color w:val="auto"/>
              </w:rPr>
            </w:pPr>
          </w:p>
        </w:tc>
      </w:tr>
      <w:tr>
        <w:trPr>
          <w:trHeight w:val="205"/>
        </w:trPr>
        <w:tc>
          <w:tcPr>
            <w:tcW w:w="2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20" w:type="dxa"/>
            <w:vAlign w:val="bottom"/>
            <w:gridSpan w:val="3"/>
          </w:tcPr>
          <w:p>
            <w:pPr>
              <w:ind w:left="100"/>
              <w:spacing w:after="0"/>
              <w:rPr>
                <w:sz w:val="20"/>
                <w:szCs w:val="20"/>
                <w:color w:val="auto"/>
              </w:rPr>
            </w:pPr>
            <w:r>
              <w:rPr>
                <w:rFonts w:ascii="Arial" w:cs="Arial" w:eastAsia="Arial" w:hAnsi="Arial"/>
                <w:sz w:val="17"/>
                <w:szCs w:val="17"/>
                <w:color w:val="auto"/>
              </w:rPr>
              <w:t>a special meeting.</w:t>
            </w:r>
          </w:p>
        </w:tc>
        <w:tc>
          <w:tcPr>
            <w:tcW w:w="0" w:type="dxa"/>
            <w:vAlign w:val="bottom"/>
          </w:tcPr>
          <w:p>
            <w:pPr>
              <w:spacing w:after="0"/>
              <w:rPr>
                <w:sz w:val="1"/>
                <w:szCs w:val="1"/>
                <w:color w:val="auto"/>
              </w:rPr>
            </w:pPr>
          </w:p>
        </w:tc>
      </w:tr>
      <w:tr>
        <w:trPr>
          <w:trHeight w:val="261"/>
        </w:trPr>
        <w:tc>
          <w:tcPr>
            <w:tcW w:w="2840" w:type="dxa"/>
            <w:vAlign w:val="bottom"/>
          </w:tcPr>
          <w:p>
            <w:pPr>
              <w:spacing w:after="0"/>
              <w:rPr>
                <w:sz w:val="20"/>
                <w:szCs w:val="20"/>
                <w:color w:val="auto"/>
              </w:rPr>
            </w:pPr>
            <w:r>
              <w:rPr>
                <w:rFonts w:ascii="Arial" w:cs="Arial" w:eastAsia="Arial" w:hAnsi="Arial"/>
                <w:sz w:val="17"/>
                <w:szCs w:val="17"/>
                <w:b w:val="1"/>
                <w:bCs w:val="1"/>
                <w:color w:val="FFFFFF"/>
              </w:rPr>
              <w:t>Our compensation</w:t>
            </w:r>
          </w:p>
        </w:tc>
        <w:tc>
          <w:tcPr>
            <w:tcW w:w="8080" w:type="dxa"/>
            <w:vAlign w:val="bottom"/>
            <w:gridSpan w:val="5"/>
          </w:tcPr>
          <w:p>
            <w:pPr>
              <w:ind w:left="10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b w:val="1"/>
                <w:bCs w:val="1"/>
                <w:color w:val="auto"/>
              </w:rPr>
              <w:t xml:space="preserve"> Pay for Performance</w:t>
            </w:r>
            <w:r>
              <w:rPr>
                <w:rFonts w:ascii="Arial" w:cs="Arial" w:eastAsia="Arial" w:hAnsi="Arial"/>
                <w:sz w:val="17"/>
                <w:szCs w:val="17"/>
                <w:color w:val="auto"/>
              </w:rPr>
              <w:t>—Our executive compensation program links compensation to Company</w:t>
            </w:r>
          </w:p>
        </w:tc>
        <w:tc>
          <w:tcPr>
            <w:tcW w:w="0" w:type="dxa"/>
            <w:vAlign w:val="bottom"/>
          </w:tcPr>
          <w:p>
            <w:pPr>
              <w:spacing w:after="0"/>
              <w:rPr>
                <w:sz w:val="1"/>
                <w:szCs w:val="1"/>
                <w:color w:val="auto"/>
              </w:rPr>
            </w:pPr>
          </w:p>
        </w:tc>
      </w:tr>
      <w:tr>
        <w:trPr>
          <w:trHeight w:val="175"/>
        </w:trPr>
        <w:tc>
          <w:tcPr>
            <w:tcW w:w="2840" w:type="dxa"/>
            <w:vAlign w:val="bottom"/>
          </w:tcPr>
          <w:p>
            <w:pPr>
              <w:spacing w:after="0" w:line="175" w:lineRule="exact"/>
              <w:rPr>
                <w:sz w:val="20"/>
                <w:szCs w:val="20"/>
                <w:color w:val="auto"/>
              </w:rPr>
            </w:pPr>
            <w:r>
              <w:rPr>
                <w:rFonts w:ascii="Arial" w:cs="Arial" w:eastAsia="Arial" w:hAnsi="Arial"/>
                <w:sz w:val="17"/>
                <w:szCs w:val="17"/>
                <w:b w:val="1"/>
                <w:bCs w:val="1"/>
                <w:color w:val="FFFFFF"/>
              </w:rPr>
              <w:t>program is designed to</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20" w:type="dxa"/>
            <w:vAlign w:val="bottom"/>
            <w:gridSpan w:val="3"/>
          </w:tcPr>
          <w:p>
            <w:pPr>
              <w:ind w:left="100"/>
              <w:spacing w:after="0" w:line="175" w:lineRule="exact"/>
              <w:rPr>
                <w:sz w:val="20"/>
                <w:szCs w:val="20"/>
                <w:color w:val="auto"/>
              </w:rPr>
            </w:pPr>
            <w:r>
              <w:rPr>
                <w:rFonts w:ascii="Arial" w:cs="Arial" w:eastAsia="Arial" w:hAnsi="Arial"/>
                <w:sz w:val="17"/>
                <w:szCs w:val="17"/>
                <w:color w:val="auto"/>
              </w:rPr>
              <w:t>and individual performance over both the short- and long-term.</w:t>
            </w:r>
          </w:p>
        </w:tc>
        <w:tc>
          <w:tcPr>
            <w:tcW w:w="0" w:type="dxa"/>
            <w:vAlign w:val="bottom"/>
          </w:tcPr>
          <w:p>
            <w:pPr>
              <w:spacing w:after="0"/>
              <w:rPr>
                <w:sz w:val="1"/>
                <w:szCs w:val="1"/>
                <w:color w:val="auto"/>
              </w:rPr>
            </w:pPr>
          </w:p>
        </w:tc>
      </w:tr>
      <w:tr>
        <w:trPr>
          <w:trHeight w:val="203"/>
        </w:trPr>
        <w:tc>
          <w:tcPr>
            <w:tcW w:w="2840" w:type="dxa"/>
            <w:vAlign w:val="bottom"/>
          </w:tcPr>
          <w:p>
            <w:pPr>
              <w:spacing w:after="0"/>
              <w:rPr>
                <w:sz w:val="20"/>
                <w:szCs w:val="20"/>
                <w:color w:val="auto"/>
              </w:rPr>
            </w:pPr>
            <w:r>
              <w:rPr>
                <w:rFonts w:ascii="Arial" w:cs="Arial" w:eastAsia="Arial" w:hAnsi="Arial"/>
                <w:sz w:val="17"/>
                <w:szCs w:val="17"/>
                <w:b w:val="1"/>
                <w:bCs w:val="1"/>
                <w:color w:val="FFFFFF"/>
              </w:rPr>
              <w:t>align with shareholder</w:t>
            </w:r>
          </w:p>
        </w:tc>
        <w:tc>
          <w:tcPr>
            <w:tcW w:w="8080" w:type="dxa"/>
            <w:vAlign w:val="bottom"/>
            <w:gridSpan w:val="5"/>
          </w:tcPr>
          <w:p>
            <w:pPr>
              <w:ind w:left="10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b w:val="1"/>
                <w:bCs w:val="1"/>
                <w:color w:val="auto"/>
              </w:rPr>
              <w:t xml:space="preserve"> Stock Ownership Guidelines</w:t>
            </w:r>
            <w:r>
              <w:rPr>
                <w:rFonts w:ascii="Arial" w:cs="Arial" w:eastAsia="Arial" w:hAnsi="Arial"/>
                <w:sz w:val="17"/>
                <w:szCs w:val="17"/>
                <w:color w:val="auto"/>
              </w:rPr>
              <w:t>—We maintain robust stock ownership guidelines for the Chief</w:t>
            </w:r>
          </w:p>
        </w:tc>
        <w:tc>
          <w:tcPr>
            <w:tcW w:w="0" w:type="dxa"/>
            <w:vAlign w:val="bottom"/>
          </w:tcPr>
          <w:p>
            <w:pPr>
              <w:spacing w:after="0"/>
              <w:rPr>
                <w:sz w:val="1"/>
                <w:szCs w:val="1"/>
                <w:color w:val="auto"/>
              </w:rPr>
            </w:pPr>
          </w:p>
        </w:tc>
      </w:tr>
      <w:tr>
        <w:trPr>
          <w:trHeight w:val="225"/>
        </w:trPr>
        <w:tc>
          <w:tcPr>
            <w:tcW w:w="2840" w:type="dxa"/>
            <w:vAlign w:val="bottom"/>
          </w:tcPr>
          <w:p>
            <w:pPr>
              <w:spacing w:after="0"/>
              <w:rPr>
                <w:sz w:val="20"/>
                <w:szCs w:val="20"/>
                <w:color w:val="auto"/>
              </w:rPr>
            </w:pPr>
            <w:r>
              <w:rPr>
                <w:rFonts w:ascii="Arial" w:cs="Arial" w:eastAsia="Arial" w:hAnsi="Arial"/>
                <w:sz w:val="17"/>
                <w:szCs w:val="17"/>
                <w:b w:val="1"/>
                <w:bCs w:val="1"/>
                <w:color w:val="FFFFFF"/>
              </w:rPr>
              <w:t>interests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20" w:type="dxa"/>
            <w:vAlign w:val="bottom"/>
            <w:gridSpan w:val="3"/>
          </w:tcPr>
          <w:p>
            <w:pPr>
              <w:ind w:left="100"/>
              <w:spacing w:after="0"/>
              <w:rPr>
                <w:sz w:val="20"/>
                <w:szCs w:val="20"/>
                <w:color w:val="auto"/>
              </w:rPr>
            </w:pPr>
            <w:r>
              <w:rPr>
                <w:rFonts w:ascii="Arial" w:cs="Arial" w:eastAsia="Arial" w:hAnsi="Arial"/>
                <w:sz w:val="17"/>
                <w:szCs w:val="17"/>
                <w:color w:val="auto"/>
              </w:rPr>
              <w:t>Executive Officer and other executive officers.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-2929890</wp:posOffset>
            </wp:positionV>
            <wp:extent cx="6997700" cy="50768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7700" cy="5076825"/>
                    </a:xfrm>
                    <a:prstGeom prst="rect">
                      <a:avLst/>
                    </a:prstGeom>
                    <a:noFill/>
                  </pic:spPr>
                </pic:pic>
              </a:graphicData>
            </a:graphic>
          </wp:anchor>
        </w:drawing>
      </w:r>
    </w:p>
    <w:p>
      <w:pPr>
        <w:ind w:left="3520" w:right="620" w:hanging="256"/>
        <w:spacing w:after="0" w:line="190"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b w:val="1"/>
          <w:bCs w:val="1"/>
          <w:color w:val="auto"/>
        </w:rPr>
        <w:t xml:space="preserve"> Double Trigger Accelerated Vesting</w:t>
      </w:r>
      <w:r>
        <w:rPr>
          <w:rFonts w:ascii="Arial" w:cs="Arial" w:eastAsia="Arial" w:hAnsi="Arial"/>
          <w:sz w:val="17"/>
          <w:szCs w:val="17"/>
          <w:color w:val="auto"/>
        </w:rPr>
        <w:t>—Equity awards are subject to a “double trigger” for</w:t>
      </w:r>
      <w:r>
        <w:rPr>
          <w:rFonts w:ascii="Arial" w:cs="Arial" w:eastAsia="Arial" w:hAnsi="Arial"/>
          <w:sz w:val="17"/>
          <w:szCs w:val="17"/>
          <w:b w:val="1"/>
          <w:bCs w:val="1"/>
          <w:color w:val="auto"/>
        </w:rPr>
        <w:t xml:space="preserve"> </w:t>
      </w:r>
      <w:r>
        <w:rPr>
          <w:rFonts w:ascii="Arial" w:cs="Arial" w:eastAsia="Arial" w:hAnsi="Arial"/>
          <w:sz w:val="17"/>
          <w:szCs w:val="17"/>
          <w:color w:val="auto"/>
        </w:rPr>
        <w:t>accelerated vesting in the event of a change in control followed by termination of employment.</w:t>
      </w:r>
    </w:p>
    <w:p>
      <w:pPr>
        <w:sectPr>
          <w:pgSz w:w="11900" w:h="16838" w:orient="portrait"/>
          <w:cols w:equalWidth="0" w:num="1">
            <w:col w:w="11240"/>
          </w:cols>
          <w:pgMar w:left="240" w:top="459" w:right="419" w:bottom="1440" w:gutter="0" w:footer="0" w:header="0"/>
          <w:type w:val="continuous"/>
        </w:sectPr>
      </w:pPr>
    </w:p>
    <w:p>
      <w:pPr>
        <w:spacing w:after="0" w:line="72" w:lineRule="exact"/>
        <w:rPr>
          <w:sz w:val="20"/>
          <w:szCs w:val="20"/>
          <w:color w:val="auto"/>
        </w:rPr>
      </w:pPr>
    </w:p>
    <w:p>
      <w:pPr>
        <w:ind w:left="320" w:right="290"/>
        <w:spacing w:after="0" w:line="273" w:lineRule="auto"/>
        <w:rPr>
          <w:sz w:val="20"/>
          <w:szCs w:val="20"/>
          <w:color w:val="auto"/>
        </w:rPr>
      </w:pPr>
      <w:r>
        <w:rPr>
          <w:rFonts w:ascii="Arial" w:cs="Arial" w:eastAsia="Arial" w:hAnsi="Arial"/>
          <w:sz w:val="16"/>
          <w:szCs w:val="16"/>
          <w:b w:val="1"/>
          <w:bCs w:val="1"/>
          <w:color w:val="FFFFFF"/>
        </w:rPr>
        <w:t>We strive to adhere to good executive compensation practices</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ind w:left="250" w:right="360" w:hanging="250"/>
        <w:spacing w:after="0" w:line="258" w:lineRule="auto"/>
        <w:tabs>
          <w:tab w:leader="none" w:pos="250" w:val="left"/>
        </w:tabs>
        <w:numPr>
          <w:ilvl w:val="0"/>
          <w:numId w:val="11"/>
        </w:numPr>
        <w:rPr>
          <w:rFonts w:ascii="MS PGothic" w:cs="MS PGothic" w:eastAsia="MS PGothic" w:hAnsi="MS PGothic"/>
          <w:sz w:val="17"/>
          <w:szCs w:val="17"/>
          <w:color w:val="auto"/>
        </w:rPr>
      </w:pPr>
      <w:r>
        <w:rPr>
          <w:rFonts w:ascii="Arial" w:cs="Arial" w:eastAsia="Arial" w:hAnsi="Arial"/>
          <w:sz w:val="17"/>
          <w:szCs w:val="17"/>
          <w:b w:val="1"/>
          <w:bCs w:val="1"/>
          <w:color w:val="auto"/>
        </w:rPr>
        <w:t>Recoupment Policy</w:t>
      </w:r>
      <w:r>
        <w:rPr>
          <w:rFonts w:ascii="Arial" w:cs="Arial" w:eastAsia="Arial" w:hAnsi="Arial"/>
          <w:sz w:val="17"/>
          <w:szCs w:val="17"/>
          <w:color w:val="auto"/>
        </w:rPr>
        <w:t>—We maintain a recoupment policy for performance-based cash and equity-based incentive payments in the event of a financial restatement.</w:t>
      </w:r>
    </w:p>
    <w:p>
      <w:pPr>
        <w:spacing w:after="0" w:line="11" w:lineRule="exact"/>
        <w:rPr>
          <w:rFonts w:ascii="MS PGothic" w:cs="MS PGothic" w:eastAsia="MS PGothic" w:hAnsi="MS PGothic"/>
          <w:sz w:val="17"/>
          <w:szCs w:val="17"/>
          <w:color w:val="auto"/>
        </w:rPr>
      </w:pPr>
    </w:p>
    <w:p>
      <w:pPr>
        <w:ind w:left="250" w:right="520" w:hanging="250"/>
        <w:spacing w:after="0" w:line="249" w:lineRule="auto"/>
        <w:tabs>
          <w:tab w:leader="none" w:pos="250" w:val="left"/>
        </w:tabs>
        <w:numPr>
          <w:ilvl w:val="0"/>
          <w:numId w:val="11"/>
        </w:numPr>
        <w:rPr>
          <w:rFonts w:ascii="MS PGothic" w:cs="MS PGothic" w:eastAsia="MS PGothic" w:hAnsi="MS PGothic"/>
          <w:sz w:val="17"/>
          <w:szCs w:val="17"/>
          <w:color w:val="auto"/>
        </w:rPr>
      </w:pPr>
      <w:r>
        <w:rPr>
          <w:rFonts w:ascii="Arial" w:cs="Arial" w:eastAsia="Arial" w:hAnsi="Arial"/>
          <w:sz w:val="17"/>
          <w:szCs w:val="17"/>
          <w:b w:val="1"/>
          <w:bCs w:val="1"/>
          <w:color w:val="auto"/>
        </w:rPr>
        <w:t>Double Trigger Change in Control Agreements</w:t>
      </w:r>
      <w:r>
        <w:rPr>
          <w:rFonts w:ascii="Arial" w:cs="Arial" w:eastAsia="Arial" w:hAnsi="Arial"/>
          <w:sz w:val="17"/>
          <w:szCs w:val="17"/>
          <w:color w:val="auto"/>
        </w:rPr>
        <w:t>—We maintain change in control agreements</w:t>
      </w:r>
      <w:r>
        <w:rPr>
          <w:rFonts w:ascii="Arial" w:cs="Arial" w:eastAsia="Arial" w:hAnsi="Arial"/>
          <w:sz w:val="17"/>
          <w:szCs w:val="17"/>
          <w:b w:val="1"/>
          <w:bCs w:val="1"/>
          <w:color w:val="auto"/>
        </w:rPr>
        <w:t xml:space="preserve"> </w:t>
      </w:r>
      <w:r>
        <w:rPr>
          <w:rFonts w:ascii="Arial" w:cs="Arial" w:eastAsia="Arial" w:hAnsi="Arial"/>
          <w:sz w:val="17"/>
          <w:szCs w:val="17"/>
          <w:color w:val="auto"/>
        </w:rPr>
        <w:t>that provide executives with benefits of up to two times the sum of salary and average annual incentive in the event of a change in control followed by termination of employment.</w:t>
      </w:r>
    </w:p>
    <w:p>
      <w:pPr>
        <w:spacing w:after="0" w:line="12" w:lineRule="exact"/>
        <w:rPr>
          <w:rFonts w:ascii="MS PGothic" w:cs="MS PGothic" w:eastAsia="MS PGothic" w:hAnsi="MS PGothic"/>
          <w:sz w:val="17"/>
          <w:szCs w:val="17"/>
          <w:color w:val="auto"/>
        </w:rPr>
      </w:pPr>
    </w:p>
    <w:p>
      <w:pPr>
        <w:ind w:left="250" w:right="240" w:hanging="250"/>
        <w:spacing w:after="0" w:line="265" w:lineRule="auto"/>
        <w:tabs>
          <w:tab w:leader="none" w:pos="250" w:val="left"/>
        </w:tabs>
        <w:numPr>
          <w:ilvl w:val="0"/>
          <w:numId w:val="11"/>
        </w:numPr>
        <w:rPr>
          <w:rFonts w:ascii="MS PGothic" w:cs="MS PGothic" w:eastAsia="MS PGothic" w:hAnsi="MS PGothic"/>
          <w:sz w:val="17"/>
          <w:szCs w:val="17"/>
          <w:color w:val="auto"/>
        </w:rPr>
      </w:pPr>
      <w:r>
        <w:rPr>
          <w:rFonts w:ascii="Arial" w:cs="Arial" w:eastAsia="Arial" w:hAnsi="Arial"/>
          <w:sz w:val="17"/>
          <w:szCs w:val="17"/>
          <w:b w:val="1"/>
          <w:bCs w:val="1"/>
          <w:color w:val="auto"/>
        </w:rPr>
        <w:t>Independent Compensation Consultant</w:t>
      </w:r>
      <w:r>
        <w:rPr>
          <w:rFonts w:ascii="Arial" w:cs="Arial" w:eastAsia="Arial" w:hAnsi="Arial"/>
          <w:sz w:val="17"/>
          <w:szCs w:val="17"/>
          <w:color w:val="auto"/>
        </w:rPr>
        <w:t>—The Compensation Committee retains an independent</w:t>
      </w:r>
      <w:r>
        <w:rPr>
          <w:rFonts w:ascii="Arial" w:cs="Arial" w:eastAsia="Arial" w:hAnsi="Arial"/>
          <w:sz w:val="17"/>
          <w:szCs w:val="17"/>
          <w:b w:val="1"/>
          <w:bCs w:val="1"/>
          <w:color w:val="auto"/>
        </w:rPr>
        <w:t xml:space="preserve"> </w:t>
      </w:r>
      <w:r>
        <w:rPr>
          <w:rFonts w:ascii="Arial" w:cs="Arial" w:eastAsia="Arial" w:hAnsi="Arial"/>
          <w:sz w:val="17"/>
          <w:szCs w:val="17"/>
          <w:color w:val="auto"/>
        </w:rPr>
        <w:t>compensation consulting firm that provides no other services to the Company.</w:t>
      </w:r>
    </w:p>
    <w:p>
      <w:pPr>
        <w:ind w:left="250" w:right="360" w:hanging="250"/>
        <w:spacing w:after="0" w:line="265" w:lineRule="auto"/>
        <w:tabs>
          <w:tab w:leader="none" w:pos="250" w:val="left"/>
        </w:tabs>
        <w:numPr>
          <w:ilvl w:val="0"/>
          <w:numId w:val="12"/>
        </w:numPr>
        <w:rPr>
          <w:rFonts w:ascii="Arial" w:cs="Arial" w:eastAsia="Arial" w:hAnsi="Arial"/>
          <w:sz w:val="17"/>
          <w:szCs w:val="17"/>
          <w:i w:val="1"/>
          <w:iCs w:val="1"/>
          <w:color w:val="auto"/>
        </w:rPr>
      </w:pPr>
      <w:r>
        <w:rPr>
          <w:rFonts w:ascii="Arial" w:cs="Arial" w:eastAsia="Arial" w:hAnsi="Arial"/>
          <w:sz w:val="17"/>
          <w:szCs w:val="17"/>
          <w:b w:val="1"/>
          <w:bCs w:val="1"/>
          <w:color w:val="auto"/>
        </w:rPr>
        <w:t>No Tax Gross-ups and No Excessive Perquisites</w:t>
      </w:r>
      <w:r>
        <w:rPr>
          <w:rFonts w:ascii="Arial" w:cs="Arial" w:eastAsia="Arial" w:hAnsi="Arial"/>
          <w:sz w:val="17"/>
          <w:szCs w:val="17"/>
          <w:color w:val="auto"/>
        </w:rPr>
        <w:t>—There are no tax gross-ups and we provide</w:t>
      </w:r>
      <w:r>
        <w:rPr>
          <w:rFonts w:ascii="Arial" w:cs="Arial" w:eastAsia="Arial" w:hAnsi="Arial"/>
          <w:sz w:val="17"/>
          <w:szCs w:val="17"/>
          <w:b w:val="1"/>
          <w:bCs w:val="1"/>
          <w:color w:val="auto"/>
        </w:rPr>
        <w:t xml:space="preserve"> </w:t>
      </w:r>
      <w:r>
        <w:rPr>
          <w:rFonts w:ascii="Arial" w:cs="Arial" w:eastAsia="Arial" w:hAnsi="Arial"/>
          <w:sz w:val="17"/>
          <w:szCs w:val="17"/>
          <w:color w:val="auto"/>
        </w:rPr>
        <w:t>limited perquisites to executive officers.</w:t>
      </w:r>
    </w:p>
    <w:p>
      <w:pPr>
        <w:ind w:left="250" w:right="1140" w:hanging="250"/>
        <w:spacing w:after="0" w:line="265" w:lineRule="auto"/>
        <w:tabs>
          <w:tab w:leader="none" w:pos="250" w:val="left"/>
        </w:tabs>
        <w:numPr>
          <w:ilvl w:val="0"/>
          <w:numId w:val="12"/>
        </w:numPr>
        <w:rPr>
          <w:rFonts w:ascii="Arial" w:cs="Arial" w:eastAsia="Arial" w:hAnsi="Arial"/>
          <w:sz w:val="17"/>
          <w:szCs w:val="17"/>
          <w:i w:val="1"/>
          <w:iCs w:val="1"/>
          <w:color w:val="auto"/>
        </w:rPr>
      </w:pPr>
      <w:r>
        <w:rPr>
          <w:rFonts w:ascii="Arial" w:cs="Arial" w:eastAsia="Arial" w:hAnsi="Arial"/>
          <w:sz w:val="17"/>
          <w:szCs w:val="17"/>
          <w:b w:val="1"/>
          <w:bCs w:val="1"/>
          <w:color w:val="auto"/>
        </w:rPr>
        <w:t>No Hedging</w:t>
      </w:r>
      <w:r>
        <w:rPr>
          <w:rFonts w:ascii="Arial" w:cs="Arial" w:eastAsia="Arial" w:hAnsi="Arial"/>
          <w:sz w:val="17"/>
          <w:szCs w:val="17"/>
          <w:color w:val="auto"/>
        </w:rPr>
        <w:t>—Directors and executive officers are prohibited from engaging in hedging</w:t>
      </w:r>
      <w:r>
        <w:rPr>
          <w:rFonts w:ascii="Arial" w:cs="Arial" w:eastAsia="Arial" w:hAnsi="Arial"/>
          <w:sz w:val="17"/>
          <w:szCs w:val="17"/>
          <w:b w:val="1"/>
          <w:bCs w:val="1"/>
          <w:color w:val="auto"/>
        </w:rPr>
        <w:t xml:space="preserve"> </w:t>
      </w:r>
      <w:r>
        <w:rPr>
          <w:rFonts w:ascii="Arial" w:cs="Arial" w:eastAsia="Arial" w:hAnsi="Arial"/>
          <w:sz w:val="17"/>
          <w:szCs w:val="17"/>
          <w:color w:val="auto"/>
        </w:rPr>
        <w:t>transactions with respect to Company securities.</w:t>
      </w:r>
    </w:p>
    <w:p>
      <w:pPr>
        <w:ind w:left="250" w:right="380" w:hanging="250"/>
        <w:spacing w:after="0" w:line="268" w:lineRule="auto"/>
        <w:tabs>
          <w:tab w:leader="none" w:pos="250" w:val="left"/>
        </w:tabs>
        <w:numPr>
          <w:ilvl w:val="0"/>
          <w:numId w:val="12"/>
        </w:numPr>
        <w:rPr>
          <w:rFonts w:ascii="Arial" w:cs="Arial" w:eastAsia="Arial" w:hAnsi="Arial"/>
          <w:sz w:val="17"/>
          <w:szCs w:val="17"/>
          <w:i w:val="1"/>
          <w:iCs w:val="1"/>
          <w:color w:val="auto"/>
        </w:rPr>
      </w:pPr>
      <w:r>
        <w:rPr>
          <w:rFonts w:ascii="Arial" w:cs="Arial" w:eastAsia="Arial" w:hAnsi="Arial"/>
          <w:sz w:val="17"/>
          <w:szCs w:val="17"/>
          <w:b w:val="1"/>
          <w:bCs w:val="1"/>
          <w:color w:val="auto"/>
        </w:rPr>
        <w:t>No Repricing of Underwater Stock Options</w:t>
      </w:r>
      <w:r>
        <w:rPr>
          <w:rFonts w:ascii="Arial" w:cs="Arial" w:eastAsia="Arial" w:hAnsi="Arial"/>
          <w:sz w:val="17"/>
          <w:szCs w:val="17"/>
          <w:color w:val="auto"/>
        </w:rPr>
        <w:t>—The Brink’s Company 2017 Equity Incentive Plan</w:t>
      </w:r>
      <w:r>
        <w:rPr>
          <w:rFonts w:ascii="Arial" w:cs="Arial" w:eastAsia="Arial" w:hAnsi="Arial"/>
          <w:sz w:val="17"/>
          <w:szCs w:val="17"/>
          <w:b w:val="1"/>
          <w:bCs w:val="1"/>
          <w:color w:val="auto"/>
        </w:rPr>
        <w:t xml:space="preserve"> </w:t>
      </w:r>
      <w:r>
        <w:rPr>
          <w:rFonts w:ascii="Arial" w:cs="Arial" w:eastAsia="Arial" w:hAnsi="Arial"/>
          <w:sz w:val="17"/>
          <w:szCs w:val="17"/>
          <w:color w:val="auto"/>
        </w:rPr>
        <w:t>prohibits re-pricing of underwater stock options without shareholder approval.</w:t>
      </w:r>
    </w:p>
    <w:p>
      <w:pPr>
        <w:spacing w:after="0" w:line="200" w:lineRule="exact"/>
        <w:rPr>
          <w:sz w:val="20"/>
          <w:szCs w:val="20"/>
          <w:color w:val="auto"/>
        </w:rPr>
      </w:pPr>
    </w:p>
    <w:p>
      <w:pPr>
        <w:sectPr>
          <w:pgSz w:w="11900" w:h="16838" w:orient="portrait"/>
          <w:cols w:equalWidth="0" w:num="2">
            <w:col w:w="2550" w:space="720"/>
            <w:col w:w="7970"/>
          </w:cols>
          <w:pgMar w:left="240" w:top="459" w:right="419" w:bottom="1440" w:gutter="0" w:footer="0" w:header="0"/>
          <w:type w:val="continuous"/>
        </w:sectPr>
      </w:pPr>
    </w:p>
    <w:p>
      <w:pPr>
        <w:spacing w:after="0" w:line="51" w:lineRule="exact"/>
        <w:rPr>
          <w:sz w:val="20"/>
          <w:szCs w:val="20"/>
          <w:color w:val="auto"/>
        </w:rPr>
      </w:pPr>
    </w:p>
    <w:tbl>
      <w:tblPr>
        <w:tblLayout w:type="fixed"/>
        <w:tblInd w:w="200" w:type="dxa"/>
        <w:tblCellMar>
          <w:top w:w="0" w:type="dxa"/>
          <w:left w:w="0" w:type="dxa"/>
          <w:bottom w:w="0" w:type="dxa"/>
          <w:right w:w="0" w:type="dxa"/>
        </w:tblCellMar>
      </w:tblPr>
      <w:tr>
        <w:trPr>
          <w:trHeight w:val="297"/>
        </w:trPr>
        <w:tc>
          <w:tcPr>
            <w:tcW w:w="260" w:type="dxa"/>
            <w:vAlign w:val="bottom"/>
            <w:tcBorders>
              <w:right w:val="single" w:sz="8" w:color="0033A0"/>
            </w:tcBorders>
          </w:tcPr>
          <w:p>
            <w:pPr>
              <w:jc w:val="right"/>
              <w:ind w:right="70"/>
              <w:spacing w:after="0"/>
              <w:rPr>
                <w:sz w:val="20"/>
                <w:szCs w:val="20"/>
                <w:color w:val="auto"/>
              </w:rPr>
            </w:pPr>
            <w:r>
              <w:rPr>
                <w:rFonts w:ascii="Arial" w:cs="Arial" w:eastAsia="Arial" w:hAnsi="Arial"/>
                <w:sz w:val="18"/>
                <w:szCs w:val="18"/>
                <w:b w:val="1"/>
                <w:bCs w:val="1"/>
                <w:color w:val="auto"/>
                <w:w w:val="79"/>
              </w:rPr>
              <w:t>4</w:t>
            </w:r>
          </w:p>
        </w:tc>
        <w:tc>
          <w:tcPr>
            <w:tcW w:w="3380" w:type="dxa"/>
            <w:vAlign w:val="bottom"/>
          </w:tcPr>
          <w:p>
            <w:pPr>
              <w:ind w:left="1600"/>
              <w:spacing w:after="0"/>
              <w:rPr>
                <w:sz w:val="20"/>
                <w:szCs w:val="20"/>
                <w:color w:val="auto"/>
              </w:rPr>
            </w:pPr>
            <w:r>
              <w:rPr>
                <w:rFonts w:ascii="Arial" w:cs="Arial" w:eastAsia="Arial" w:hAnsi="Arial"/>
                <w:sz w:val="18"/>
                <w:szCs w:val="18"/>
                <w:i w:val="1"/>
                <w:iCs w:val="1"/>
                <w:color w:val="auto"/>
                <w:w w:val="98"/>
              </w:rPr>
              <w:t>2019 Proxy Statement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-170815</wp:posOffset>
            </wp:positionV>
            <wp:extent cx="720090"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090" cy="12890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9460"/>
        <w:spacing w:after="0"/>
        <w:rPr>
          <w:sz w:val="20"/>
          <w:szCs w:val="20"/>
          <w:color w:val="auto"/>
        </w:rPr>
      </w:pPr>
      <w:r>
        <w:rPr>
          <w:rFonts w:ascii="Arial" w:cs="Arial" w:eastAsia="Arial" w:hAnsi="Arial"/>
          <w:sz w:val="19"/>
          <w:szCs w:val="19"/>
          <w:b w:val="1"/>
          <w:bCs w:val="1"/>
          <w:color w:val="0033A0"/>
        </w:rPr>
        <w:t>PROXY SUMMARY</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auto"/>
        </w:rPr>
        <w:t>Voting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68580</wp:posOffset>
            </wp:positionV>
            <wp:extent cx="6997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72"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180" w:type="dxa"/>
            <w:vAlign w:val="bottom"/>
          </w:tcPr>
          <w:p>
            <w:pPr>
              <w:jc w:val="center"/>
              <w:ind w:right="1135"/>
              <w:spacing w:after="0"/>
              <w:rPr>
                <w:sz w:val="20"/>
                <w:szCs w:val="20"/>
                <w:color w:val="auto"/>
              </w:rPr>
            </w:pPr>
            <w:r>
              <w:rPr>
                <w:rFonts w:ascii="Arial" w:cs="Arial" w:eastAsia="Arial" w:hAnsi="Arial"/>
                <w:sz w:val="14"/>
                <w:szCs w:val="14"/>
                <w:b w:val="1"/>
                <w:bCs w:val="1"/>
                <w:color w:val="0033A0"/>
              </w:rPr>
              <w:t>Board Voting</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0033A0"/>
              </w:rPr>
              <w:t>Page</w:t>
            </w:r>
          </w:p>
        </w:tc>
      </w:tr>
      <w:tr>
        <w:trPr>
          <w:trHeight w:val="175"/>
        </w:trPr>
        <w:tc>
          <w:tcPr>
            <w:tcW w:w="20" w:type="dxa"/>
            <w:vAlign w:val="bottom"/>
          </w:tcPr>
          <w:p>
            <w:pPr>
              <w:spacing w:after="0"/>
              <w:rPr>
                <w:sz w:val="15"/>
                <w:szCs w:val="15"/>
                <w:color w:val="auto"/>
              </w:rPr>
            </w:pPr>
          </w:p>
        </w:tc>
        <w:tc>
          <w:tcPr>
            <w:tcW w:w="2340" w:type="dxa"/>
            <w:vAlign w:val="bottom"/>
            <w:tcBorders>
              <w:bottom w:val="single" w:sz="8" w:color="0033A0"/>
            </w:tcBorders>
          </w:tcPr>
          <w:p>
            <w:pPr>
              <w:ind w:left="60"/>
              <w:spacing w:after="0"/>
              <w:rPr>
                <w:sz w:val="20"/>
                <w:szCs w:val="20"/>
                <w:color w:val="auto"/>
              </w:rPr>
            </w:pPr>
            <w:r>
              <w:rPr>
                <w:rFonts w:ascii="Arial" w:cs="Arial" w:eastAsia="Arial" w:hAnsi="Arial"/>
                <w:sz w:val="14"/>
                <w:szCs w:val="14"/>
                <w:b w:val="1"/>
                <w:bCs w:val="1"/>
                <w:color w:val="0033A0"/>
              </w:rPr>
              <w:t>Proposal</w:t>
            </w:r>
          </w:p>
        </w:tc>
        <w:tc>
          <w:tcPr>
            <w:tcW w:w="540" w:type="dxa"/>
            <w:vAlign w:val="bottom"/>
            <w:tcBorders>
              <w:bottom w:val="single" w:sz="8" w:color="0033A0"/>
            </w:tcBorders>
          </w:tcPr>
          <w:p>
            <w:pPr>
              <w:spacing w:after="0"/>
              <w:rPr>
                <w:sz w:val="15"/>
                <w:szCs w:val="15"/>
                <w:color w:val="auto"/>
              </w:rPr>
            </w:pPr>
          </w:p>
        </w:tc>
        <w:tc>
          <w:tcPr>
            <w:tcW w:w="860" w:type="dxa"/>
            <w:vAlign w:val="bottom"/>
            <w:tcBorders>
              <w:bottom w:val="single" w:sz="8" w:color="0033A0"/>
            </w:tcBorders>
          </w:tcPr>
          <w:p>
            <w:pPr>
              <w:spacing w:after="0"/>
              <w:rPr>
                <w:sz w:val="15"/>
                <w:szCs w:val="15"/>
                <w:color w:val="auto"/>
              </w:rPr>
            </w:pPr>
          </w:p>
        </w:tc>
        <w:tc>
          <w:tcPr>
            <w:tcW w:w="3300" w:type="dxa"/>
            <w:vAlign w:val="bottom"/>
            <w:tcBorders>
              <w:bottom w:val="single" w:sz="8" w:color="0033A0"/>
            </w:tcBorders>
          </w:tcPr>
          <w:p>
            <w:pPr>
              <w:spacing w:after="0"/>
              <w:rPr>
                <w:sz w:val="15"/>
                <w:szCs w:val="15"/>
                <w:color w:val="auto"/>
              </w:rPr>
            </w:pPr>
          </w:p>
        </w:tc>
        <w:tc>
          <w:tcPr>
            <w:tcW w:w="3220" w:type="dxa"/>
            <w:vAlign w:val="bottom"/>
            <w:tcBorders>
              <w:bottom w:val="single" w:sz="8" w:color="0033A0"/>
            </w:tcBorders>
            <w:gridSpan w:val="2"/>
          </w:tcPr>
          <w:p>
            <w:pPr>
              <w:jc w:val="center"/>
              <w:ind w:right="95"/>
              <w:spacing w:after="0"/>
              <w:rPr>
                <w:sz w:val="20"/>
                <w:szCs w:val="20"/>
                <w:color w:val="auto"/>
              </w:rPr>
            </w:pPr>
            <w:r>
              <w:rPr>
                <w:rFonts w:ascii="Arial" w:cs="Arial" w:eastAsia="Arial" w:hAnsi="Arial"/>
                <w:sz w:val="14"/>
                <w:szCs w:val="14"/>
                <w:b w:val="1"/>
                <w:bCs w:val="1"/>
                <w:color w:val="0033A0"/>
              </w:rPr>
              <w:t>Recommendation</w:t>
            </w:r>
          </w:p>
        </w:tc>
        <w:tc>
          <w:tcPr>
            <w:tcW w:w="760" w:type="dxa"/>
            <w:vAlign w:val="bottom"/>
            <w:tcBorders>
              <w:bottom w:val="single" w:sz="8" w:color="0033A0"/>
            </w:tcBorders>
          </w:tcPr>
          <w:p>
            <w:pPr>
              <w:jc w:val="center"/>
              <w:spacing w:after="0"/>
              <w:rPr>
                <w:sz w:val="20"/>
                <w:szCs w:val="20"/>
                <w:color w:val="auto"/>
              </w:rPr>
            </w:pPr>
            <w:r>
              <w:rPr>
                <w:rFonts w:ascii="Arial" w:cs="Arial" w:eastAsia="Arial" w:hAnsi="Arial"/>
                <w:sz w:val="14"/>
                <w:szCs w:val="14"/>
                <w:b w:val="1"/>
                <w:bCs w:val="1"/>
                <w:color w:val="0033A0"/>
              </w:rPr>
              <w:t>Reference</w:t>
            </w:r>
          </w:p>
        </w:tc>
      </w:tr>
      <w:tr>
        <w:trPr>
          <w:trHeight w:val="21"/>
        </w:trPr>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7040" w:type="dxa"/>
            <w:vAlign w:val="bottom"/>
            <w:tcBorders>
              <w:bottom w:val="single" w:sz="8" w:color="E5EAF5"/>
            </w:tcBorders>
            <w:gridSpan w:val="4"/>
            <w:shd w:val="clear" w:color="auto" w:fill="E5EAF5"/>
          </w:tcPr>
          <w:p>
            <w:pPr>
              <w:ind w:left="60"/>
              <w:spacing w:after="0"/>
              <w:rPr>
                <w:sz w:val="20"/>
                <w:szCs w:val="20"/>
                <w:color w:val="auto"/>
              </w:rPr>
            </w:pPr>
            <w:r>
              <w:rPr>
                <w:rFonts w:ascii="Arial" w:cs="Arial" w:eastAsia="Arial" w:hAnsi="Arial"/>
                <w:sz w:val="18"/>
                <w:szCs w:val="18"/>
                <w:color w:val="auto"/>
              </w:rPr>
              <w:t>1. Election of directors named in this proxy statement for a one year term</w:t>
            </w:r>
          </w:p>
        </w:tc>
        <w:tc>
          <w:tcPr>
            <w:tcW w:w="3220" w:type="dxa"/>
            <w:vAlign w:val="bottom"/>
            <w:tcBorders>
              <w:bottom w:val="single" w:sz="8" w:color="E5EAF5"/>
            </w:tcBorders>
            <w:gridSpan w:val="2"/>
            <w:shd w:val="clear" w:color="auto" w:fill="E5EAF5"/>
          </w:tcPr>
          <w:p>
            <w:pPr>
              <w:jc w:val="center"/>
              <w:ind w:right="95"/>
              <w:spacing w:after="0"/>
              <w:rPr>
                <w:sz w:val="20"/>
                <w:szCs w:val="20"/>
                <w:color w:val="auto"/>
              </w:rPr>
            </w:pPr>
            <w:r>
              <w:rPr>
                <w:rFonts w:ascii="Arial" w:cs="Arial" w:eastAsia="Arial" w:hAnsi="Arial"/>
                <w:sz w:val="18"/>
                <w:szCs w:val="18"/>
                <w:color w:val="auto"/>
                <w:w w:val="99"/>
              </w:rPr>
              <w:t>FOR each director nominee</w:t>
            </w:r>
          </w:p>
        </w:tc>
        <w:tc>
          <w:tcPr>
            <w:tcW w:w="760" w:type="dxa"/>
            <w:vAlign w:val="bottom"/>
            <w:tcBorders>
              <w:bottom w:val="single" w:sz="8" w:color="E5EAF5"/>
            </w:tcBorders>
            <w:shd w:val="clear" w:color="auto" w:fill="E5EAF5"/>
          </w:tcPr>
          <w:p>
            <w:pPr>
              <w:jc w:val="center"/>
              <w:spacing w:after="0"/>
              <w:rPr>
                <w:sz w:val="20"/>
                <w:szCs w:val="20"/>
                <w:color w:val="auto"/>
              </w:rPr>
            </w:pPr>
            <w:r>
              <w:rPr>
                <w:rFonts w:ascii="Arial" w:cs="Arial" w:eastAsia="Arial" w:hAnsi="Arial"/>
                <w:sz w:val="18"/>
                <w:szCs w:val="18"/>
                <w:color w:val="auto"/>
                <w:w w:val="99"/>
              </w:rPr>
              <w:t>17</w:t>
            </w:r>
          </w:p>
        </w:tc>
      </w:tr>
      <w:tr>
        <w:trPr>
          <w:trHeight w:val="217"/>
        </w:trPr>
        <w:tc>
          <w:tcPr>
            <w:tcW w:w="20" w:type="dxa"/>
            <w:vAlign w:val="bottom"/>
          </w:tcPr>
          <w:p>
            <w:pPr>
              <w:spacing w:after="0"/>
              <w:rPr>
                <w:sz w:val="18"/>
                <w:szCs w:val="18"/>
                <w:color w:val="auto"/>
              </w:rPr>
            </w:pPr>
          </w:p>
        </w:tc>
        <w:tc>
          <w:tcPr>
            <w:tcW w:w="7040" w:type="dxa"/>
            <w:vAlign w:val="bottom"/>
            <w:gridSpan w:val="4"/>
          </w:tcPr>
          <w:p>
            <w:pPr>
              <w:ind w:left="60"/>
              <w:spacing w:after="0"/>
              <w:rPr>
                <w:sz w:val="20"/>
                <w:szCs w:val="20"/>
                <w:color w:val="auto"/>
              </w:rPr>
            </w:pPr>
            <w:r>
              <w:rPr>
                <w:rFonts w:ascii="Arial" w:cs="Arial" w:eastAsia="Arial" w:hAnsi="Arial"/>
                <w:sz w:val="18"/>
                <w:szCs w:val="18"/>
                <w:color w:val="auto"/>
              </w:rPr>
              <w:t>2. Approval of an advisory resolution on named executive officer compensation</w:t>
            </w:r>
          </w:p>
        </w:tc>
        <w:tc>
          <w:tcPr>
            <w:tcW w:w="1040" w:type="dxa"/>
            <w:vAlign w:val="bottom"/>
          </w:tcPr>
          <w:p>
            <w:pPr>
              <w:spacing w:after="0"/>
              <w:rPr>
                <w:sz w:val="18"/>
                <w:szCs w:val="18"/>
                <w:color w:val="auto"/>
              </w:rPr>
            </w:pPr>
          </w:p>
        </w:tc>
        <w:tc>
          <w:tcPr>
            <w:tcW w:w="2180" w:type="dxa"/>
            <w:vAlign w:val="bottom"/>
          </w:tcPr>
          <w:p>
            <w:pPr>
              <w:jc w:val="center"/>
              <w:ind w:right="1155"/>
              <w:spacing w:after="0"/>
              <w:rPr>
                <w:sz w:val="20"/>
                <w:szCs w:val="20"/>
                <w:color w:val="auto"/>
              </w:rPr>
            </w:pPr>
            <w:r>
              <w:rPr>
                <w:rFonts w:ascii="Arial" w:cs="Arial" w:eastAsia="Arial" w:hAnsi="Arial"/>
                <w:sz w:val="18"/>
                <w:szCs w:val="18"/>
                <w:color w:val="auto"/>
                <w:w w:val="99"/>
              </w:rPr>
              <w:t>FOR</w:t>
            </w: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23</w:t>
            </w:r>
          </w:p>
        </w:tc>
      </w:tr>
      <w:tr>
        <w:trPr>
          <w:trHeight w:val="26"/>
        </w:trPr>
        <w:tc>
          <w:tcPr>
            <w:tcW w:w="20" w:type="dxa"/>
            <w:vAlign w:val="bottom"/>
          </w:tcPr>
          <w:p>
            <w:pPr>
              <w:spacing w:after="0"/>
              <w:rPr>
                <w:sz w:val="2"/>
                <w:szCs w:val="2"/>
                <w:color w:val="auto"/>
              </w:rPr>
            </w:pPr>
          </w:p>
        </w:tc>
        <w:tc>
          <w:tcPr>
            <w:tcW w:w="7040" w:type="dxa"/>
            <w:vAlign w:val="bottom"/>
            <w:gridSpan w:val="4"/>
          </w:tcPr>
          <w:p>
            <w:pPr>
              <w:spacing w:after="0"/>
              <w:rPr>
                <w:sz w:val="2"/>
                <w:szCs w:val="2"/>
                <w:color w:val="auto"/>
              </w:rPr>
            </w:pPr>
          </w:p>
        </w:tc>
        <w:tc>
          <w:tcPr>
            <w:tcW w:w="10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02"/>
        </w:trPr>
        <w:tc>
          <w:tcPr>
            <w:tcW w:w="20" w:type="dxa"/>
            <w:vAlign w:val="bottom"/>
          </w:tcPr>
          <w:p>
            <w:pPr>
              <w:spacing w:after="0"/>
              <w:rPr>
                <w:sz w:val="17"/>
                <w:szCs w:val="17"/>
                <w:color w:val="auto"/>
              </w:rPr>
            </w:pPr>
          </w:p>
        </w:tc>
        <w:tc>
          <w:tcPr>
            <w:tcW w:w="7040" w:type="dxa"/>
            <w:vAlign w:val="bottom"/>
            <w:gridSpan w:val="4"/>
            <w:shd w:val="clear" w:color="auto" w:fill="E5EAF5"/>
          </w:tcPr>
          <w:p>
            <w:pPr>
              <w:ind w:left="60"/>
              <w:spacing w:after="0" w:line="201" w:lineRule="exact"/>
              <w:rPr>
                <w:sz w:val="20"/>
                <w:szCs w:val="20"/>
                <w:color w:val="auto"/>
              </w:rPr>
            </w:pPr>
            <w:r>
              <w:rPr>
                <w:rFonts w:ascii="Arial" w:cs="Arial" w:eastAsia="Arial" w:hAnsi="Arial"/>
                <w:sz w:val="18"/>
                <w:szCs w:val="18"/>
                <w:color w:val="auto"/>
              </w:rPr>
              <w:t>3. Approval of Deloitte and Touche LLP as the independent registered public</w:t>
            </w:r>
          </w:p>
        </w:tc>
        <w:tc>
          <w:tcPr>
            <w:tcW w:w="1040" w:type="dxa"/>
            <w:vAlign w:val="bottom"/>
            <w:shd w:val="clear" w:color="auto" w:fill="E5EAF5"/>
          </w:tcPr>
          <w:p>
            <w:pPr>
              <w:spacing w:after="0"/>
              <w:rPr>
                <w:sz w:val="17"/>
                <w:szCs w:val="17"/>
                <w:color w:val="auto"/>
              </w:rPr>
            </w:pPr>
          </w:p>
        </w:tc>
        <w:tc>
          <w:tcPr>
            <w:tcW w:w="2180" w:type="dxa"/>
            <w:vAlign w:val="bottom"/>
            <w:shd w:val="clear" w:color="auto" w:fill="E5EAF5"/>
          </w:tcPr>
          <w:p>
            <w:pPr>
              <w:jc w:val="center"/>
              <w:ind w:right="1155"/>
              <w:spacing w:after="0" w:line="201" w:lineRule="exact"/>
              <w:rPr>
                <w:sz w:val="20"/>
                <w:szCs w:val="20"/>
                <w:color w:val="auto"/>
              </w:rPr>
            </w:pPr>
            <w:r>
              <w:rPr>
                <w:rFonts w:ascii="Arial" w:cs="Arial" w:eastAsia="Arial" w:hAnsi="Arial"/>
                <w:sz w:val="18"/>
                <w:szCs w:val="18"/>
                <w:color w:val="auto"/>
                <w:w w:val="99"/>
              </w:rPr>
              <w:t>FOR</w:t>
            </w:r>
          </w:p>
        </w:tc>
        <w:tc>
          <w:tcPr>
            <w:tcW w:w="760" w:type="dxa"/>
            <w:vAlign w:val="bottom"/>
            <w:shd w:val="clear" w:color="auto" w:fill="E5EAF5"/>
          </w:tcPr>
          <w:p>
            <w:pPr>
              <w:jc w:val="center"/>
              <w:spacing w:after="0" w:line="201" w:lineRule="exact"/>
              <w:rPr>
                <w:sz w:val="20"/>
                <w:szCs w:val="20"/>
                <w:color w:val="auto"/>
              </w:rPr>
            </w:pPr>
            <w:r>
              <w:rPr>
                <w:rFonts w:ascii="Arial" w:cs="Arial" w:eastAsia="Arial" w:hAnsi="Arial"/>
                <w:sz w:val="18"/>
                <w:szCs w:val="18"/>
                <w:color w:val="auto"/>
                <w:w w:val="99"/>
              </w:rPr>
              <w:t>74</w:t>
            </w:r>
          </w:p>
        </w:tc>
      </w:tr>
      <w:tr>
        <w:trPr>
          <w:trHeight w:val="224"/>
        </w:trPr>
        <w:tc>
          <w:tcPr>
            <w:tcW w:w="20" w:type="dxa"/>
            <w:vAlign w:val="bottom"/>
          </w:tcPr>
          <w:p>
            <w:pPr>
              <w:spacing w:after="0"/>
              <w:rPr>
                <w:sz w:val="19"/>
                <w:szCs w:val="19"/>
                <w:color w:val="auto"/>
              </w:rPr>
            </w:pPr>
          </w:p>
        </w:tc>
        <w:tc>
          <w:tcPr>
            <w:tcW w:w="2340" w:type="dxa"/>
            <w:vAlign w:val="bottom"/>
            <w:tcBorders>
              <w:bottom w:val="single" w:sz="8" w:color="E5EAF5"/>
            </w:tcBorders>
            <w:shd w:val="clear" w:color="auto" w:fill="E5EAF5"/>
          </w:tcPr>
          <w:p>
            <w:pPr>
              <w:ind w:left="300"/>
              <w:spacing w:after="0" w:line="203" w:lineRule="exact"/>
              <w:rPr>
                <w:sz w:val="20"/>
                <w:szCs w:val="20"/>
                <w:color w:val="auto"/>
              </w:rPr>
            </w:pPr>
            <w:r>
              <w:rPr>
                <w:rFonts w:ascii="Arial" w:cs="Arial" w:eastAsia="Arial" w:hAnsi="Arial"/>
                <w:sz w:val="18"/>
                <w:szCs w:val="18"/>
                <w:color w:val="auto"/>
              </w:rPr>
              <w:t>accounting firm for 2019</w:t>
            </w:r>
          </w:p>
        </w:tc>
        <w:tc>
          <w:tcPr>
            <w:tcW w:w="540" w:type="dxa"/>
            <w:vAlign w:val="bottom"/>
            <w:tcBorders>
              <w:bottom w:val="single" w:sz="8" w:color="E5EAF5"/>
            </w:tcBorders>
            <w:shd w:val="clear" w:color="auto" w:fill="E5EAF5"/>
          </w:tcPr>
          <w:p>
            <w:pPr>
              <w:spacing w:after="0"/>
              <w:rPr>
                <w:sz w:val="19"/>
                <w:szCs w:val="19"/>
                <w:color w:val="auto"/>
              </w:rPr>
            </w:pPr>
          </w:p>
        </w:tc>
        <w:tc>
          <w:tcPr>
            <w:tcW w:w="860" w:type="dxa"/>
            <w:vAlign w:val="bottom"/>
            <w:tcBorders>
              <w:bottom w:val="single" w:sz="8" w:color="E5EAF5"/>
            </w:tcBorders>
            <w:shd w:val="clear" w:color="auto" w:fill="E5EAF5"/>
          </w:tcPr>
          <w:p>
            <w:pPr>
              <w:spacing w:after="0"/>
              <w:rPr>
                <w:sz w:val="19"/>
                <w:szCs w:val="19"/>
                <w:color w:val="auto"/>
              </w:rPr>
            </w:pPr>
          </w:p>
        </w:tc>
        <w:tc>
          <w:tcPr>
            <w:tcW w:w="3300" w:type="dxa"/>
            <w:vAlign w:val="bottom"/>
            <w:tcBorders>
              <w:bottom w:val="single" w:sz="8" w:color="E5EAF5"/>
            </w:tcBorders>
            <w:shd w:val="clear" w:color="auto" w:fill="E5EAF5"/>
          </w:tcPr>
          <w:p>
            <w:pPr>
              <w:spacing w:after="0"/>
              <w:rPr>
                <w:sz w:val="19"/>
                <w:szCs w:val="19"/>
                <w:color w:val="auto"/>
              </w:rPr>
            </w:pPr>
          </w:p>
        </w:tc>
        <w:tc>
          <w:tcPr>
            <w:tcW w:w="1040" w:type="dxa"/>
            <w:vAlign w:val="bottom"/>
            <w:tcBorders>
              <w:bottom w:val="single" w:sz="8" w:color="E5EAF5"/>
            </w:tcBorders>
            <w:shd w:val="clear" w:color="auto" w:fill="E5EAF5"/>
          </w:tcPr>
          <w:p>
            <w:pPr>
              <w:spacing w:after="0"/>
              <w:rPr>
                <w:sz w:val="19"/>
                <w:szCs w:val="19"/>
                <w:color w:val="auto"/>
              </w:rPr>
            </w:pPr>
          </w:p>
        </w:tc>
        <w:tc>
          <w:tcPr>
            <w:tcW w:w="2180" w:type="dxa"/>
            <w:vAlign w:val="bottom"/>
            <w:tcBorders>
              <w:bottom w:val="single" w:sz="8" w:color="E5EAF5"/>
            </w:tcBorders>
            <w:shd w:val="clear" w:color="auto" w:fill="E5EAF5"/>
          </w:tcPr>
          <w:p>
            <w:pPr>
              <w:spacing w:after="0"/>
              <w:rPr>
                <w:sz w:val="19"/>
                <w:szCs w:val="19"/>
                <w:color w:val="auto"/>
              </w:rPr>
            </w:pPr>
          </w:p>
        </w:tc>
        <w:tc>
          <w:tcPr>
            <w:tcW w:w="760" w:type="dxa"/>
            <w:vAlign w:val="bottom"/>
            <w:tcBorders>
              <w:bottom w:val="single" w:sz="8" w:color="E5EAF5"/>
            </w:tcBorders>
            <w:shd w:val="clear" w:color="auto" w:fill="E5EAF5"/>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340" w:type="dxa"/>
            <w:vAlign w:val="bottom"/>
            <w:tcBorders>
              <w:bottom w:val="single" w:sz="8" w:color="0033A0"/>
            </w:tcBorders>
          </w:tcPr>
          <w:p>
            <w:pPr>
              <w:spacing w:after="0" w:line="20" w:lineRule="exact"/>
              <w:rPr>
                <w:sz w:val="1"/>
                <w:szCs w:val="1"/>
                <w:color w:val="auto"/>
              </w:rPr>
            </w:pPr>
          </w:p>
        </w:tc>
        <w:tc>
          <w:tcPr>
            <w:tcW w:w="540" w:type="dxa"/>
            <w:vAlign w:val="bottom"/>
            <w:tcBorders>
              <w:bottom w:val="single" w:sz="8" w:color="0033A0"/>
            </w:tcBorders>
          </w:tcPr>
          <w:p>
            <w:pPr>
              <w:spacing w:after="0" w:line="20" w:lineRule="exact"/>
              <w:rPr>
                <w:sz w:val="1"/>
                <w:szCs w:val="1"/>
                <w:color w:val="auto"/>
              </w:rPr>
            </w:pPr>
          </w:p>
        </w:tc>
        <w:tc>
          <w:tcPr>
            <w:tcW w:w="860" w:type="dxa"/>
            <w:vAlign w:val="bottom"/>
            <w:tcBorders>
              <w:bottom w:val="single" w:sz="8" w:color="0033A0"/>
            </w:tcBorders>
          </w:tcPr>
          <w:p>
            <w:pPr>
              <w:spacing w:after="0" w:line="20" w:lineRule="exact"/>
              <w:rPr>
                <w:sz w:val="1"/>
                <w:szCs w:val="1"/>
                <w:color w:val="auto"/>
              </w:rPr>
            </w:pPr>
          </w:p>
        </w:tc>
        <w:tc>
          <w:tcPr>
            <w:tcW w:w="3300" w:type="dxa"/>
            <w:vAlign w:val="bottom"/>
            <w:tcBorders>
              <w:bottom w:val="single" w:sz="8" w:color="0033A0"/>
            </w:tcBorders>
          </w:tcPr>
          <w:p>
            <w:pPr>
              <w:spacing w:after="0" w:line="20" w:lineRule="exact"/>
              <w:rPr>
                <w:sz w:val="1"/>
                <w:szCs w:val="1"/>
                <w:color w:val="auto"/>
              </w:rPr>
            </w:pPr>
          </w:p>
        </w:tc>
        <w:tc>
          <w:tcPr>
            <w:tcW w:w="1040" w:type="dxa"/>
            <w:vAlign w:val="bottom"/>
            <w:tcBorders>
              <w:bottom w:val="single" w:sz="8" w:color="0033A0"/>
            </w:tcBorders>
          </w:tcPr>
          <w:p>
            <w:pPr>
              <w:spacing w:after="0" w:line="20" w:lineRule="exact"/>
              <w:rPr>
                <w:sz w:val="1"/>
                <w:szCs w:val="1"/>
                <w:color w:val="auto"/>
              </w:rPr>
            </w:pPr>
          </w:p>
        </w:tc>
        <w:tc>
          <w:tcPr>
            <w:tcW w:w="2180" w:type="dxa"/>
            <w:vAlign w:val="bottom"/>
            <w:tcBorders>
              <w:bottom w:val="single" w:sz="8" w:color="0033A0"/>
            </w:tcBorders>
          </w:tcPr>
          <w:p>
            <w:pPr>
              <w:spacing w:after="0" w:line="20" w:lineRule="exact"/>
              <w:rPr>
                <w:sz w:val="1"/>
                <w:szCs w:val="1"/>
                <w:color w:val="auto"/>
              </w:rPr>
            </w:pPr>
          </w:p>
        </w:tc>
        <w:tc>
          <w:tcPr>
            <w:tcW w:w="760" w:type="dxa"/>
            <w:vAlign w:val="bottom"/>
            <w:tcBorders>
              <w:bottom w:val="single" w:sz="8" w:color="0033A0"/>
            </w:tcBorders>
          </w:tcPr>
          <w:p>
            <w:pPr>
              <w:spacing w:after="0" w:line="20" w:lineRule="exact"/>
              <w:rPr>
                <w:sz w:val="1"/>
                <w:szCs w:val="1"/>
                <w:color w:val="auto"/>
              </w:rPr>
            </w:pPr>
          </w:p>
        </w:tc>
      </w:tr>
      <w:tr>
        <w:trPr>
          <w:trHeight w:val="509"/>
        </w:trPr>
        <w:tc>
          <w:tcPr>
            <w:tcW w:w="2360" w:type="dxa"/>
            <w:vAlign w:val="bottom"/>
            <w:gridSpan w:val="2"/>
          </w:tcPr>
          <w:p>
            <w:pPr>
              <w:spacing w:after="0"/>
              <w:rPr>
                <w:sz w:val="20"/>
                <w:szCs w:val="20"/>
                <w:color w:val="auto"/>
              </w:rPr>
            </w:pPr>
            <w:r>
              <w:rPr>
                <w:rFonts w:ascii="Arial" w:cs="Arial" w:eastAsia="Arial" w:hAnsi="Arial"/>
                <w:sz w:val="25"/>
                <w:szCs w:val="25"/>
                <w:b w:val="1"/>
                <w:bCs w:val="1"/>
                <w:color w:val="auto"/>
              </w:rPr>
              <w:t>Board Nominees</w:t>
            </w: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59"/>
        </w:trPr>
        <w:tc>
          <w:tcPr>
            <w:tcW w:w="20" w:type="dxa"/>
            <w:vAlign w:val="bottom"/>
          </w:tcPr>
          <w:p>
            <w:pPr>
              <w:spacing w:after="0"/>
              <w:rPr>
                <w:sz w:val="5"/>
                <w:szCs w:val="5"/>
                <w:color w:val="auto"/>
              </w:rPr>
            </w:pPr>
          </w:p>
        </w:tc>
        <w:tc>
          <w:tcPr>
            <w:tcW w:w="2340" w:type="dxa"/>
            <w:vAlign w:val="bottom"/>
            <w:tcBorders>
              <w:bottom w:val="single" w:sz="8" w:color="0033A0"/>
            </w:tcBorders>
          </w:tcPr>
          <w:p>
            <w:pPr>
              <w:spacing w:after="0"/>
              <w:rPr>
                <w:sz w:val="5"/>
                <w:szCs w:val="5"/>
                <w:color w:val="auto"/>
              </w:rPr>
            </w:pPr>
          </w:p>
        </w:tc>
        <w:tc>
          <w:tcPr>
            <w:tcW w:w="540" w:type="dxa"/>
            <w:vAlign w:val="bottom"/>
            <w:tcBorders>
              <w:bottom w:val="single" w:sz="8" w:color="0033A0"/>
            </w:tcBorders>
          </w:tcPr>
          <w:p>
            <w:pPr>
              <w:spacing w:after="0"/>
              <w:rPr>
                <w:sz w:val="5"/>
                <w:szCs w:val="5"/>
                <w:color w:val="auto"/>
              </w:rPr>
            </w:pPr>
          </w:p>
        </w:tc>
        <w:tc>
          <w:tcPr>
            <w:tcW w:w="860" w:type="dxa"/>
            <w:vAlign w:val="bottom"/>
            <w:tcBorders>
              <w:bottom w:val="single" w:sz="8" w:color="0033A0"/>
            </w:tcBorders>
          </w:tcPr>
          <w:p>
            <w:pPr>
              <w:spacing w:after="0"/>
              <w:rPr>
                <w:sz w:val="5"/>
                <w:szCs w:val="5"/>
                <w:color w:val="auto"/>
              </w:rPr>
            </w:pPr>
          </w:p>
        </w:tc>
        <w:tc>
          <w:tcPr>
            <w:tcW w:w="3300" w:type="dxa"/>
            <w:vAlign w:val="bottom"/>
            <w:tcBorders>
              <w:bottom w:val="single" w:sz="8" w:color="0033A0"/>
            </w:tcBorders>
          </w:tcPr>
          <w:p>
            <w:pPr>
              <w:spacing w:after="0"/>
              <w:rPr>
                <w:sz w:val="5"/>
                <w:szCs w:val="5"/>
                <w:color w:val="auto"/>
              </w:rPr>
            </w:pPr>
          </w:p>
        </w:tc>
        <w:tc>
          <w:tcPr>
            <w:tcW w:w="1040" w:type="dxa"/>
            <w:vAlign w:val="bottom"/>
            <w:tcBorders>
              <w:bottom w:val="single" w:sz="8" w:color="0033A0"/>
            </w:tcBorders>
          </w:tcPr>
          <w:p>
            <w:pPr>
              <w:spacing w:after="0"/>
              <w:rPr>
                <w:sz w:val="5"/>
                <w:szCs w:val="5"/>
                <w:color w:val="auto"/>
              </w:rPr>
            </w:pPr>
          </w:p>
        </w:tc>
        <w:tc>
          <w:tcPr>
            <w:tcW w:w="2180" w:type="dxa"/>
            <w:vAlign w:val="bottom"/>
            <w:tcBorders>
              <w:bottom w:val="single" w:sz="8" w:color="0033A0"/>
            </w:tcBorders>
          </w:tcPr>
          <w:p>
            <w:pPr>
              <w:spacing w:after="0"/>
              <w:rPr>
                <w:sz w:val="5"/>
                <w:szCs w:val="5"/>
                <w:color w:val="auto"/>
              </w:rPr>
            </w:pPr>
          </w:p>
        </w:tc>
        <w:tc>
          <w:tcPr>
            <w:tcW w:w="760" w:type="dxa"/>
            <w:vAlign w:val="bottom"/>
            <w:tcBorders>
              <w:bottom w:val="single" w:sz="8" w:color="0033A0"/>
            </w:tcBorders>
          </w:tcPr>
          <w:p>
            <w:pPr>
              <w:spacing w:after="0"/>
              <w:rPr>
                <w:sz w:val="5"/>
                <w:szCs w:val="5"/>
                <w:color w:val="auto"/>
              </w:rPr>
            </w:pPr>
          </w:p>
        </w:tc>
      </w:tr>
      <w:tr>
        <w:trPr>
          <w:trHeight w:val="426"/>
        </w:trPr>
        <w:tc>
          <w:tcPr>
            <w:tcW w:w="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0033A0"/>
              </w:rPr>
              <w:t>Director</w:t>
            </w:r>
          </w:p>
        </w:tc>
        <w:tc>
          <w:tcPr>
            <w:tcW w:w="3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5"/>
        </w:trPr>
        <w:tc>
          <w:tcPr>
            <w:tcW w:w="20" w:type="dxa"/>
            <w:vAlign w:val="bottom"/>
          </w:tcPr>
          <w:p>
            <w:pPr>
              <w:spacing w:after="0"/>
              <w:rPr>
                <w:sz w:val="15"/>
                <w:szCs w:val="15"/>
                <w:color w:val="auto"/>
              </w:rPr>
            </w:pPr>
          </w:p>
        </w:tc>
        <w:tc>
          <w:tcPr>
            <w:tcW w:w="2340" w:type="dxa"/>
            <w:vAlign w:val="bottom"/>
            <w:tcBorders>
              <w:bottom w:val="single" w:sz="8" w:color="0033A0"/>
            </w:tcBorders>
          </w:tcPr>
          <w:p>
            <w:pPr>
              <w:ind w:left="60"/>
              <w:spacing w:after="0"/>
              <w:rPr>
                <w:sz w:val="20"/>
                <w:szCs w:val="20"/>
                <w:color w:val="auto"/>
              </w:rPr>
            </w:pPr>
            <w:r>
              <w:rPr>
                <w:rFonts w:ascii="Arial" w:cs="Arial" w:eastAsia="Arial" w:hAnsi="Arial"/>
                <w:sz w:val="14"/>
                <w:szCs w:val="14"/>
                <w:b w:val="1"/>
                <w:bCs w:val="1"/>
                <w:color w:val="0033A0"/>
              </w:rPr>
              <w:t>Name</w:t>
            </w:r>
          </w:p>
        </w:tc>
        <w:tc>
          <w:tcPr>
            <w:tcW w:w="540" w:type="dxa"/>
            <w:vAlign w:val="bottom"/>
            <w:tcBorders>
              <w:bottom w:val="single" w:sz="8" w:color="0033A0"/>
            </w:tcBorders>
          </w:tcPr>
          <w:p>
            <w:pPr>
              <w:jc w:val="center"/>
              <w:spacing w:after="0"/>
              <w:rPr>
                <w:sz w:val="20"/>
                <w:szCs w:val="20"/>
                <w:color w:val="auto"/>
              </w:rPr>
            </w:pPr>
            <w:r>
              <w:rPr>
                <w:rFonts w:ascii="Arial" w:cs="Arial" w:eastAsia="Arial" w:hAnsi="Arial"/>
                <w:sz w:val="14"/>
                <w:szCs w:val="14"/>
                <w:b w:val="1"/>
                <w:bCs w:val="1"/>
                <w:color w:val="0033A0"/>
              </w:rPr>
              <w:t>Age</w:t>
            </w:r>
          </w:p>
        </w:tc>
        <w:tc>
          <w:tcPr>
            <w:tcW w:w="860" w:type="dxa"/>
            <w:vAlign w:val="bottom"/>
            <w:tcBorders>
              <w:bottom w:val="single" w:sz="8" w:color="0033A0"/>
            </w:tcBorders>
          </w:tcPr>
          <w:p>
            <w:pPr>
              <w:jc w:val="center"/>
              <w:spacing w:after="0"/>
              <w:rPr>
                <w:sz w:val="20"/>
                <w:szCs w:val="20"/>
                <w:color w:val="auto"/>
              </w:rPr>
            </w:pPr>
            <w:r>
              <w:rPr>
                <w:rFonts w:ascii="Arial" w:cs="Arial" w:eastAsia="Arial" w:hAnsi="Arial"/>
                <w:sz w:val="14"/>
                <w:szCs w:val="14"/>
                <w:b w:val="1"/>
                <w:bCs w:val="1"/>
                <w:color w:val="0033A0"/>
              </w:rPr>
              <w:t>Since</w:t>
            </w:r>
          </w:p>
        </w:tc>
        <w:tc>
          <w:tcPr>
            <w:tcW w:w="3300" w:type="dxa"/>
            <w:vAlign w:val="bottom"/>
            <w:tcBorders>
              <w:bottom w:val="single" w:sz="8" w:color="0033A0"/>
            </w:tcBorders>
          </w:tcPr>
          <w:p>
            <w:pPr>
              <w:ind w:left="940"/>
              <w:spacing w:after="0"/>
              <w:rPr>
                <w:sz w:val="20"/>
                <w:szCs w:val="20"/>
                <w:color w:val="auto"/>
              </w:rPr>
            </w:pPr>
            <w:r>
              <w:rPr>
                <w:rFonts w:ascii="Arial" w:cs="Arial" w:eastAsia="Arial" w:hAnsi="Arial"/>
                <w:sz w:val="14"/>
                <w:szCs w:val="14"/>
                <w:b w:val="1"/>
                <w:bCs w:val="1"/>
                <w:color w:val="0033A0"/>
              </w:rPr>
              <w:t>Principal Occupation</w:t>
            </w:r>
          </w:p>
        </w:tc>
        <w:tc>
          <w:tcPr>
            <w:tcW w:w="1040" w:type="dxa"/>
            <w:vAlign w:val="bottom"/>
            <w:tcBorders>
              <w:bottom w:val="single" w:sz="8" w:color="0033A0"/>
            </w:tcBorders>
          </w:tcPr>
          <w:p>
            <w:pPr>
              <w:jc w:val="center"/>
              <w:ind w:left="57"/>
              <w:spacing w:after="0"/>
              <w:rPr>
                <w:sz w:val="20"/>
                <w:szCs w:val="20"/>
                <w:color w:val="auto"/>
              </w:rPr>
            </w:pPr>
            <w:r>
              <w:rPr>
                <w:rFonts w:ascii="Arial" w:cs="Arial" w:eastAsia="Arial" w:hAnsi="Arial"/>
                <w:sz w:val="14"/>
                <w:szCs w:val="14"/>
                <w:b w:val="1"/>
                <w:bCs w:val="1"/>
                <w:color w:val="0033A0"/>
              </w:rPr>
              <w:t>Independent</w:t>
            </w:r>
          </w:p>
        </w:tc>
        <w:tc>
          <w:tcPr>
            <w:tcW w:w="2940" w:type="dxa"/>
            <w:vAlign w:val="bottom"/>
            <w:tcBorders>
              <w:bottom w:val="single" w:sz="8" w:color="0033A0"/>
            </w:tcBorders>
            <w:gridSpan w:val="2"/>
          </w:tcPr>
          <w:p>
            <w:pPr>
              <w:ind w:left="700"/>
              <w:spacing w:after="0"/>
              <w:rPr>
                <w:sz w:val="20"/>
                <w:szCs w:val="20"/>
                <w:color w:val="auto"/>
              </w:rPr>
            </w:pPr>
            <w:r>
              <w:rPr>
                <w:rFonts w:ascii="Arial" w:cs="Arial" w:eastAsia="Arial" w:hAnsi="Arial"/>
                <w:sz w:val="14"/>
                <w:szCs w:val="14"/>
                <w:b w:val="1"/>
                <w:bCs w:val="1"/>
                <w:color w:val="0033A0"/>
              </w:rPr>
              <w:t>Committee Memberships</w:t>
            </w:r>
          </w:p>
        </w:tc>
      </w:tr>
      <w:tr>
        <w:trPr>
          <w:trHeight w:val="75"/>
        </w:trPr>
        <w:tc>
          <w:tcPr>
            <w:tcW w:w="20" w:type="dxa"/>
            <w:vAlign w:val="bottom"/>
          </w:tcPr>
          <w:p>
            <w:pPr>
              <w:spacing w:after="0"/>
              <w:rPr>
                <w:sz w:val="6"/>
                <w:szCs w:val="6"/>
                <w:color w:val="auto"/>
              </w:rPr>
            </w:pPr>
          </w:p>
        </w:tc>
        <w:tc>
          <w:tcPr>
            <w:tcW w:w="2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60" w:type="dxa"/>
            <w:vAlign w:val="bottom"/>
          </w:tcPr>
          <w:p>
            <w:pPr>
              <w:spacing w:after="0"/>
              <w:rPr>
                <w:sz w:val="6"/>
                <w:szCs w:val="6"/>
                <w:color w:val="auto"/>
              </w:rPr>
            </w:pPr>
          </w:p>
        </w:tc>
        <w:tc>
          <w:tcPr>
            <w:tcW w:w="33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180" w:type="dxa"/>
            <w:vAlign w:val="bottom"/>
          </w:tcPr>
          <w:p>
            <w:pPr>
              <w:spacing w:after="0"/>
              <w:rPr>
                <w:sz w:val="6"/>
                <w:szCs w:val="6"/>
                <w:color w:val="auto"/>
              </w:rPr>
            </w:pPr>
          </w:p>
        </w:tc>
        <w:tc>
          <w:tcPr>
            <w:tcW w:w="760" w:type="dxa"/>
            <w:vAlign w:val="bottom"/>
          </w:tcPr>
          <w:p>
            <w:pPr>
              <w:spacing w:after="0"/>
              <w:rPr>
                <w:sz w:val="6"/>
                <w:szCs w:val="6"/>
                <w:color w:val="auto"/>
              </w:rPr>
            </w:pPr>
          </w:p>
        </w:tc>
      </w:tr>
      <w:tr>
        <w:trPr>
          <w:trHeight w:val="183"/>
        </w:trPr>
        <w:tc>
          <w:tcPr>
            <w:tcW w:w="20" w:type="dxa"/>
            <w:vAlign w:val="bottom"/>
          </w:tcPr>
          <w:p>
            <w:pPr>
              <w:spacing w:after="0"/>
              <w:rPr>
                <w:sz w:val="15"/>
                <w:szCs w:val="15"/>
                <w:color w:val="auto"/>
              </w:rPr>
            </w:pPr>
          </w:p>
        </w:tc>
        <w:tc>
          <w:tcPr>
            <w:tcW w:w="2340" w:type="dxa"/>
            <w:vAlign w:val="bottom"/>
            <w:shd w:val="clear" w:color="auto" w:fill="CCEEFF"/>
          </w:tcPr>
          <w:p>
            <w:pPr>
              <w:ind w:left="60"/>
              <w:spacing w:after="0" w:line="183" w:lineRule="exact"/>
              <w:rPr>
                <w:sz w:val="20"/>
                <w:szCs w:val="20"/>
                <w:color w:val="auto"/>
              </w:rPr>
            </w:pPr>
            <w:r>
              <w:rPr>
                <w:rFonts w:ascii="Arial" w:cs="Arial" w:eastAsia="Arial" w:hAnsi="Arial"/>
                <w:sz w:val="17"/>
                <w:szCs w:val="17"/>
                <w:color w:val="auto"/>
              </w:rPr>
              <w:t>Paul G. Boynton</w:t>
            </w:r>
          </w:p>
        </w:tc>
        <w:tc>
          <w:tcPr>
            <w:tcW w:w="540" w:type="dxa"/>
            <w:vAlign w:val="bottom"/>
            <w:shd w:val="clear" w:color="auto" w:fill="CCEEFF"/>
          </w:tcPr>
          <w:p>
            <w:pPr>
              <w:jc w:val="center"/>
              <w:spacing w:after="0" w:line="183" w:lineRule="exact"/>
              <w:rPr>
                <w:sz w:val="20"/>
                <w:szCs w:val="20"/>
                <w:color w:val="auto"/>
              </w:rPr>
            </w:pPr>
            <w:r>
              <w:rPr>
                <w:rFonts w:ascii="Arial" w:cs="Arial" w:eastAsia="Arial" w:hAnsi="Arial"/>
                <w:sz w:val="17"/>
                <w:szCs w:val="17"/>
                <w:color w:val="auto"/>
              </w:rPr>
              <w:t>54</w:t>
            </w:r>
          </w:p>
        </w:tc>
        <w:tc>
          <w:tcPr>
            <w:tcW w:w="860" w:type="dxa"/>
            <w:vAlign w:val="bottom"/>
            <w:shd w:val="clear" w:color="auto" w:fill="CCEEFF"/>
          </w:tcPr>
          <w:p>
            <w:pPr>
              <w:jc w:val="center"/>
              <w:spacing w:after="0" w:line="183" w:lineRule="exact"/>
              <w:rPr>
                <w:sz w:val="20"/>
                <w:szCs w:val="20"/>
                <w:color w:val="auto"/>
              </w:rPr>
            </w:pPr>
            <w:r>
              <w:rPr>
                <w:rFonts w:ascii="Arial" w:cs="Arial" w:eastAsia="Arial" w:hAnsi="Arial"/>
                <w:sz w:val="17"/>
                <w:szCs w:val="17"/>
                <w:color w:val="auto"/>
              </w:rPr>
              <w:t>2010</w:t>
            </w:r>
          </w:p>
        </w:tc>
        <w:tc>
          <w:tcPr>
            <w:tcW w:w="3300" w:type="dxa"/>
            <w:vAlign w:val="bottom"/>
            <w:shd w:val="clear" w:color="auto" w:fill="CCEEFF"/>
          </w:tcPr>
          <w:p>
            <w:pPr>
              <w:ind w:left="160"/>
              <w:spacing w:after="0" w:line="183" w:lineRule="exact"/>
              <w:rPr>
                <w:sz w:val="20"/>
                <w:szCs w:val="20"/>
                <w:color w:val="auto"/>
              </w:rPr>
            </w:pPr>
            <w:r>
              <w:rPr>
                <w:rFonts w:ascii="Arial" w:cs="Arial" w:eastAsia="Arial" w:hAnsi="Arial"/>
                <w:sz w:val="17"/>
                <w:szCs w:val="17"/>
                <w:color w:val="auto"/>
              </w:rPr>
              <w:t>Chairman, President and Chief</w:t>
            </w:r>
          </w:p>
        </w:tc>
        <w:tc>
          <w:tcPr>
            <w:tcW w:w="1040" w:type="dxa"/>
            <w:vAlign w:val="bottom"/>
            <w:shd w:val="clear" w:color="auto" w:fill="CCEEFF"/>
          </w:tcPr>
          <w:p>
            <w:pPr>
              <w:jc w:val="center"/>
              <w:ind w:left="37"/>
              <w:spacing w:after="0" w:line="183" w:lineRule="exact"/>
              <w:rPr>
                <w:sz w:val="20"/>
                <w:szCs w:val="20"/>
                <w:color w:val="auto"/>
              </w:rPr>
            </w:pPr>
            <w:r>
              <w:rPr>
                <w:rFonts w:ascii="Arial" w:cs="Arial" w:eastAsia="Arial" w:hAnsi="Arial"/>
                <w:sz w:val="17"/>
                <w:szCs w:val="17"/>
                <w:color w:val="auto"/>
                <w:w w:val="95"/>
              </w:rPr>
              <w:t>Yes</w:t>
            </w:r>
          </w:p>
        </w:tc>
        <w:tc>
          <w:tcPr>
            <w:tcW w:w="2180" w:type="dxa"/>
            <w:vAlign w:val="bottom"/>
            <w:shd w:val="clear" w:color="auto" w:fill="CCEEFF"/>
          </w:tcPr>
          <w:p>
            <w:pPr>
              <w:ind w:left="200"/>
              <w:spacing w:after="0" w:line="183" w:lineRule="exact"/>
              <w:rPr>
                <w:sz w:val="20"/>
                <w:szCs w:val="20"/>
                <w:color w:val="auto"/>
              </w:rPr>
            </w:pPr>
            <w:r>
              <w:rPr>
                <w:rFonts w:ascii="Arial" w:cs="Arial" w:eastAsia="Arial" w:hAnsi="Arial"/>
                <w:sz w:val="17"/>
                <w:szCs w:val="17"/>
                <w:color w:val="0033A0"/>
              </w:rPr>
              <w:t xml:space="preserve">• </w:t>
            </w:r>
            <w:r>
              <w:rPr>
                <w:rFonts w:ascii="Arial" w:cs="Arial" w:eastAsia="Arial" w:hAnsi="Arial"/>
                <w:sz w:val="17"/>
                <w:szCs w:val="17"/>
                <w:color w:val="000000"/>
              </w:rPr>
              <w:t>Audit and Ethics</w:t>
            </w:r>
          </w:p>
        </w:tc>
        <w:tc>
          <w:tcPr>
            <w:tcW w:w="760" w:type="dxa"/>
            <w:vAlign w:val="bottom"/>
            <w:shd w:val="clear" w:color="auto" w:fill="CCEEFF"/>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23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300" w:type="dxa"/>
            <w:vAlign w:val="bottom"/>
            <w:shd w:val="clear" w:color="auto" w:fill="CCEEFF"/>
          </w:tcPr>
          <w:p>
            <w:pPr>
              <w:ind w:left="160"/>
              <w:spacing w:after="0" w:line="189" w:lineRule="exact"/>
              <w:rPr>
                <w:sz w:val="20"/>
                <w:szCs w:val="20"/>
                <w:color w:val="auto"/>
              </w:rPr>
            </w:pPr>
            <w:r>
              <w:rPr>
                <w:rFonts w:ascii="Arial" w:cs="Arial" w:eastAsia="Arial" w:hAnsi="Arial"/>
                <w:sz w:val="17"/>
                <w:szCs w:val="17"/>
                <w:color w:val="auto"/>
              </w:rPr>
              <w:t>Executive Officer, Rayonier Advanced</w:t>
            </w:r>
          </w:p>
        </w:tc>
        <w:tc>
          <w:tcPr>
            <w:tcW w:w="1040" w:type="dxa"/>
            <w:vAlign w:val="bottom"/>
            <w:shd w:val="clear" w:color="auto" w:fill="CCEEFF"/>
          </w:tcPr>
          <w:p>
            <w:pPr>
              <w:spacing w:after="0"/>
              <w:rPr>
                <w:sz w:val="16"/>
                <w:szCs w:val="16"/>
                <w:color w:val="auto"/>
              </w:rPr>
            </w:pPr>
          </w:p>
        </w:tc>
        <w:tc>
          <w:tcPr>
            <w:tcW w:w="2940" w:type="dxa"/>
            <w:vAlign w:val="bottom"/>
            <w:gridSpan w:val="2"/>
            <w:shd w:val="clear" w:color="auto" w:fill="CCEEFF"/>
          </w:tcPr>
          <w:p>
            <w:pPr>
              <w:ind w:left="200"/>
              <w:spacing w:after="0" w:line="189" w:lineRule="exact"/>
              <w:rPr>
                <w:sz w:val="20"/>
                <w:szCs w:val="20"/>
                <w:color w:val="auto"/>
              </w:rPr>
            </w:pPr>
            <w:r>
              <w:rPr>
                <w:rFonts w:ascii="Arial" w:cs="Arial" w:eastAsia="Arial" w:hAnsi="Arial"/>
                <w:sz w:val="17"/>
                <w:szCs w:val="17"/>
                <w:color w:val="0033A0"/>
              </w:rPr>
              <w:t xml:space="preserve">• </w:t>
            </w:r>
            <w:r>
              <w:rPr>
                <w:rFonts w:ascii="Arial" w:cs="Arial" w:eastAsia="Arial" w:hAnsi="Arial"/>
                <w:sz w:val="17"/>
                <w:szCs w:val="17"/>
                <w:color w:val="000000"/>
              </w:rPr>
              <w:t>Finance and Strategy (Chair)</w:t>
            </w:r>
          </w:p>
        </w:tc>
      </w:tr>
      <w:tr>
        <w:trPr>
          <w:trHeight w:val="195"/>
        </w:trPr>
        <w:tc>
          <w:tcPr>
            <w:tcW w:w="20" w:type="dxa"/>
            <w:vAlign w:val="bottom"/>
          </w:tcPr>
          <w:p>
            <w:pPr>
              <w:spacing w:after="0"/>
              <w:rPr>
                <w:sz w:val="16"/>
                <w:szCs w:val="16"/>
                <w:color w:val="auto"/>
              </w:rPr>
            </w:pPr>
          </w:p>
        </w:tc>
        <w:tc>
          <w:tcPr>
            <w:tcW w:w="23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3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Materials Inc.</w:t>
            </w:r>
          </w:p>
        </w:tc>
        <w:tc>
          <w:tcPr>
            <w:tcW w:w="1040" w:type="dxa"/>
            <w:vAlign w:val="bottom"/>
            <w:shd w:val="clear" w:color="auto" w:fill="CCEEFF"/>
          </w:tcPr>
          <w:p>
            <w:pPr>
              <w:spacing w:after="0"/>
              <w:rPr>
                <w:sz w:val="16"/>
                <w:szCs w:val="16"/>
                <w:color w:val="auto"/>
              </w:rPr>
            </w:pPr>
          </w:p>
        </w:tc>
        <w:tc>
          <w:tcPr>
            <w:tcW w:w="2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r>
      <w:tr>
        <w:trPr>
          <w:trHeight w:val="223"/>
        </w:trPr>
        <w:tc>
          <w:tcPr>
            <w:tcW w:w="20" w:type="dxa"/>
            <w:vAlign w:val="bottom"/>
          </w:tcPr>
          <w:p>
            <w:pPr>
              <w:spacing w:after="0"/>
              <w:rPr>
                <w:sz w:val="19"/>
                <w:szCs w:val="19"/>
                <w:color w:val="auto"/>
              </w:rPr>
            </w:pPr>
          </w:p>
        </w:tc>
        <w:tc>
          <w:tcPr>
            <w:tcW w:w="2340" w:type="dxa"/>
            <w:vAlign w:val="bottom"/>
          </w:tcPr>
          <w:p>
            <w:pPr>
              <w:ind w:left="60"/>
              <w:spacing w:after="0"/>
              <w:rPr>
                <w:sz w:val="20"/>
                <w:szCs w:val="20"/>
                <w:color w:val="auto"/>
              </w:rPr>
            </w:pPr>
            <w:r>
              <w:rPr>
                <w:rFonts w:ascii="Arial" w:cs="Arial" w:eastAsia="Arial" w:hAnsi="Arial"/>
                <w:sz w:val="17"/>
                <w:szCs w:val="17"/>
                <w:color w:val="auto"/>
              </w:rPr>
              <w:t>Ian D. Clough</w:t>
            </w:r>
          </w:p>
        </w:tc>
        <w:tc>
          <w:tcPr>
            <w:tcW w:w="540" w:type="dxa"/>
            <w:vAlign w:val="bottom"/>
          </w:tcPr>
          <w:p>
            <w:pPr>
              <w:jc w:val="center"/>
              <w:spacing w:after="0"/>
              <w:rPr>
                <w:sz w:val="20"/>
                <w:szCs w:val="20"/>
                <w:color w:val="auto"/>
              </w:rPr>
            </w:pPr>
            <w:r>
              <w:rPr>
                <w:rFonts w:ascii="Arial" w:cs="Arial" w:eastAsia="Arial" w:hAnsi="Arial"/>
                <w:sz w:val="17"/>
                <w:szCs w:val="17"/>
                <w:color w:val="auto"/>
              </w:rPr>
              <w:t>52</w:t>
            </w:r>
          </w:p>
        </w:tc>
        <w:tc>
          <w:tcPr>
            <w:tcW w:w="860" w:type="dxa"/>
            <w:vAlign w:val="bottom"/>
          </w:tcPr>
          <w:p>
            <w:pPr>
              <w:jc w:val="center"/>
              <w:spacing w:after="0"/>
              <w:rPr>
                <w:sz w:val="20"/>
                <w:szCs w:val="20"/>
                <w:color w:val="auto"/>
              </w:rPr>
            </w:pPr>
            <w:r>
              <w:rPr>
                <w:rFonts w:ascii="Arial" w:cs="Arial" w:eastAsia="Arial" w:hAnsi="Arial"/>
                <w:sz w:val="17"/>
                <w:szCs w:val="17"/>
                <w:color w:val="auto"/>
              </w:rPr>
              <w:t>2016</w:t>
            </w:r>
          </w:p>
        </w:tc>
        <w:tc>
          <w:tcPr>
            <w:tcW w:w="3300" w:type="dxa"/>
            <w:vAlign w:val="bottom"/>
          </w:tcPr>
          <w:p>
            <w:pPr>
              <w:ind w:left="160"/>
              <w:spacing w:after="0"/>
              <w:rPr>
                <w:sz w:val="20"/>
                <w:szCs w:val="20"/>
                <w:color w:val="auto"/>
              </w:rPr>
            </w:pPr>
            <w:r>
              <w:rPr>
                <w:rFonts w:ascii="Arial" w:cs="Arial" w:eastAsia="Arial" w:hAnsi="Arial"/>
                <w:sz w:val="17"/>
                <w:szCs w:val="17"/>
                <w:color w:val="auto"/>
              </w:rPr>
              <w:t>Managing Director, DHL Supply Chain</w:t>
            </w:r>
          </w:p>
        </w:tc>
        <w:tc>
          <w:tcPr>
            <w:tcW w:w="1040" w:type="dxa"/>
            <w:vAlign w:val="bottom"/>
          </w:tcPr>
          <w:p>
            <w:pPr>
              <w:jc w:val="center"/>
              <w:ind w:left="37"/>
              <w:spacing w:after="0"/>
              <w:rPr>
                <w:sz w:val="20"/>
                <w:szCs w:val="20"/>
                <w:color w:val="auto"/>
              </w:rPr>
            </w:pPr>
            <w:r>
              <w:rPr>
                <w:rFonts w:ascii="Arial" w:cs="Arial" w:eastAsia="Arial" w:hAnsi="Arial"/>
                <w:sz w:val="17"/>
                <w:szCs w:val="17"/>
                <w:color w:val="auto"/>
                <w:w w:val="95"/>
              </w:rPr>
              <w:t>Yes</w:t>
            </w:r>
          </w:p>
        </w:tc>
        <w:tc>
          <w:tcPr>
            <w:tcW w:w="2180" w:type="dxa"/>
            <w:vAlign w:val="bottom"/>
          </w:tcPr>
          <w:p>
            <w:pPr>
              <w:ind w:left="200"/>
              <w:spacing w:after="0"/>
              <w:rPr>
                <w:sz w:val="20"/>
                <w:szCs w:val="20"/>
                <w:color w:val="auto"/>
              </w:rPr>
            </w:pPr>
            <w:r>
              <w:rPr>
                <w:rFonts w:ascii="Arial" w:cs="Arial" w:eastAsia="Arial" w:hAnsi="Arial"/>
                <w:sz w:val="17"/>
                <w:szCs w:val="17"/>
                <w:color w:val="0033A0"/>
              </w:rPr>
              <w:t xml:space="preserve">• </w:t>
            </w:r>
            <w:r>
              <w:rPr>
                <w:rFonts w:ascii="Arial" w:cs="Arial" w:eastAsia="Arial" w:hAnsi="Arial"/>
                <w:sz w:val="17"/>
                <w:szCs w:val="17"/>
                <w:color w:val="000000"/>
              </w:rPr>
              <w:t>Audit and Ethics</w:t>
            </w:r>
          </w:p>
        </w:tc>
        <w:tc>
          <w:tcPr>
            <w:tcW w:w="760" w:type="dxa"/>
            <w:vAlign w:val="bottom"/>
          </w:tcPr>
          <w:p>
            <w:pPr>
              <w:spacing w:after="0"/>
              <w:rPr>
                <w:sz w:val="19"/>
                <w:szCs w:val="19"/>
                <w:color w:val="auto"/>
              </w:rPr>
            </w:pPr>
          </w:p>
        </w:tc>
      </w:tr>
      <w:tr>
        <w:trPr>
          <w:trHeight w:val="205"/>
        </w:trPr>
        <w:tc>
          <w:tcPr>
            <w:tcW w:w="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180" w:type="dxa"/>
            <w:vAlign w:val="bottom"/>
          </w:tcPr>
          <w:p>
            <w:pPr>
              <w:ind w:left="200"/>
              <w:spacing w:after="0"/>
              <w:rPr>
                <w:sz w:val="20"/>
                <w:szCs w:val="20"/>
                <w:color w:val="auto"/>
              </w:rPr>
            </w:pPr>
            <w:r>
              <w:rPr>
                <w:rFonts w:ascii="Arial" w:cs="Arial" w:eastAsia="Arial" w:hAnsi="Arial"/>
                <w:sz w:val="17"/>
                <w:szCs w:val="17"/>
                <w:color w:val="0033A0"/>
              </w:rPr>
              <w:t xml:space="preserve">• </w:t>
            </w:r>
            <w:r>
              <w:rPr>
                <w:rFonts w:ascii="Arial" w:cs="Arial" w:eastAsia="Arial" w:hAnsi="Arial"/>
                <w:sz w:val="17"/>
                <w:szCs w:val="17"/>
                <w:color w:val="000000"/>
              </w:rPr>
              <w:t>Finance and Strategy</w:t>
            </w:r>
          </w:p>
        </w:tc>
        <w:tc>
          <w:tcPr>
            <w:tcW w:w="760" w:type="dxa"/>
            <w:vAlign w:val="bottom"/>
          </w:tcPr>
          <w:p>
            <w:pPr>
              <w:spacing w:after="0"/>
              <w:rPr>
                <w:sz w:val="17"/>
                <w:szCs w:val="17"/>
                <w:color w:val="auto"/>
              </w:rPr>
            </w:pPr>
          </w:p>
        </w:tc>
      </w:tr>
      <w:tr>
        <w:trPr>
          <w:trHeight w:val="45"/>
        </w:trPr>
        <w:tc>
          <w:tcPr>
            <w:tcW w:w="20" w:type="dxa"/>
            <w:vAlign w:val="bottom"/>
          </w:tcPr>
          <w:p>
            <w:pPr>
              <w:spacing w:after="0"/>
              <w:rPr>
                <w:sz w:val="3"/>
                <w:szCs w:val="3"/>
                <w:color w:val="auto"/>
              </w:rPr>
            </w:pPr>
          </w:p>
        </w:tc>
        <w:tc>
          <w:tcPr>
            <w:tcW w:w="2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18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83"/>
        </w:trPr>
        <w:tc>
          <w:tcPr>
            <w:tcW w:w="20" w:type="dxa"/>
            <w:vAlign w:val="bottom"/>
          </w:tcPr>
          <w:p>
            <w:pPr>
              <w:spacing w:after="0"/>
              <w:rPr>
                <w:sz w:val="15"/>
                <w:szCs w:val="15"/>
                <w:color w:val="auto"/>
              </w:rPr>
            </w:pPr>
          </w:p>
        </w:tc>
        <w:tc>
          <w:tcPr>
            <w:tcW w:w="2340" w:type="dxa"/>
            <w:vAlign w:val="bottom"/>
            <w:shd w:val="clear" w:color="auto" w:fill="CCEEFF"/>
          </w:tcPr>
          <w:p>
            <w:pPr>
              <w:ind w:left="60"/>
              <w:spacing w:after="0" w:line="183" w:lineRule="exact"/>
              <w:rPr>
                <w:sz w:val="20"/>
                <w:szCs w:val="20"/>
                <w:color w:val="auto"/>
              </w:rPr>
            </w:pPr>
            <w:r>
              <w:rPr>
                <w:rFonts w:ascii="Arial" w:cs="Arial" w:eastAsia="Arial" w:hAnsi="Arial"/>
                <w:sz w:val="17"/>
                <w:szCs w:val="17"/>
                <w:color w:val="auto"/>
              </w:rPr>
              <w:t>Susan E. Docherty</w:t>
            </w:r>
          </w:p>
        </w:tc>
        <w:tc>
          <w:tcPr>
            <w:tcW w:w="540" w:type="dxa"/>
            <w:vAlign w:val="bottom"/>
            <w:shd w:val="clear" w:color="auto" w:fill="CCEEFF"/>
          </w:tcPr>
          <w:p>
            <w:pPr>
              <w:jc w:val="center"/>
              <w:spacing w:after="0" w:line="183" w:lineRule="exact"/>
              <w:rPr>
                <w:sz w:val="20"/>
                <w:szCs w:val="20"/>
                <w:color w:val="auto"/>
              </w:rPr>
            </w:pPr>
            <w:r>
              <w:rPr>
                <w:rFonts w:ascii="Arial" w:cs="Arial" w:eastAsia="Arial" w:hAnsi="Arial"/>
                <w:sz w:val="17"/>
                <w:szCs w:val="17"/>
                <w:color w:val="auto"/>
              </w:rPr>
              <w:t>56</w:t>
            </w:r>
          </w:p>
        </w:tc>
        <w:tc>
          <w:tcPr>
            <w:tcW w:w="860" w:type="dxa"/>
            <w:vAlign w:val="bottom"/>
            <w:shd w:val="clear" w:color="auto" w:fill="CCEEFF"/>
          </w:tcPr>
          <w:p>
            <w:pPr>
              <w:jc w:val="center"/>
              <w:spacing w:after="0" w:line="183" w:lineRule="exact"/>
              <w:rPr>
                <w:sz w:val="20"/>
                <w:szCs w:val="20"/>
                <w:color w:val="auto"/>
              </w:rPr>
            </w:pPr>
            <w:r>
              <w:rPr>
                <w:rFonts w:ascii="Arial" w:cs="Arial" w:eastAsia="Arial" w:hAnsi="Arial"/>
                <w:sz w:val="17"/>
                <w:szCs w:val="17"/>
                <w:color w:val="auto"/>
              </w:rPr>
              <w:t>2014</w:t>
            </w:r>
          </w:p>
        </w:tc>
        <w:tc>
          <w:tcPr>
            <w:tcW w:w="3300" w:type="dxa"/>
            <w:vAlign w:val="bottom"/>
            <w:shd w:val="clear" w:color="auto" w:fill="CCEEFF"/>
          </w:tcPr>
          <w:p>
            <w:pPr>
              <w:ind w:left="160"/>
              <w:spacing w:after="0" w:line="183" w:lineRule="exact"/>
              <w:rPr>
                <w:sz w:val="20"/>
                <w:szCs w:val="20"/>
                <w:color w:val="auto"/>
              </w:rPr>
            </w:pPr>
            <w:r>
              <w:rPr>
                <w:rFonts w:ascii="Arial" w:cs="Arial" w:eastAsia="Arial" w:hAnsi="Arial"/>
                <w:sz w:val="17"/>
                <w:szCs w:val="17"/>
                <w:color w:val="auto"/>
              </w:rPr>
              <w:t>Chief Executive Officer, Canyon Ranch</w:t>
            </w:r>
          </w:p>
        </w:tc>
        <w:tc>
          <w:tcPr>
            <w:tcW w:w="1040" w:type="dxa"/>
            <w:vAlign w:val="bottom"/>
            <w:shd w:val="clear" w:color="auto" w:fill="CCEEFF"/>
          </w:tcPr>
          <w:p>
            <w:pPr>
              <w:jc w:val="center"/>
              <w:ind w:left="37"/>
              <w:spacing w:after="0" w:line="183" w:lineRule="exact"/>
              <w:rPr>
                <w:sz w:val="20"/>
                <w:szCs w:val="20"/>
                <w:color w:val="auto"/>
              </w:rPr>
            </w:pPr>
            <w:r>
              <w:rPr>
                <w:rFonts w:ascii="Arial" w:cs="Arial" w:eastAsia="Arial" w:hAnsi="Arial"/>
                <w:sz w:val="17"/>
                <w:szCs w:val="17"/>
                <w:color w:val="auto"/>
                <w:w w:val="95"/>
              </w:rPr>
              <w:t>Yes</w:t>
            </w:r>
          </w:p>
        </w:tc>
        <w:tc>
          <w:tcPr>
            <w:tcW w:w="2180" w:type="dxa"/>
            <w:vAlign w:val="bottom"/>
            <w:shd w:val="clear" w:color="auto" w:fill="CCEEFF"/>
          </w:tcPr>
          <w:p>
            <w:pPr>
              <w:ind w:left="200"/>
              <w:spacing w:after="0" w:line="183" w:lineRule="exact"/>
              <w:rPr>
                <w:sz w:val="20"/>
                <w:szCs w:val="20"/>
                <w:color w:val="auto"/>
              </w:rPr>
            </w:pPr>
            <w:r>
              <w:rPr>
                <w:rFonts w:ascii="Arial" w:cs="Arial" w:eastAsia="Arial" w:hAnsi="Arial"/>
                <w:sz w:val="17"/>
                <w:szCs w:val="17"/>
                <w:color w:val="0033A0"/>
              </w:rPr>
              <w:t xml:space="preserve">• </w:t>
            </w:r>
            <w:r>
              <w:rPr>
                <w:rFonts w:ascii="Arial" w:cs="Arial" w:eastAsia="Arial" w:hAnsi="Arial"/>
                <w:sz w:val="17"/>
                <w:szCs w:val="17"/>
                <w:color w:val="000000"/>
              </w:rPr>
              <w:t>Compensation (Chair)</w:t>
            </w:r>
          </w:p>
        </w:tc>
        <w:tc>
          <w:tcPr>
            <w:tcW w:w="760" w:type="dxa"/>
            <w:vAlign w:val="bottom"/>
            <w:shd w:val="clear" w:color="auto" w:fill="CCEEFF"/>
          </w:tcPr>
          <w:p>
            <w:pPr>
              <w:spacing w:after="0"/>
              <w:rPr>
                <w:sz w:val="15"/>
                <w:szCs w:val="15"/>
                <w:color w:val="auto"/>
              </w:rPr>
            </w:pPr>
          </w:p>
        </w:tc>
      </w:tr>
      <w:tr>
        <w:trPr>
          <w:trHeight w:val="209"/>
        </w:trPr>
        <w:tc>
          <w:tcPr>
            <w:tcW w:w="20" w:type="dxa"/>
            <w:vAlign w:val="bottom"/>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180" w:type="dxa"/>
            <w:vAlign w:val="bottom"/>
            <w:shd w:val="clear" w:color="auto" w:fill="CCEEFF"/>
          </w:tcPr>
          <w:p>
            <w:pPr>
              <w:ind w:left="200"/>
              <w:spacing w:after="0"/>
              <w:rPr>
                <w:sz w:val="20"/>
                <w:szCs w:val="20"/>
                <w:color w:val="auto"/>
              </w:rPr>
            </w:pPr>
            <w:r>
              <w:rPr>
                <w:rFonts w:ascii="Arial" w:cs="Arial" w:eastAsia="Arial" w:hAnsi="Arial"/>
                <w:sz w:val="17"/>
                <w:szCs w:val="17"/>
                <w:color w:val="0033A0"/>
              </w:rPr>
              <w:t xml:space="preserve">• </w:t>
            </w:r>
            <w:r>
              <w:rPr>
                <w:rFonts w:ascii="Arial" w:cs="Arial" w:eastAsia="Arial" w:hAnsi="Arial"/>
                <w:sz w:val="17"/>
                <w:szCs w:val="17"/>
                <w:color w:val="000000"/>
              </w:rPr>
              <w:t>Finance and Strategy</w:t>
            </w:r>
          </w:p>
        </w:tc>
        <w:tc>
          <w:tcPr>
            <w:tcW w:w="7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340" w:type="dxa"/>
            <w:vAlign w:val="bottom"/>
          </w:tcPr>
          <w:p>
            <w:pPr>
              <w:ind w:left="60"/>
              <w:spacing w:after="0"/>
              <w:rPr>
                <w:sz w:val="20"/>
                <w:szCs w:val="20"/>
                <w:color w:val="auto"/>
              </w:rPr>
            </w:pPr>
            <w:r>
              <w:rPr>
                <w:rFonts w:ascii="Arial" w:cs="Arial" w:eastAsia="Arial" w:hAnsi="Arial"/>
                <w:sz w:val="17"/>
                <w:szCs w:val="17"/>
                <w:color w:val="auto"/>
              </w:rPr>
              <w:t>Reginald D. Hedgebeth</w:t>
            </w:r>
          </w:p>
        </w:tc>
        <w:tc>
          <w:tcPr>
            <w:tcW w:w="540" w:type="dxa"/>
            <w:vAlign w:val="bottom"/>
          </w:tcPr>
          <w:p>
            <w:pPr>
              <w:jc w:val="center"/>
              <w:spacing w:after="0"/>
              <w:rPr>
                <w:sz w:val="20"/>
                <w:szCs w:val="20"/>
                <w:color w:val="auto"/>
              </w:rPr>
            </w:pPr>
            <w:r>
              <w:rPr>
                <w:rFonts w:ascii="Arial" w:cs="Arial" w:eastAsia="Arial" w:hAnsi="Arial"/>
                <w:sz w:val="17"/>
                <w:szCs w:val="17"/>
                <w:color w:val="auto"/>
              </w:rPr>
              <w:t>51</w:t>
            </w:r>
          </w:p>
        </w:tc>
        <w:tc>
          <w:tcPr>
            <w:tcW w:w="860" w:type="dxa"/>
            <w:vAlign w:val="bottom"/>
          </w:tcPr>
          <w:p>
            <w:pPr>
              <w:jc w:val="center"/>
              <w:spacing w:after="0"/>
              <w:rPr>
                <w:sz w:val="20"/>
                <w:szCs w:val="20"/>
                <w:color w:val="auto"/>
              </w:rPr>
            </w:pPr>
            <w:r>
              <w:rPr>
                <w:rFonts w:ascii="Arial" w:cs="Arial" w:eastAsia="Arial" w:hAnsi="Arial"/>
                <w:sz w:val="17"/>
                <w:szCs w:val="17"/>
                <w:color w:val="auto"/>
              </w:rPr>
              <w:t>2011</w:t>
            </w:r>
          </w:p>
        </w:tc>
        <w:tc>
          <w:tcPr>
            <w:tcW w:w="3300" w:type="dxa"/>
            <w:vAlign w:val="bottom"/>
          </w:tcPr>
          <w:p>
            <w:pPr>
              <w:ind w:left="160"/>
              <w:spacing w:after="0"/>
              <w:rPr>
                <w:sz w:val="20"/>
                <w:szCs w:val="20"/>
                <w:color w:val="auto"/>
              </w:rPr>
            </w:pPr>
            <w:r>
              <w:rPr>
                <w:rFonts w:ascii="Arial" w:cs="Arial" w:eastAsia="Arial" w:hAnsi="Arial"/>
                <w:sz w:val="17"/>
                <w:szCs w:val="17"/>
                <w:color w:val="auto"/>
              </w:rPr>
              <w:t>Senior Vice President, General</w:t>
            </w:r>
          </w:p>
        </w:tc>
        <w:tc>
          <w:tcPr>
            <w:tcW w:w="1040" w:type="dxa"/>
            <w:vAlign w:val="bottom"/>
          </w:tcPr>
          <w:p>
            <w:pPr>
              <w:jc w:val="center"/>
              <w:ind w:left="37"/>
              <w:spacing w:after="0"/>
              <w:rPr>
                <w:sz w:val="20"/>
                <w:szCs w:val="20"/>
                <w:color w:val="auto"/>
              </w:rPr>
            </w:pPr>
            <w:r>
              <w:rPr>
                <w:rFonts w:ascii="Arial" w:cs="Arial" w:eastAsia="Arial" w:hAnsi="Arial"/>
                <w:sz w:val="17"/>
                <w:szCs w:val="17"/>
                <w:color w:val="auto"/>
                <w:w w:val="95"/>
              </w:rPr>
              <w:t>Yes</w:t>
            </w:r>
          </w:p>
        </w:tc>
        <w:tc>
          <w:tcPr>
            <w:tcW w:w="2180" w:type="dxa"/>
            <w:vAlign w:val="bottom"/>
          </w:tcPr>
          <w:p>
            <w:pPr>
              <w:ind w:left="200"/>
              <w:spacing w:after="0"/>
              <w:rPr>
                <w:sz w:val="20"/>
                <w:szCs w:val="20"/>
                <w:color w:val="auto"/>
              </w:rPr>
            </w:pPr>
            <w:r>
              <w:rPr>
                <w:rFonts w:ascii="Arial" w:cs="Arial" w:eastAsia="Arial" w:hAnsi="Arial"/>
                <w:sz w:val="17"/>
                <w:szCs w:val="17"/>
                <w:color w:val="0033A0"/>
              </w:rPr>
              <w:t xml:space="preserve">• </w:t>
            </w:r>
            <w:r>
              <w:rPr>
                <w:rFonts w:ascii="Arial" w:cs="Arial" w:eastAsia="Arial" w:hAnsi="Arial"/>
                <w:sz w:val="17"/>
                <w:szCs w:val="17"/>
                <w:color w:val="000000"/>
              </w:rPr>
              <w:t>Audit and Ethics (Chair)</w:t>
            </w:r>
          </w:p>
        </w:tc>
        <w:tc>
          <w:tcPr>
            <w:tcW w:w="760" w:type="dxa"/>
            <w:vAlign w:val="bottom"/>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300" w:type="dxa"/>
            <w:vAlign w:val="bottom"/>
          </w:tcPr>
          <w:p>
            <w:pPr>
              <w:ind w:left="160"/>
              <w:spacing w:after="0" w:line="189" w:lineRule="exact"/>
              <w:rPr>
                <w:sz w:val="20"/>
                <w:szCs w:val="20"/>
                <w:color w:val="auto"/>
              </w:rPr>
            </w:pPr>
            <w:r>
              <w:rPr>
                <w:rFonts w:ascii="Arial" w:cs="Arial" w:eastAsia="Arial" w:hAnsi="Arial"/>
                <w:sz w:val="17"/>
                <w:szCs w:val="17"/>
                <w:color w:val="auto"/>
              </w:rPr>
              <w:t>Counsel and Secretary, Marathon Oil</w:t>
            </w:r>
          </w:p>
        </w:tc>
        <w:tc>
          <w:tcPr>
            <w:tcW w:w="1040" w:type="dxa"/>
            <w:vAlign w:val="bottom"/>
          </w:tcPr>
          <w:p>
            <w:pPr>
              <w:spacing w:after="0"/>
              <w:rPr>
                <w:sz w:val="16"/>
                <w:szCs w:val="16"/>
                <w:color w:val="auto"/>
              </w:rPr>
            </w:pPr>
          </w:p>
        </w:tc>
        <w:tc>
          <w:tcPr>
            <w:tcW w:w="2940" w:type="dxa"/>
            <w:vAlign w:val="bottom"/>
            <w:gridSpan w:val="2"/>
          </w:tcPr>
          <w:p>
            <w:pPr>
              <w:ind w:left="200"/>
              <w:spacing w:after="0" w:line="189" w:lineRule="exact"/>
              <w:rPr>
                <w:sz w:val="20"/>
                <w:szCs w:val="20"/>
                <w:color w:val="auto"/>
              </w:rPr>
            </w:pPr>
            <w:r>
              <w:rPr>
                <w:rFonts w:ascii="Arial" w:cs="Arial" w:eastAsia="Arial" w:hAnsi="Arial"/>
                <w:sz w:val="17"/>
                <w:szCs w:val="17"/>
                <w:color w:val="0033A0"/>
              </w:rPr>
              <w:t xml:space="preserve">• </w:t>
            </w:r>
            <w:r>
              <w:rPr>
                <w:rFonts w:ascii="Arial" w:cs="Arial" w:eastAsia="Arial" w:hAnsi="Arial"/>
                <w:sz w:val="17"/>
                <w:szCs w:val="17"/>
                <w:color w:val="000000"/>
              </w:rPr>
              <w:t>Corporate Governance and</w:t>
            </w:r>
          </w:p>
        </w:tc>
      </w:tr>
      <w:tr>
        <w:trPr>
          <w:trHeight w:val="205"/>
        </w:trPr>
        <w:tc>
          <w:tcPr>
            <w:tcW w:w="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300" w:type="dxa"/>
            <w:vAlign w:val="bottom"/>
          </w:tcPr>
          <w:p>
            <w:pPr>
              <w:ind w:left="160"/>
              <w:spacing w:after="0"/>
              <w:rPr>
                <w:sz w:val="20"/>
                <w:szCs w:val="20"/>
                <w:color w:val="auto"/>
              </w:rPr>
            </w:pPr>
            <w:r>
              <w:rPr>
                <w:rFonts w:ascii="Arial" w:cs="Arial" w:eastAsia="Arial" w:hAnsi="Arial"/>
                <w:sz w:val="17"/>
                <w:szCs w:val="17"/>
                <w:color w:val="auto"/>
              </w:rPr>
              <w:t>Corporation</w:t>
            </w:r>
          </w:p>
        </w:tc>
        <w:tc>
          <w:tcPr>
            <w:tcW w:w="1040" w:type="dxa"/>
            <w:vAlign w:val="bottom"/>
          </w:tcPr>
          <w:p>
            <w:pPr>
              <w:spacing w:after="0"/>
              <w:rPr>
                <w:sz w:val="17"/>
                <w:szCs w:val="17"/>
                <w:color w:val="auto"/>
              </w:rPr>
            </w:pPr>
          </w:p>
        </w:tc>
        <w:tc>
          <w:tcPr>
            <w:tcW w:w="2180" w:type="dxa"/>
            <w:vAlign w:val="bottom"/>
          </w:tcPr>
          <w:p>
            <w:pPr>
              <w:ind w:left="360"/>
              <w:spacing w:after="0"/>
              <w:rPr>
                <w:sz w:val="20"/>
                <w:szCs w:val="20"/>
                <w:color w:val="auto"/>
              </w:rPr>
            </w:pPr>
            <w:r>
              <w:rPr>
                <w:rFonts w:ascii="Arial" w:cs="Arial" w:eastAsia="Arial" w:hAnsi="Arial"/>
                <w:sz w:val="17"/>
                <w:szCs w:val="17"/>
                <w:color w:val="auto"/>
              </w:rPr>
              <w:t>Nominating</w:t>
            </w:r>
          </w:p>
        </w:tc>
        <w:tc>
          <w:tcPr>
            <w:tcW w:w="760" w:type="dxa"/>
            <w:vAlign w:val="bottom"/>
          </w:tcPr>
          <w:p>
            <w:pPr>
              <w:spacing w:after="0"/>
              <w:rPr>
                <w:sz w:val="17"/>
                <w:szCs w:val="17"/>
                <w:color w:val="auto"/>
              </w:rPr>
            </w:pPr>
          </w:p>
        </w:tc>
      </w:tr>
      <w:tr>
        <w:trPr>
          <w:trHeight w:val="45"/>
        </w:trPr>
        <w:tc>
          <w:tcPr>
            <w:tcW w:w="20" w:type="dxa"/>
            <w:vAlign w:val="bottom"/>
          </w:tcPr>
          <w:p>
            <w:pPr>
              <w:spacing w:after="0"/>
              <w:rPr>
                <w:sz w:val="3"/>
                <w:szCs w:val="3"/>
                <w:color w:val="auto"/>
              </w:rPr>
            </w:pPr>
          </w:p>
        </w:tc>
        <w:tc>
          <w:tcPr>
            <w:tcW w:w="2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18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83"/>
        </w:trPr>
        <w:tc>
          <w:tcPr>
            <w:tcW w:w="20" w:type="dxa"/>
            <w:vAlign w:val="bottom"/>
          </w:tcPr>
          <w:p>
            <w:pPr>
              <w:spacing w:after="0"/>
              <w:rPr>
                <w:sz w:val="15"/>
                <w:szCs w:val="15"/>
                <w:color w:val="auto"/>
              </w:rPr>
            </w:pPr>
          </w:p>
        </w:tc>
        <w:tc>
          <w:tcPr>
            <w:tcW w:w="2340" w:type="dxa"/>
            <w:vAlign w:val="bottom"/>
            <w:shd w:val="clear" w:color="auto" w:fill="CCEEFF"/>
          </w:tcPr>
          <w:p>
            <w:pPr>
              <w:ind w:left="60"/>
              <w:spacing w:after="0" w:line="183" w:lineRule="exact"/>
              <w:rPr>
                <w:sz w:val="20"/>
                <w:szCs w:val="20"/>
                <w:color w:val="auto"/>
              </w:rPr>
            </w:pPr>
            <w:r>
              <w:rPr>
                <w:rFonts w:ascii="Arial" w:cs="Arial" w:eastAsia="Arial" w:hAnsi="Arial"/>
                <w:sz w:val="17"/>
                <w:szCs w:val="17"/>
                <w:color w:val="auto"/>
              </w:rPr>
              <w:t>Dan R. Henry</w:t>
            </w:r>
          </w:p>
        </w:tc>
        <w:tc>
          <w:tcPr>
            <w:tcW w:w="540" w:type="dxa"/>
            <w:vAlign w:val="bottom"/>
            <w:shd w:val="clear" w:color="auto" w:fill="CCEEFF"/>
          </w:tcPr>
          <w:p>
            <w:pPr>
              <w:jc w:val="center"/>
              <w:spacing w:after="0" w:line="183" w:lineRule="exact"/>
              <w:rPr>
                <w:sz w:val="20"/>
                <w:szCs w:val="20"/>
                <w:color w:val="auto"/>
              </w:rPr>
            </w:pPr>
            <w:r>
              <w:rPr>
                <w:rFonts w:ascii="Arial" w:cs="Arial" w:eastAsia="Arial" w:hAnsi="Arial"/>
                <w:sz w:val="17"/>
                <w:szCs w:val="17"/>
                <w:color w:val="auto"/>
              </w:rPr>
              <w:t>53</w:t>
            </w:r>
          </w:p>
        </w:tc>
        <w:tc>
          <w:tcPr>
            <w:tcW w:w="860" w:type="dxa"/>
            <w:vAlign w:val="bottom"/>
            <w:shd w:val="clear" w:color="auto" w:fill="CCEEFF"/>
          </w:tcPr>
          <w:p>
            <w:pPr>
              <w:jc w:val="center"/>
              <w:spacing w:after="0" w:line="183" w:lineRule="exact"/>
              <w:rPr>
                <w:sz w:val="20"/>
                <w:szCs w:val="20"/>
                <w:color w:val="auto"/>
              </w:rPr>
            </w:pPr>
            <w:r>
              <w:rPr>
                <w:rFonts w:ascii="Arial" w:cs="Arial" w:eastAsia="Arial" w:hAnsi="Arial"/>
                <w:sz w:val="17"/>
                <w:szCs w:val="17"/>
                <w:color w:val="auto"/>
              </w:rPr>
              <w:t>2017</w:t>
            </w:r>
          </w:p>
        </w:tc>
        <w:tc>
          <w:tcPr>
            <w:tcW w:w="3300" w:type="dxa"/>
            <w:vAlign w:val="bottom"/>
            <w:shd w:val="clear" w:color="auto" w:fill="CCEEFF"/>
          </w:tcPr>
          <w:p>
            <w:pPr>
              <w:ind w:left="160"/>
              <w:spacing w:after="0" w:line="183" w:lineRule="exact"/>
              <w:rPr>
                <w:sz w:val="20"/>
                <w:szCs w:val="20"/>
                <w:color w:val="auto"/>
              </w:rPr>
            </w:pPr>
            <w:r>
              <w:rPr>
                <w:rFonts w:ascii="Arial" w:cs="Arial" w:eastAsia="Arial" w:hAnsi="Arial"/>
                <w:sz w:val="17"/>
                <w:szCs w:val="17"/>
                <w:color w:val="auto"/>
              </w:rPr>
              <w:t>Retired Chief Executive Officer,</w:t>
            </w:r>
          </w:p>
        </w:tc>
        <w:tc>
          <w:tcPr>
            <w:tcW w:w="1040" w:type="dxa"/>
            <w:vAlign w:val="bottom"/>
            <w:shd w:val="clear" w:color="auto" w:fill="CCEEFF"/>
          </w:tcPr>
          <w:p>
            <w:pPr>
              <w:jc w:val="center"/>
              <w:ind w:left="37"/>
              <w:spacing w:after="0" w:line="183" w:lineRule="exact"/>
              <w:rPr>
                <w:sz w:val="20"/>
                <w:szCs w:val="20"/>
                <w:color w:val="auto"/>
              </w:rPr>
            </w:pPr>
            <w:r>
              <w:rPr>
                <w:rFonts w:ascii="Arial" w:cs="Arial" w:eastAsia="Arial" w:hAnsi="Arial"/>
                <w:sz w:val="17"/>
                <w:szCs w:val="17"/>
                <w:color w:val="auto"/>
                <w:w w:val="95"/>
              </w:rPr>
              <w:t>Yes</w:t>
            </w:r>
          </w:p>
        </w:tc>
        <w:tc>
          <w:tcPr>
            <w:tcW w:w="2180" w:type="dxa"/>
            <w:vAlign w:val="bottom"/>
            <w:shd w:val="clear" w:color="auto" w:fill="CCEEFF"/>
          </w:tcPr>
          <w:p>
            <w:pPr>
              <w:ind w:left="200"/>
              <w:spacing w:after="0" w:line="183" w:lineRule="exact"/>
              <w:rPr>
                <w:sz w:val="20"/>
                <w:szCs w:val="20"/>
                <w:color w:val="auto"/>
              </w:rPr>
            </w:pPr>
            <w:r>
              <w:rPr>
                <w:rFonts w:ascii="Arial" w:cs="Arial" w:eastAsia="Arial" w:hAnsi="Arial"/>
                <w:sz w:val="17"/>
                <w:szCs w:val="17"/>
                <w:color w:val="0033A0"/>
              </w:rPr>
              <w:t xml:space="preserve">• </w:t>
            </w:r>
            <w:r>
              <w:rPr>
                <w:rFonts w:ascii="Arial" w:cs="Arial" w:eastAsia="Arial" w:hAnsi="Arial"/>
                <w:sz w:val="17"/>
                <w:szCs w:val="17"/>
                <w:color w:val="000000"/>
              </w:rPr>
              <w:t>Compensation</w:t>
            </w:r>
          </w:p>
        </w:tc>
        <w:tc>
          <w:tcPr>
            <w:tcW w:w="760" w:type="dxa"/>
            <w:vAlign w:val="bottom"/>
            <w:shd w:val="clear" w:color="auto" w:fill="CCEEFF"/>
          </w:tcPr>
          <w:p>
            <w:pPr>
              <w:spacing w:after="0"/>
              <w:rPr>
                <w:sz w:val="15"/>
                <w:szCs w:val="15"/>
                <w:color w:val="auto"/>
              </w:rPr>
            </w:pPr>
          </w:p>
        </w:tc>
      </w:tr>
      <w:tr>
        <w:trPr>
          <w:trHeight w:val="209"/>
        </w:trPr>
        <w:tc>
          <w:tcPr>
            <w:tcW w:w="20" w:type="dxa"/>
            <w:vAlign w:val="bottom"/>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3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NetSpend</w:t>
            </w:r>
          </w:p>
        </w:tc>
        <w:tc>
          <w:tcPr>
            <w:tcW w:w="1040" w:type="dxa"/>
            <w:vAlign w:val="bottom"/>
            <w:shd w:val="clear" w:color="auto" w:fill="CCEEFF"/>
          </w:tcPr>
          <w:p>
            <w:pPr>
              <w:spacing w:after="0"/>
              <w:rPr>
                <w:sz w:val="18"/>
                <w:szCs w:val="18"/>
                <w:color w:val="auto"/>
              </w:rPr>
            </w:pPr>
          </w:p>
        </w:tc>
        <w:tc>
          <w:tcPr>
            <w:tcW w:w="2180" w:type="dxa"/>
            <w:vAlign w:val="bottom"/>
            <w:shd w:val="clear" w:color="auto" w:fill="CCEEFF"/>
          </w:tcPr>
          <w:p>
            <w:pPr>
              <w:ind w:left="200"/>
              <w:spacing w:after="0"/>
              <w:rPr>
                <w:sz w:val="20"/>
                <w:szCs w:val="20"/>
                <w:color w:val="auto"/>
              </w:rPr>
            </w:pPr>
            <w:r>
              <w:rPr>
                <w:rFonts w:ascii="Arial" w:cs="Arial" w:eastAsia="Arial" w:hAnsi="Arial"/>
                <w:sz w:val="17"/>
                <w:szCs w:val="17"/>
                <w:color w:val="0033A0"/>
              </w:rPr>
              <w:t xml:space="preserve">• </w:t>
            </w:r>
            <w:r>
              <w:rPr>
                <w:rFonts w:ascii="Arial" w:cs="Arial" w:eastAsia="Arial" w:hAnsi="Arial"/>
                <w:sz w:val="17"/>
                <w:szCs w:val="17"/>
                <w:color w:val="000000"/>
              </w:rPr>
              <w:t>Finance and Strategy</w:t>
            </w:r>
          </w:p>
        </w:tc>
        <w:tc>
          <w:tcPr>
            <w:tcW w:w="7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340" w:type="dxa"/>
            <w:vAlign w:val="bottom"/>
          </w:tcPr>
          <w:p>
            <w:pPr>
              <w:ind w:left="60"/>
              <w:spacing w:after="0"/>
              <w:rPr>
                <w:sz w:val="20"/>
                <w:szCs w:val="20"/>
                <w:color w:val="auto"/>
              </w:rPr>
            </w:pPr>
            <w:r>
              <w:rPr>
                <w:rFonts w:ascii="Arial" w:cs="Arial" w:eastAsia="Arial" w:hAnsi="Arial"/>
                <w:sz w:val="17"/>
                <w:szCs w:val="17"/>
                <w:color w:val="auto"/>
              </w:rPr>
              <w:t>Michael J. Herling</w:t>
            </w:r>
          </w:p>
        </w:tc>
        <w:tc>
          <w:tcPr>
            <w:tcW w:w="540" w:type="dxa"/>
            <w:vAlign w:val="bottom"/>
          </w:tcPr>
          <w:p>
            <w:pPr>
              <w:jc w:val="center"/>
              <w:spacing w:after="0"/>
              <w:rPr>
                <w:sz w:val="20"/>
                <w:szCs w:val="20"/>
                <w:color w:val="auto"/>
              </w:rPr>
            </w:pPr>
            <w:r>
              <w:rPr>
                <w:rFonts w:ascii="Arial" w:cs="Arial" w:eastAsia="Arial" w:hAnsi="Arial"/>
                <w:sz w:val="17"/>
                <w:szCs w:val="17"/>
                <w:color w:val="auto"/>
              </w:rPr>
              <w:t>61</w:t>
            </w:r>
          </w:p>
        </w:tc>
        <w:tc>
          <w:tcPr>
            <w:tcW w:w="860" w:type="dxa"/>
            <w:vAlign w:val="bottom"/>
          </w:tcPr>
          <w:p>
            <w:pPr>
              <w:jc w:val="center"/>
              <w:spacing w:after="0"/>
              <w:rPr>
                <w:sz w:val="20"/>
                <w:szCs w:val="20"/>
                <w:color w:val="auto"/>
              </w:rPr>
            </w:pPr>
            <w:r>
              <w:rPr>
                <w:rFonts w:ascii="Arial" w:cs="Arial" w:eastAsia="Arial" w:hAnsi="Arial"/>
                <w:sz w:val="17"/>
                <w:szCs w:val="17"/>
                <w:color w:val="auto"/>
              </w:rPr>
              <w:t>2009</w:t>
            </w:r>
          </w:p>
        </w:tc>
        <w:tc>
          <w:tcPr>
            <w:tcW w:w="3300" w:type="dxa"/>
            <w:vAlign w:val="bottom"/>
          </w:tcPr>
          <w:p>
            <w:pPr>
              <w:ind w:left="160"/>
              <w:spacing w:after="0"/>
              <w:rPr>
                <w:sz w:val="20"/>
                <w:szCs w:val="20"/>
                <w:color w:val="auto"/>
              </w:rPr>
            </w:pPr>
            <w:r>
              <w:rPr>
                <w:rFonts w:ascii="Arial" w:cs="Arial" w:eastAsia="Arial" w:hAnsi="Arial"/>
                <w:sz w:val="17"/>
                <w:szCs w:val="17"/>
                <w:color w:val="auto"/>
              </w:rPr>
              <w:t>Partner, Finn Dixon &amp; Herling</w:t>
            </w:r>
          </w:p>
        </w:tc>
        <w:tc>
          <w:tcPr>
            <w:tcW w:w="1040" w:type="dxa"/>
            <w:vAlign w:val="bottom"/>
          </w:tcPr>
          <w:p>
            <w:pPr>
              <w:jc w:val="center"/>
              <w:ind w:left="37"/>
              <w:spacing w:after="0"/>
              <w:rPr>
                <w:sz w:val="20"/>
                <w:szCs w:val="20"/>
                <w:color w:val="auto"/>
              </w:rPr>
            </w:pPr>
            <w:r>
              <w:rPr>
                <w:rFonts w:ascii="Arial" w:cs="Arial" w:eastAsia="Arial" w:hAnsi="Arial"/>
                <w:sz w:val="17"/>
                <w:szCs w:val="17"/>
                <w:color w:val="auto"/>
                <w:w w:val="95"/>
              </w:rPr>
              <w:t>Yes</w:t>
            </w:r>
          </w:p>
        </w:tc>
        <w:tc>
          <w:tcPr>
            <w:tcW w:w="2180" w:type="dxa"/>
            <w:vAlign w:val="bottom"/>
          </w:tcPr>
          <w:p>
            <w:pPr>
              <w:ind w:left="200"/>
              <w:spacing w:after="0"/>
              <w:rPr>
                <w:sz w:val="20"/>
                <w:szCs w:val="20"/>
                <w:color w:val="auto"/>
              </w:rPr>
            </w:pPr>
            <w:r>
              <w:rPr>
                <w:rFonts w:ascii="Arial" w:cs="Arial" w:eastAsia="Arial" w:hAnsi="Arial"/>
                <w:sz w:val="17"/>
                <w:szCs w:val="17"/>
                <w:color w:val="0033A0"/>
              </w:rPr>
              <w:t xml:space="preserve">• </w:t>
            </w:r>
            <w:r>
              <w:rPr>
                <w:rFonts w:ascii="Arial" w:cs="Arial" w:eastAsia="Arial" w:hAnsi="Arial"/>
                <w:sz w:val="17"/>
                <w:szCs w:val="17"/>
                <w:color w:val="000000"/>
              </w:rPr>
              <w:t>Compensation</w:t>
            </w:r>
          </w:p>
        </w:tc>
        <w:tc>
          <w:tcPr>
            <w:tcW w:w="760" w:type="dxa"/>
            <w:vAlign w:val="bottom"/>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940" w:type="dxa"/>
            <w:vAlign w:val="bottom"/>
            <w:gridSpan w:val="2"/>
          </w:tcPr>
          <w:p>
            <w:pPr>
              <w:ind w:left="200"/>
              <w:spacing w:after="0" w:line="189" w:lineRule="exact"/>
              <w:rPr>
                <w:sz w:val="20"/>
                <w:szCs w:val="20"/>
                <w:color w:val="auto"/>
              </w:rPr>
            </w:pPr>
            <w:r>
              <w:rPr>
                <w:rFonts w:ascii="Arial" w:cs="Arial" w:eastAsia="Arial" w:hAnsi="Arial"/>
                <w:sz w:val="17"/>
                <w:szCs w:val="17"/>
                <w:color w:val="0033A0"/>
              </w:rPr>
              <w:t xml:space="preserve">• </w:t>
            </w:r>
            <w:r>
              <w:rPr>
                <w:rFonts w:ascii="Arial" w:cs="Arial" w:eastAsia="Arial" w:hAnsi="Arial"/>
                <w:sz w:val="17"/>
                <w:szCs w:val="17"/>
                <w:color w:val="000000"/>
              </w:rPr>
              <w:t>Corporate Governance and</w:t>
            </w:r>
          </w:p>
        </w:tc>
      </w:tr>
      <w:tr>
        <w:trPr>
          <w:trHeight w:val="205"/>
        </w:trPr>
        <w:tc>
          <w:tcPr>
            <w:tcW w:w="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180" w:type="dxa"/>
            <w:vAlign w:val="bottom"/>
          </w:tcPr>
          <w:p>
            <w:pPr>
              <w:ind w:left="360"/>
              <w:spacing w:after="0"/>
              <w:rPr>
                <w:sz w:val="20"/>
                <w:szCs w:val="20"/>
                <w:color w:val="auto"/>
              </w:rPr>
            </w:pPr>
            <w:r>
              <w:rPr>
                <w:rFonts w:ascii="Arial" w:cs="Arial" w:eastAsia="Arial" w:hAnsi="Arial"/>
                <w:sz w:val="17"/>
                <w:szCs w:val="17"/>
                <w:color w:val="auto"/>
              </w:rPr>
              <w:t>Nominating</w:t>
            </w:r>
          </w:p>
        </w:tc>
        <w:tc>
          <w:tcPr>
            <w:tcW w:w="760" w:type="dxa"/>
            <w:vAlign w:val="bottom"/>
          </w:tcPr>
          <w:p>
            <w:pPr>
              <w:spacing w:after="0"/>
              <w:rPr>
                <w:sz w:val="17"/>
                <w:szCs w:val="17"/>
                <w:color w:val="auto"/>
              </w:rPr>
            </w:pPr>
          </w:p>
        </w:tc>
      </w:tr>
      <w:tr>
        <w:trPr>
          <w:trHeight w:val="45"/>
        </w:trPr>
        <w:tc>
          <w:tcPr>
            <w:tcW w:w="20" w:type="dxa"/>
            <w:vAlign w:val="bottom"/>
          </w:tcPr>
          <w:p>
            <w:pPr>
              <w:spacing w:after="0"/>
              <w:rPr>
                <w:sz w:val="3"/>
                <w:szCs w:val="3"/>
                <w:color w:val="auto"/>
              </w:rPr>
            </w:pPr>
          </w:p>
        </w:tc>
        <w:tc>
          <w:tcPr>
            <w:tcW w:w="2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18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83"/>
        </w:trPr>
        <w:tc>
          <w:tcPr>
            <w:tcW w:w="20" w:type="dxa"/>
            <w:vAlign w:val="bottom"/>
          </w:tcPr>
          <w:p>
            <w:pPr>
              <w:spacing w:after="0"/>
              <w:rPr>
                <w:sz w:val="15"/>
                <w:szCs w:val="15"/>
                <w:color w:val="auto"/>
              </w:rPr>
            </w:pPr>
          </w:p>
        </w:tc>
        <w:tc>
          <w:tcPr>
            <w:tcW w:w="2340" w:type="dxa"/>
            <w:vAlign w:val="bottom"/>
            <w:shd w:val="clear" w:color="auto" w:fill="CCEEFF"/>
          </w:tcPr>
          <w:p>
            <w:pPr>
              <w:ind w:left="60"/>
              <w:spacing w:after="0" w:line="183" w:lineRule="exact"/>
              <w:rPr>
                <w:sz w:val="20"/>
                <w:szCs w:val="20"/>
                <w:color w:val="auto"/>
              </w:rPr>
            </w:pPr>
            <w:r>
              <w:rPr>
                <w:rFonts w:ascii="Arial" w:cs="Arial" w:eastAsia="Arial" w:hAnsi="Arial"/>
                <w:sz w:val="17"/>
                <w:szCs w:val="17"/>
                <w:color w:val="auto"/>
              </w:rPr>
              <w:t>Douglas A. Pertz</w:t>
            </w:r>
          </w:p>
        </w:tc>
        <w:tc>
          <w:tcPr>
            <w:tcW w:w="540" w:type="dxa"/>
            <w:vAlign w:val="bottom"/>
            <w:shd w:val="clear" w:color="auto" w:fill="CCEEFF"/>
          </w:tcPr>
          <w:p>
            <w:pPr>
              <w:jc w:val="center"/>
              <w:spacing w:after="0" w:line="183" w:lineRule="exact"/>
              <w:rPr>
                <w:sz w:val="20"/>
                <w:szCs w:val="20"/>
                <w:color w:val="auto"/>
              </w:rPr>
            </w:pPr>
            <w:r>
              <w:rPr>
                <w:rFonts w:ascii="Arial" w:cs="Arial" w:eastAsia="Arial" w:hAnsi="Arial"/>
                <w:sz w:val="17"/>
                <w:szCs w:val="17"/>
                <w:color w:val="auto"/>
              </w:rPr>
              <w:t>64</w:t>
            </w:r>
          </w:p>
        </w:tc>
        <w:tc>
          <w:tcPr>
            <w:tcW w:w="860" w:type="dxa"/>
            <w:vAlign w:val="bottom"/>
            <w:shd w:val="clear" w:color="auto" w:fill="CCEEFF"/>
          </w:tcPr>
          <w:p>
            <w:pPr>
              <w:jc w:val="center"/>
              <w:spacing w:after="0" w:line="183" w:lineRule="exact"/>
              <w:rPr>
                <w:sz w:val="20"/>
                <w:szCs w:val="20"/>
                <w:color w:val="auto"/>
              </w:rPr>
            </w:pPr>
            <w:r>
              <w:rPr>
                <w:rFonts w:ascii="Arial" w:cs="Arial" w:eastAsia="Arial" w:hAnsi="Arial"/>
                <w:sz w:val="17"/>
                <w:szCs w:val="17"/>
                <w:color w:val="auto"/>
              </w:rPr>
              <w:t>2016</w:t>
            </w:r>
          </w:p>
        </w:tc>
        <w:tc>
          <w:tcPr>
            <w:tcW w:w="3300" w:type="dxa"/>
            <w:vAlign w:val="bottom"/>
            <w:shd w:val="clear" w:color="auto" w:fill="CCEEFF"/>
          </w:tcPr>
          <w:p>
            <w:pPr>
              <w:ind w:left="160"/>
              <w:spacing w:after="0" w:line="183" w:lineRule="exact"/>
              <w:rPr>
                <w:sz w:val="20"/>
                <w:szCs w:val="20"/>
                <w:color w:val="auto"/>
              </w:rPr>
            </w:pPr>
            <w:r>
              <w:rPr>
                <w:rFonts w:ascii="Arial" w:cs="Arial" w:eastAsia="Arial" w:hAnsi="Arial"/>
                <w:sz w:val="17"/>
                <w:szCs w:val="17"/>
                <w:color w:val="auto"/>
              </w:rPr>
              <w:t>Chief Executive Officer, The Brink’s</w:t>
            </w:r>
          </w:p>
        </w:tc>
        <w:tc>
          <w:tcPr>
            <w:tcW w:w="1040" w:type="dxa"/>
            <w:vAlign w:val="bottom"/>
            <w:shd w:val="clear" w:color="auto" w:fill="CCEEFF"/>
          </w:tcPr>
          <w:p>
            <w:pPr>
              <w:jc w:val="center"/>
              <w:ind w:left="57"/>
              <w:spacing w:after="0" w:line="183" w:lineRule="exact"/>
              <w:rPr>
                <w:sz w:val="20"/>
                <w:szCs w:val="20"/>
                <w:color w:val="auto"/>
              </w:rPr>
            </w:pPr>
            <w:r>
              <w:rPr>
                <w:rFonts w:ascii="Arial" w:cs="Arial" w:eastAsia="Arial" w:hAnsi="Arial"/>
                <w:sz w:val="17"/>
                <w:szCs w:val="17"/>
                <w:color w:val="auto"/>
              </w:rPr>
              <w:t>No</w:t>
            </w:r>
          </w:p>
        </w:tc>
        <w:tc>
          <w:tcPr>
            <w:tcW w:w="2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195"/>
        </w:trPr>
        <w:tc>
          <w:tcPr>
            <w:tcW w:w="20" w:type="dxa"/>
            <w:vAlign w:val="bottom"/>
          </w:tcPr>
          <w:p>
            <w:pPr>
              <w:spacing w:after="0"/>
              <w:rPr>
                <w:sz w:val="16"/>
                <w:szCs w:val="16"/>
                <w:color w:val="auto"/>
              </w:rPr>
            </w:pPr>
          </w:p>
        </w:tc>
        <w:tc>
          <w:tcPr>
            <w:tcW w:w="23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3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Company</w:t>
            </w:r>
          </w:p>
        </w:tc>
        <w:tc>
          <w:tcPr>
            <w:tcW w:w="1040" w:type="dxa"/>
            <w:vAlign w:val="bottom"/>
            <w:shd w:val="clear" w:color="auto" w:fill="CCEEFF"/>
          </w:tcPr>
          <w:p>
            <w:pPr>
              <w:spacing w:after="0"/>
              <w:rPr>
                <w:sz w:val="16"/>
                <w:szCs w:val="16"/>
                <w:color w:val="auto"/>
              </w:rPr>
            </w:pPr>
          </w:p>
        </w:tc>
        <w:tc>
          <w:tcPr>
            <w:tcW w:w="2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r>
      <w:tr>
        <w:trPr>
          <w:trHeight w:val="223"/>
        </w:trPr>
        <w:tc>
          <w:tcPr>
            <w:tcW w:w="20" w:type="dxa"/>
            <w:vAlign w:val="bottom"/>
          </w:tcPr>
          <w:p>
            <w:pPr>
              <w:spacing w:after="0"/>
              <w:rPr>
                <w:sz w:val="19"/>
                <w:szCs w:val="19"/>
                <w:color w:val="auto"/>
              </w:rPr>
            </w:pPr>
          </w:p>
        </w:tc>
        <w:tc>
          <w:tcPr>
            <w:tcW w:w="2340" w:type="dxa"/>
            <w:vAlign w:val="bottom"/>
          </w:tcPr>
          <w:p>
            <w:pPr>
              <w:ind w:left="60"/>
              <w:spacing w:after="0"/>
              <w:rPr>
                <w:sz w:val="20"/>
                <w:szCs w:val="20"/>
                <w:color w:val="auto"/>
              </w:rPr>
            </w:pPr>
            <w:r>
              <w:rPr>
                <w:rFonts w:ascii="Arial" w:cs="Arial" w:eastAsia="Arial" w:hAnsi="Arial"/>
                <w:sz w:val="17"/>
                <w:szCs w:val="17"/>
                <w:color w:val="auto"/>
              </w:rPr>
              <w:t>George I. Stoeckert</w:t>
            </w:r>
          </w:p>
        </w:tc>
        <w:tc>
          <w:tcPr>
            <w:tcW w:w="540" w:type="dxa"/>
            <w:vAlign w:val="bottom"/>
          </w:tcPr>
          <w:p>
            <w:pPr>
              <w:jc w:val="center"/>
              <w:spacing w:after="0"/>
              <w:rPr>
                <w:sz w:val="20"/>
                <w:szCs w:val="20"/>
                <w:color w:val="auto"/>
              </w:rPr>
            </w:pPr>
            <w:r>
              <w:rPr>
                <w:rFonts w:ascii="Arial" w:cs="Arial" w:eastAsia="Arial" w:hAnsi="Arial"/>
                <w:sz w:val="17"/>
                <w:szCs w:val="17"/>
                <w:color w:val="auto"/>
              </w:rPr>
              <w:t>70</w:t>
            </w:r>
          </w:p>
        </w:tc>
        <w:tc>
          <w:tcPr>
            <w:tcW w:w="860" w:type="dxa"/>
            <w:vAlign w:val="bottom"/>
          </w:tcPr>
          <w:p>
            <w:pPr>
              <w:jc w:val="center"/>
              <w:spacing w:after="0"/>
              <w:rPr>
                <w:sz w:val="20"/>
                <w:szCs w:val="20"/>
                <w:color w:val="auto"/>
              </w:rPr>
            </w:pPr>
            <w:r>
              <w:rPr>
                <w:rFonts w:ascii="Arial" w:cs="Arial" w:eastAsia="Arial" w:hAnsi="Arial"/>
                <w:sz w:val="17"/>
                <w:szCs w:val="17"/>
                <w:color w:val="auto"/>
              </w:rPr>
              <w:t>2016</w:t>
            </w:r>
          </w:p>
        </w:tc>
        <w:tc>
          <w:tcPr>
            <w:tcW w:w="3300" w:type="dxa"/>
            <w:vAlign w:val="bottom"/>
          </w:tcPr>
          <w:p>
            <w:pPr>
              <w:ind w:left="160"/>
              <w:spacing w:after="0"/>
              <w:rPr>
                <w:sz w:val="20"/>
                <w:szCs w:val="20"/>
                <w:color w:val="auto"/>
              </w:rPr>
            </w:pPr>
            <w:r>
              <w:rPr>
                <w:rFonts w:ascii="Arial" w:cs="Arial" w:eastAsia="Arial" w:hAnsi="Arial"/>
                <w:sz w:val="17"/>
                <w:szCs w:val="17"/>
                <w:color w:val="auto"/>
              </w:rPr>
              <w:t>Retired President of North America and</w:t>
            </w:r>
          </w:p>
        </w:tc>
        <w:tc>
          <w:tcPr>
            <w:tcW w:w="1040" w:type="dxa"/>
            <w:vAlign w:val="bottom"/>
          </w:tcPr>
          <w:p>
            <w:pPr>
              <w:jc w:val="center"/>
              <w:ind w:left="37"/>
              <w:spacing w:after="0"/>
              <w:rPr>
                <w:sz w:val="20"/>
                <w:szCs w:val="20"/>
                <w:color w:val="auto"/>
              </w:rPr>
            </w:pPr>
            <w:r>
              <w:rPr>
                <w:rFonts w:ascii="Arial" w:cs="Arial" w:eastAsia="Arial" w:hAnsi="Arial"/>
                <w:sz w:val="17"/>
                <w:szCs w:val="17"/>
                <w:color w:val="auto"/>
                <w:w w:val="95"/>
              </w:rPr>
              <w:t>Yes</w:t>
            </w:r>
          </w:p>
        </w:tc>
        <w:tc>
          <w:tcPr>
            <w:tcW w:w="2180" w:type="dxa"/>
            <w:vAlign w:val="bottom"/>
          </w:tcPr>
          <w:p>
            <w:pPr>
              <w:ind w:left="200"/>
              <w:spacing w:after="0"/>
              <w:rPr>
                <w:sz w:val="20"/>
                <w:szCs w:val="20"/>
                <w:color w:val="auto"/>
              </w:rPr>
            </w:pPr>
            <w:r>
              <w:rPr>
                <w:rFonts w:ascii="Arial" w:cs="Arial" w:eastAsia="Arial" w:hAnsi="Arial"/>
                <w:sz w:val="17"/>
                <w:szCs w:val="17"/>
                <w:color w:val="0033A0"/>
              </w:rPr>
              <w:t xml:space="preserve">• </w:t>
            </w:r>
            <w:r>
              <w:rPr>
                <w:rFonts w:ascii="Arial" w:cs="Arial" w:eastAsia="Arial" w:hAnsi="Arial"/>
                <w:sz w:val="17"/>
                <w:szCs w:val="17"/>
                <w:color w:val="000000"/>
              </w:rPr>
              <w:t>Audit and Ethics</w:t>
            </w:r>
          </w:p>
        </w:tc>
        <w:tc>
          <w:tcPr>
            <w:tcW w:w="760" w:type="dxa"/>
            <w:vAlign w:val="bottom"/>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300" w:type="dxa"/>
            <w:vAlign w:val="bottom"/>
          </w:tcPr>
          <w:p>
            <w:pPr>
              <w:ind w:left="160"/>
              <w:spacing w:after="0" w:line="189" w:lineRule="exact"/>
              <w:rPr>
                <w:sz w:val="20"/>
                <w:szCs w:val="20"/>
                <w:color w:val="auto"/>
              </w:rPr>
            </w:pPr>
            <w:r>
              <w:rPr>
                <w:rFonts w:ascii="Arial" w:cs="Arial" w:eastAsia="Arial" w:hAnsi="Arial"/>
                <w:sz w:val="17"/>
                <w:szCs w:val="17"/>
                <w:color w:val="auto"/>
              </w:rPr>
              <w:t>Internet Solutions, Dun &amp; Bradstreet</w:t>
            </w:r>
          </w:p>
        </w:tc>
        <w:tc>
          <w:tcPr>
            <w:tcW w:w="1040" w:type="dxa"/>
            <w:vAlign w:val="bottom"/>
          </w:tcPr>
          <w:p>
            <w:pPr>
              <w:spacing w:after="0"/>
              <w:rPr>
                <w:sz w:val="16"/>
                <w:szCs w:val="16"/>
                <w:color w:val="auto"/>
              </w:rPr>
            </w:pPr>
          </w:p>
        </w:tc>
        <w:tc>
          <w:tcPr>
            <w:tcW w:w="2940" w:type="dxa"/>
            <w:vAlign w:val="bottom"/>
            <w:gridSpan w:val="2"/>
          </w:tcPr>
          <w:p>
            <w:pPr>
              <w:ind w:left="200"/>
              <w:spacing w:after="0" w:line="189" w:lineRule="exact"/>
              <w:rPr>
                <w:sz w:val="20"/>
                <w:szCs w:val="20"/>
                <w:color w:val="auto"/>
              </w:rPr>
            </w:pPr>
            <w:r>
              <w:rPr>
                <w:rFonts w:ascii="Arial" w:cs="Arial" w:eastAsia="Arial" w:hAnsi="Arial"/>
                <w:sz w:val="17"/>
                <w:szCs w:val="17"/>
                <w:color w:val="0033A0"/>
              </w:rPr>
              <w:t xml:space="preserve">• </w:t>
            </w:r>
            <w:r>
              <w:rPr>
                <w:rFonts w:ascii="Arial" w:cs="Arial" w:eastAsia="Arial" w:hAnsi="Arial"/>
                <w:sz w:val="17"/>
                <w:szCs w:val="17"/>
                <w:color w:val="000000"/>
              </w:rPr>
              <w:t>Corporate Governance and</w:t>
            </w:r>
          </w:p>
        </w:tc>
      </w:tr>
      <w:tr>
        <w:trPr>
          <w:trHeight w:val="189"/>
        </w:trPr>
        <w:tc>
          <w:tcPr>
            <w:tcW w:w="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180" w:type="dxa"/>
            <w:vAlign w:val="bottom"/>
          </w:tcPr>
          <w:p>
            <w:pPr>
              <w:ind w:left="360"/>
              <w:spacing w:after="0" w:line="189" w:lineRule="exact"/>
              <w:rPr>
                <w:sz w:val="20"/>
                <w:szCs w:val="20"/>
                <w:color w:val="auto"/>
              </w:rPr>
            </w:pPr>
            <w:r>
              <w:rPr>
                <w:rFonts w:ascii="Arial" w:cs="Arial" w:eastAsia="Arial" w:hAnsi="Arial"/>
                <w:sz w:val="17"/>
                <w:szCs w:val="17"/>
                <w:color w:val="auto"/>
              </w:rPr>
              <w:t>Nominating (Chair)</w:t>
            </w:r>
          </w:p>
        </w:tc>
        <w:tc>
          <w:tcPr>
            <w:tcW w:w="760" w:type="dxa"/>
            <w:vAlign w:val="bottom"/>
          </w:tcPr>
          <w:p>
            <w:pPr>
              <w:spacing w:after="0"/>
              <w:rPr>
                <w:sz w:val="16"/>
                <w:szCs w:val="16"/>
                <w:color w:val="auto"/>
              </w:rPr>
            </w:pPr>
          </w:p>
        </w:tc>
      </w:tr>
      <w:tr>
        <w:trPr>
          <w:trHeight w:val="205"/>
        </w:trPr>
        <w:tc>
          <w:tcPr>
            <w:tcW w:w="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180" w:type="dxa"/>
            <w:vAlign w:val="bottom"/>
          </w:tcPr>
          <w:p>
            <w:pPr>
              <w:ind w:left="200"/>
              <w:spacing w:after="0"/>
              <w:rPr>
                <w:sz w:val="20"/>
                <w:szCs w:val="20"/>
                <w:color w:val="auto"/>
              </w:rPr>
            </w:pPr>
            <w:r>
              <w:rPr>
                <w:rFonts w:ascii="Arial" w:cs="Arial" w:eastAsia="Arial" w:hAnsi="Arial"/>
                <w:sz w:val="17"/>
                <w:szCs w:val="17"/>
                <w:color w:val="0033A0"/>
              </w:rPr>
              <w:t xml:space="preserve">• </w:t>
            </w:r>
            <w:r>
              <w:rPr>
                <w:rFonts w:ascii="Arial" w:cs="Arial" w:eastAsia="Arial" w:hAnsi="Arial"/>
                <w:sz w:val="17"/>
                <w:szCs w:val="17"/>
                <w:color w:val="000000"/>
              </w:rPr>
              <w:t>Finance and Strategy</w:t>
            </w:r>
          </w:p>
        </w:tc>
        <w:tc>
          <w:tcPr>
            <w:tcW w:w="760" w:type="dxa"/>
            <w:vAlign w:val="bottom"/>
          </w:tcPr>
          <w:p>
            <w:pPr>
              <w:spacing w:after="0"/>
              <w:rPr>
                <w:sz w:val="17"/>
                <w:szCs w:val="17"/>
                <w:color w:val="auto"/>
              </w:rPr>
            </w:pPr>
          </w:p>
        </w:tc>
      </w:tr>
      <w:tr>
        <w:trPr>
          <w:trHeight w:val="58"/>
        </w:trPr>
        <w:tc>
          <w:tcPr>
            <w:tcW w:w="20" w:type="dxa"/>
            <w:vAlign w:val="bottom"/>
          </w:tcPr>
          <w:p>
            <w:pPr>
              <w:spacing w:after="0"/>
              <w:rPr>
                <w:sz w:val="5"/>
                <w:szCs w:val="5"/>
                <w:color w:val="auto"/>
              </w:rPr>
            </w:pPr>
          </w:p>
        </w:tc>
        <w:tc>
          <w:tcPr>
            <w:tcW w:w="2340" w:type="dxa"/>
            <w:vAlign w:val="bottom"/>
            <w:tcBorders>
              <w:bottom w:val="single" w:sz="8" w:color="0033A0"/>
            </w:tcBorders>
          </w:tcPr>
          <w:p>
            <w:pPr>
              <w:spacing w:after="0"/>
              <w:rPr>
                <w:sz w:val="5"/>
                <w:szCs w:val="5"/>
                <w:color w:val="auto"/>
              </w:rPr>
            </w:pPr>
          </w:p>
        </w:tc>
        <w:tc>
          <w:tcPr>
            <w:tcW w:w="540" w:type="dxa"/>
            <w:vAlign w:val="bottom"/>
            <w:tcBorders>
              <w:bottom w:val="single" w:sz="8" w:color="0033A0"/>
            </w:tcBorders>
          </w:tcPr>
          <w:p>
            <w:pPr>
              <w:spacing w:after="0"/>
              <w:rPr>
                <w:sz w:val="5"/>
                <w:szCs w:val="5"/>
                <w:color w:val="auto"/>
              </w:rPr>
            </w:pPr>
          </w:p>
        </w:tc>
        <w:tc>
          <w:tcPr>
            <w:tcW w:w="860" w:type="dxa"/>
            <w:vAlign w:val="bottom"/>
            <w:tcBorders>
              <w:bottom w:val="single" w:sz="8" w:color="0033A0"/>
            </w:tcBorders>
          </w:tcPr>
          <w:p>
            <w:pPr>
              <w:spacing w:after="0"/>
              <w:rPr>
                <w:sz w:val="5"/>
                <w:szCs w:val="5"/>
                <w:color w:val="auto"/>
              </w:rPr>
            </w:pPr>
          </w:p>
        </w:tc>
        <w:tc>
          <w:tcPr>
            <w:tcW w:w="3300" w:type="dxa"/>
            <w:vAlign w:val="bottom"/>
            <w:tcBorders>
              <w:bottom w:val="single" w:sz="8" w:color="0033A0"/>
            </w:tcBorders>
          </w:tcPr>
          <w:p>
            <w:pPr>
              <w:spacing w:after="0"/>
              <w:rPr>
                <w:sz w:val="5"/>
                <w:szCs w:val="5"/>
                <w:color w:val="auto"/>
              </w:rPr>
            </w:pPr>
          </w:p>
        </w:tc>
        <w:tc>
          <w:tcPr>
            <w:tcW w:w="1040" w:type="dxa"/>
            <w:vAlign w:val="bottom"/>
            <w:tcBorders>
              <w:bottom w:val="single" w:sz="8" w:color="0033A0"/>
            </w:tcBorders>
          </w:tcPr>
          <w:p>
            <w:pPr>
              <w:spacing w:after="0"/>
              <w:rPr>
                <w:sz w:val="5"/>
                <w:szCs w:val="5"/>
                <w:color w:val="auto"/>
              </w:rPr>
            </w:pPr>
          </w:p>
        </w:tc>
        <w:tc>
          <w:tcPr>
            <w:tcW w:w="2180" w:type="dxa"/>
            <w:vAlign w:val="bottom"/>
            <w:tcBorders>
              <w:bottom w:val="single" w:sz="8" w:color="0033A0"/>
            </w:tcBorders>
          </w:tcPr>
          <w:p>
            <w:pPr>
              <w:spacing w:after="0"/>
              <w:rPr>
                <w:sz w:val="5"/>
                <w:szCs w:val="5"/>
                <w:color w:val="auto"/>
              </w:rPr>
            </w:pPr>
          </w:p>
        </w:tc>
        <w:tc>
          <w:tcPr>
            <w:tcW w:w="760" w:type="dxa"/>
            <w:vAlign w:val="bottom"/>
            <w:tcBorders>
              <w:bottom w:val="single" w:sz="8" w:color="0033A0"/>
            </w:tcBorders>
          </w:tcPr>
          <w:p>
            <w:pPr>
              <w:spacing w:after="0"/>
              <w:rPr>
                <w:sz w:val="5"/>
                <w:szCs w:val="5"/>
                <w:color w:val="auto"/>
              </w:rPr>
            </w:pPr>
          </w:p>
        </w:tc>
      </w:tr>
    </w:tbl>
    <w:p>
      <w:pPr>
        <w:spacing w:after="0" w:line="186"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auto"/>
        </w:rPr>
        <w:t>Shareholder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68580</wp:posOffset>
            </wp:positionV>
            <wp:extent cx="6997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spacing w:after="0" w:line="323"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At last year’s annual meeting of shareholders, over 98% of votes cast approved the “say on pay” proposal regarding the compensation awarded to named executive officers. The Compensation Committee and the Board take into account the results of the “say on pay” vote as they consider the design of the executive compensation program and policies.</w:t>
      </w:r>
    </w:p>
    <w:p>
      <w:pPr>
        <w:spacing w:after="0" w:line="20" w:lineRule="exact"/>
        <w:rPr>
          <w:sz w:val="20"/>
          <w:szCs w:val="20"/>
          <w:color w:val="auto"/>
        </w:rPr>
      </w:pPr>
      <w:r>
        <w:rPr>
          <w:sz w:val="20"/>
          <w:szCs w:val="20"/>
          <w:color w:val="auto"/>
        </w:rPr>
        <w:br w:type="column"/>
      </w:r>
    </w:p>
    <w:p>
      <w:pPr>
        <w:spacing w:after="0" w:line="303"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There were no changes made to the Company’s executive compensation program in direct response to the 2018 “say on pay” voting results. Members of management and the Board continue to engage in outreach to the Company’s shareholders to discuss governance and compensation policies and practices and emerging issues.</w:t>
      </w:r>
    </w:p>
    <w:p>
      <w:pPr>
        <w:spacing w:after="0" w:line="200" w:lineRule="exact"/>
        <w:rPr>
          <w:sz w:val="20"/>
          <w:szCs w:val="20"/>
          <w:color w:val="auto"/>
        </w:rPr>
      </w:pPr>
    </w:p>
    <w:p>
      <w:pPr>
        <w:sectPr>
          <w:pgSz w:w="11900" w:h="16838" w:orient="portrait"/>
          <w:cols w:equalWidth="0" w:num="2">
            <w:col w:w="5400" w:space="420"/>
            <w:col w:w="5420"/>
          </w:cols>
          <w:pgMar w:left="240" w:top="459" w:right="419" w:bottom="1440" w:gutter="0" w:footer="0" w:header="0"/>
          <w:type w:val="continuous"/>
        </w:sectPr>
      </w:pPr>
    </w:p>
    <w:p>
      <w:pPr>
        <w:spacing w:after="0" w:line="87" w:lineRule="exact"/>
        <w:rPr>
          <w:sz w:val="20"/>
          <w:szCs w:val="20"/>
          <w:color w:val="auto"/>
        </w:rPr>
      </w:pPr>
    </w:p>
    <w:tbl>
      <w:tblPr>
        <w:tblLayout w:type="fixed"/>
        <w:tblInd w:w="8920" w:type="dxa"/>
        <w:tblCellMar>
          <w:top w:w="0" w:type="dxa"/>
          <w:left w:w="0" w:type="dxa"/>
          <w:bottom w:w="0" w:type="dxa"/>
          <w:right w:w="0" w:type="dxa"/>
        </w:tblCellMar>
      </w:tblPr>
      <w:tr>
        <w:trPr>
          <w:trHeight w:val="297"/>
        </w:trPr>
        <w:tc>
          <w:tcPr>
            <w:tcW w:w="1920" w:type="dxa"/>
            <w:vAlign w:val="bottom"/>
            <w:tcBorders>
              <w:right w:val="single" w:sz="8" w:color="0033A0"/>
            </w:tcBorders>
          </w:tcPr>
          <w:p>
            <w:pPr>
              <w:spacing w:after="0"/>
              <w:rPr>
                <w:sz w:val="20"/>
                <w:szCs w:val="20"/>
                <w:color w:val="auto"/>
              </w:rPr>
            </w:pPr>
            <w:r>
              <w:rPr>
                <w:rFonts w:ascii="Arial" w:cs="Arial" w:eastAsia="Arial" w:hAnsi="Arial"/>
                <w:sz w:val="18"/>
                <w:szCs w:val="18"/>
                <w:i w:val="1"/>
                <w:iCs w:val="1"/>
                <w:color w:val="auto"/>
              </w:rPr>
              <w:t>2019 Proxy Statement</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-170815</wp:posOffset>
            </wp:positionV>
            <wp:extent cx="720090"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090" cy="12890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0033A0"/>
        </w:rPr>
        <w:t>The Brink’s Company</w:t>
      </w:r>
    </w:p>
    <w:p>
      <w:pPr>
        <w:spacing w:after="0" w:line="161" w:lineRule="exact"/>
        <w:rPr>
          <w:sz w:val="20"/>
          <w:szCs w:val="20"/>
          <w:color w:val="auto"/>
        </w:rPr>
      </w:pPr>
    </w:p>
    <w:p>
      <w:pPr>
        <w:ind w:left="200" w:right="640"/>
        <w:spacing w:after="0" w:line="256" w:lineRule="auto"/>
        <w:rPr>
          <w:sz w:val="20"/>
          <w:szCs w:val="20"/>
          <w:color w:val="auto"/>
        </w:rPr>
      </w:pPr>
      <w:r>
        <w:rPr>
          <w:rFonts w:ascii="Arial" w:cs="Arial" w:eastAsia="Arial" w:hAnsi="Arial"/>
          <w:sz w:val="43"/>
          <w:szCs w:val="43"/>
          <w:color w:val="0033A0"/>
        </w:rPr>
        <w:t>QUESTIONS AND ANSWERS ABOUT THE ANNUAL MEETING</w:t>
      </w:r>
    </w:p>
    <w:p>
      <w:pPr>
        <w:spacing w:after="0" w:line="16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mailing address of the principal executive office of the Company is 1801 Bayberry Court, P.O. Box 18100, Richmond, VA 23226-8100.</w:t>
      </w:r>
    </w:p>
    <w:p>
      <w:pPr>
        <w:spacing w:after="0" w:line="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Following are questions and answers regarding the annual meeting:</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auto"/>
        </w:rPr>
        <w:t>Why am I receiving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68580</wp:posOffset>
            </wp:positionV>
            <wp:extent cx="6997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00"/>
          </w:cols>
          <w:pgMar w:left="240" w:top="459" w:right="459" w:bottom="1440" w:gutter="0" w:footer="0" w:header="0"/>
        </w:sectPr>
      </w:pPr>
    </w:p>
    <w:p>
      <w:pPr>
        <w:spacing w:after="0" w:line="336" w:lineRule="exact"/>
        <w:rPr>
          <w:sz w:val="20"/>
          <w:szCs w:val="20"/>
          <w:color w:val="auto"/>
        </w:rPr>
      </w:pPr>
    </w:p>
    <w:p>
      <w:pPr>
        <w:ind w:left="200"/>
        <w:spacing w:after="0" w:line="238" w:lineRule="auto"/>
        <w:rPr>
          <w:sz w:val="20"/>
          <w:szCs w:val="20"/>
          <w:color w:val="auto"/>
        </w:rPr>
      </w:pPr>
      <w:r>
        <w:rPr>
          <w:rFonts w:ascii="Arial" w:cs="Arial" w:eastAsia="Arial" w:hAnsi="Arial"/>
          <w:sz w:val="18"/>
          <w:szCs w:val="18"/>
          <w:color w:val="auto"/>
        </w:rPr>
        <w:t>You are receiving this proxy statement in connection with the solicitation of proxies by the Board to be voted at the 2019 annual meeting of shareholders (and at any adjournment or postponement of the 2019 annual meeting), for the purposes set forth in</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ind w:right="480"/>
        <w:spacing w:after="0" w:line="239" w:lineRule="auto"/>
        <w:rPr>
          <w:sz w:val="20"/>
          <w:szCs w:val="20"/>
          <w:color w:val="auto"/>
        </w:rPr>
      </w:pPr>
      <w:r>
        <w:rPr>
          <w:rFonts w:ascii="Arial" w:cs="Arial" w:eastAsia="Arial" w:hAnsi="Arial"/>
          <w:sz w:val="18"/>
          <w:szCs w:val="18"/>
          <w:color w:val="auto"/>
        </w:rPr>
        <w:t>the accompanying notice. The annual meeting will be held on May 2, 2019, at 10:00 a.m., local time, at the Hilton Dallas/Southlake Town Square, 1400 Plaza Place, Southlake, Texas 76092.</w:t>
      </w:r>
    </w:p>
    <w:p>
      <w:pPr>
        <w:spacing w:after="0" w:line="401" w:lineRule="exact"/>
        <w:rPr>
          <w:sz w:val="20"/>
          <w:szCs w:val="20"/>
          <w:color w:val="auto"/>
        </w:rPr>
      </w:pPr>
    </w:p>
    <w:p>
      <w:pPr>
        <w:sectPr>
          <w:pgSz w:w="11900" w:h="16838" w:orient="portrait"/>
          <w:cols w:equalWidth="0" w:num="2">
            <w:col w:w="5420" w:space="400"/>
            <w:col w:w="5380"/>
          </w:cols>
          <w:pgMar w:left="240" w:top="459" w:right="459" w:bottom="1440" w:gutter="0" w:footer="0" w:header="0"/>
          <w:type w:val="continuous"/>
        </w:sectPr>
      </w:pPr>
    </w:p>
    <w:p>
      <w:pPr>
        <w:spacing w:after="0" w:line="149"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auto"/>
        </w:rPr>
        <w:t>What is a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68580</wp:posOffset>
            </wp:positionV>
            <wp:extent cx="6997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00"/>
          </w:cols>
          <w:pgMar w:left="240" w:top="459" w:right="459" w:bottom="1440" w:gutter="0" w:footer="0" w:header="0"/>
          <w:type w:val="continuous"/>
        </w:sectPr>
      </w:pPr>
    </w:p>
    <w:p>
      <w:pPr>
        <w:spacing w:after="0" w:line="323" w:lineRule="exact"/>
        <w:rPr>
          <w:sz w:val="20"/>
          <w:szCs w:val="20"/>
          <w:color w:val="auto"/>
        </w:rPr>
      </w:pPr>
    </w:p>
    <w:p>
      <w:pPr>
        <w:ind w:left="220"/>
        <w:spacing w:after="0" w:line="257" w:lineRule="auto"/>
        <w:rPr>
          <w:sz w:val="20"/>
          <w:szCs w:val="20"/>
          <w:color w:val="auto"/>
        </w:rPr>
      </w:pPr>
      <w:r>
        <w:rPr>
          <w:rFonts w:ascii="Arial" w:cs="Arial" w:eastAsia="Arial" w:hAnsi="Arial"/>
          <w:sz w:val="17"/>
          <w:szCs w:val="17"/>
          <w:color w:val="auto"/>
        </w:rPr>
        <w:t>A proxy is your legal designation of another person to vote the stock you own. If you designate someone as your proxy in a written document, that document is also called a proxy (or proxy card). Ronald J. Domanico and Lindsay K. Blackwood have been</w:t>
      </w:r>
    </w:p>
    <w:p>
      <w:pPr>
        <w:spacing w:after="0" w:line="20" w:lineRule="exact"/>
        <w:rPr>
          <w:sz w:val="20"/>
          <w:szCs w:val="20"/>
          <w:color w:val="auto"/>
        </w:rPr>
      </w:pPr>
      <w:r>
        <w:rPr>
          <w:sz w:val="20"/>
          <w:szCs w:val="20"/>
          <w:color w:val="auto"/>
        </w:rPr>
        <w:br w:type="column"/>
      </w:r>
    </w:p>
    <w:p>
      <w:pPr>
        <w:spacing w:after="0" w:line="303" w:lineRule="exact"/>
        <w:rPr>
          <w:sz w:val="20"/>
          <w:szCs w:val="20"/>
          <w:color w:val="auto"/>
        </w:rPr>
      </w:pPr>
    </w:p>
    <w:p>
      <w:pPr>
        <w:ind w:right="480"/>
        <w:spacing w:after="0" w:line="239" w:lineRule="auto"/>
        <w:rPr>
          <w:sz w:val="20"/>
          <w:szCs w:val="20"/>
          <w:color w:val="auto"/>
        </w:rPr>
      </w:pPr>
      <w:r>
        <w:rPr>
          <w:rFonts w:ascii="Arial" w:cs="Arial" w:eastAsia="Arial" w:hAnsi="Arial"/>
          <w:sz w:val="18"/>
          <w:szCs w:val="18"/>
          <w:color w:val="auto"/>
        </w:rPr>
        <w:t>designated as proxies for the annual meeting. A proxy, if duly executed and not revoked, will be voted and, if it contains any specific instructions, will be voted in accordance with those instructions.</w:t>
      </w:r>
    </w:p>
    <w:p>
      <w:pPr>
        <w:spacing w:after="0" w:line="212" w:lineRule="exact"/>
        <w:rPr>
          <w:sz w:val="20"/>
          <w:szCs w:val="20"/>
          <w:color w:val="auto"/>
        </w:rPr>
      </w:pPr>
    </w:p>
    <w:p>
      <w:pPr>
        <w:sectPr>
          <w:pgSz w:w="11900" w:h="16838" w:orient="portrait"/>
          <w:cols w:equalWidth="0" w:num="2">
            <w:col w:w="5380" w:space="440"/>
            <w:col w:w="5380"/>
          </w:cols>
          <w:pgMar w:left="240" w:top="459" w:right="459" w:bottom="1440" w:gutter="0" w:footer="0" w:header="0"/>
          <w:type w:val="continuous"/>
        </w:sectPr>
      </w:pPr>
    </w:p>
    <w:p>
      <w:pPr>
        <w:spacing w:after="0" w:line="135"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auto"/>
        </w:rPr>
        <w:t>Who is entitled to vote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68580</wp:posOffset>
            </wp:positionV>
            <wp:extent cx="6997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00"/>
          </w:cols>
          <w:pgMar w:left="240" w:top="459" w:right="459" w:bottom="1440" w:gutter="0" w:footer="0" w:header="0"/>
          <w:type w:val="continuous"/>
        </w:sectPr>
      </w:pPr>
    </w:p>
    <w:p>
      <w:pPr>
        <w:spacing w:after="0" w:line="336" w:lineRule="exact"/>
        <w:rPr>
          <w:sz w:val="20"/>
          <w:szCs w:val="20"/>
          <w:color w:val="auto"/>
        </w:rPr>
      </w:pPr>
    </w:p>
    <w:p>
      <w:pPr>
        <w:ind w:left="220"/>
        <w:spacing w:after="0" w:line="239" w:lineRule="auto"/>
        <w:rPr>
          <w:sz w:val="20"/>
          <w:szCs w:val="20"/>
          <w:color w:val="auto"/>
        </w:rPr>
      </w:pPr>
      <w:r>
        <w:rPr>
          <w:rFonts w:ascii="Arial" w:cs="Arial" w:eastAsia="Arial" w:hAnsi="Arial"/>
          <w:sz w:val="18"/>
          <w:szCs w:val="18"/>
          <w:color w:val="auto"/>
        </w:rPr>
        <w:t>You are entitled to notice of the annual meeting and may vote your shares of Brink’s Common Stock if you owned them as of the close of business on March 1, 2019, which is the date that the Board has designated as the record date for the 2019 annual</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jc w:val="both"/>
        <w:ind w:right="320"/>
        <w:spacing w:after="0"/>
        <w:rPr>
          <w:sz w:val="20"/>
          <w:szCs w:val="20"/>
          <w:color w:val="auto"/>
        </w:rPr>
      </w:pPr>
      <w:r>
        <w:rPr>
          <w:rFonts w:ascii="Arial" w:cs="Arial" w:eastAsia="Arial" w:hAnsi="Arial"/>
          <w:sz w:val="18"/>
          <w:szCs w:val="18"/>
          <w:color w:val="auto"/>
        </w:rPr>
        <w:t>meeting of shareholders. On March 1, 2019, the Company had outstanding 49,705,023 shares of Brink’s Common Stock. Each share of Brink’s Common Stock is entitled to one vote.</w:t>
      </w:r>
    </w:p>
    <w:p>
      <w:pPr>
        <w:spacing w:after="0" w:line="403" w:lineRule="exact"/>
        <w:rPr>
          <w:sz w:val="20"/>
          <w:szCs w:val="20"/>
          <w:color w:val="auto"/>
        </w:rPr>
      </w:pPr>
    </w:p>
    <w:p>
      <w:pPr>
        <w:sectPr>
          <w:pgSz w:w="11900" w:h="16838" w:orient="portrait"/>
          <w:cols w:equalWidth="0" w:num="2">
            <w:col w:w="5500" w:space="320"/>
            <w:col w:w="5380"/>
          </w:cols>
          <w:pgMar w:left="240" w:top="459" w:right="459" w:bottom="1440" w:gutter="0" w:footer="0" w:header="0"/>
          <w:type w:val="continuous"/>
        </w:sectPr>
      </w:pPr>
    </w:p>
    <w:p>
      <w:pPr>
        <w:spacing w:after="0" w:line="134"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auto"/>
        </w:rPr>
        <w:t>What am I being asked to vote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68580</wp:posOffset>
            </wp:positionV>
            <wp:extent cx="6997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00"/>
          </w:cols>
          <w:pgMar w:left="240" w:top="459" w:right="459" w:bottom="1440" w:gutter="0" w:footer="0" w:header="0"/>
          <w:type w:val="continuous"/>
        </w:sectPr>
      </w:pPr>
    </w:p>
    <w:p>
      <w:pPr>
        <w:spacing w:after="0" w:line="33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proposals scheduled to be voted on are:</w:t>
      </w:r>
    </w:p>
    <w:p>
      <w:pPr>
        <w:spacing w:after="0" w:line="117" w:lineRule="exact"/>
        <w:rPr>
          <w:sz w:val="20"/>
          <w:szCs w:val="20"/>
          <w:color w:val="auto"/>
        </w:rPr>
      </w:pPr>
    </w:p>
    <w:p>
      <w:pPr>
        <w:ind w:left="560" w:right="84" w:hanging="356"/>
        <w:spacing w:after="0" w:line="246" w:lineRule="auto"/>
        <w:tabs>
          <w:tab w:leader="none" w:pos="5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Election of directors named in this proxy statement for a one-year term;</w:t>
      </w:r>
    </w:p>
    <w:p>
      <w:pPr>
        <w:spacing w:after="0" w:line="102" w:lineRule="exact"/>
        <w:rPr>
          <w:rFonts w:ascii="Arial" w:cs="Arial" w:eastAsia="Arial" w:hAnsi="Arial"/>
          <w:sz w:val="18"/>
          <w:szCs w:val="18"/>
          <w:color w:val="auto"/>
        </w:rPr>
      </w:pPr>
    </w:p>
    <w:p>
      <w:pPr>
        <w:ind w:left="560" w:right="604" w:hanging="356"/>
        <w:spacing w:after="0" w:line="246" w:lineRule="auto"/>
        <w:tabs>
          <w:tab w:leader="none" w:pos="5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Advisory vote to approve named executive officer compensation; and</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jc w:val="both"/>
        <w:ind w:left="356" w:right="580" w:hanging="356"/>
        <w:spacing w:after="0" w:line="275" w:lineRule="auto"/>
        <w:tabs>
          <w:tab w:leader="none" w:pos="356" w:val="left"/>
        </w:tabs>
        <w:numPr>
          <w:ilvl w:val="0"/>
          <w:numId w:val="14"/>
        </w:numPr>
        <w:rPr>
          <w:rFonts w:ascii="Arial" w:cs="Arial" w:eastAsia="Arial" w:hAnsi="Arial"/>
          <w:sz w:val="17"/>
          <w:szCs w:val="17"/>
          <w:color w:val="auto"/>
        </w:rPr>
      </w:pPr>
      <w:r>
        <w:rPr>
          <w:rFonts w:ascii="Arial" w:cs="Arial" w:eastAsia="Arial" w:hAnsi="Arial"/>
          <w:sz w:val="17"/>
          <w:szCs w:val="17"/>
          <w:color w:val="auto"/>
        </w:rPr>
        <w:t>Selection of Deloitte and Touche LLP as the Company’s independent registered public accounting firm for 2019.</w:t>
      </w:r>
    </w:p>
    <w:p>
      <w:pPr>
        <w:spacing w:after="0" w:line="1027" w:lineRule="exact"/>
        <w:rPr>
          <w:sz w:val="20"/>
          <w:szCs w:val="20"/>
          <w:color w:val="auto"/>
        </w:rPr>
      </w:pPr>
    </w:p>
    <w:p>
      <w:pPr>
        <w:sectPr>
          <w:pgSz w:w="11900" w:h="16838" w:orient="portrait"/>
          <w:cols w:equalWidth="0" w:num="2">
            <w:col w:w="5104" w:space="720"/>
            <w:col w:w="5376"/>
          </w:cols>
          <w:pgMar w:left="240" w:top="459" w:right="459" w:bottom="1440" w:gutter="0" w:footer="0" w:header="0"/>
          <w:type w:val="continuous"/>
        </w:sectPr>
      </w:pPr>
    </w:p>
    <w:p>
      <w:pPr>
        <w:spacing w:after="0" w:line="143"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auto"/>
        </w:rPr>
        <w:t>What are the Board’s recommendations?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68580</wp:posOffset>
            </wp:positionV>
            <wp:extent cx="6997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98"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5620" w:type="dxa"/>
            <w:vAlign w:val="bottom"/>
          </w:tcPr>
          <w:p>
            <w:pPr>
              <w:spacing w:after="0"/>
              <w:rPr>
                <w:sz w:val="20"/>
                <w:szCs w:val="20"/>
                <w:color w:val="auto"/>
              </w:rPr>
            </w:pPr>
            <w:r>
              <w:rPr>
                <w:rFonts w:ascii="Arial" w:cs="Arial" w:eastAsia="Arial" w:hAnsi="Arial"/>
                <w:sz w:val="18"/>
                <w:szCs w:val="18"/>
                <w:color w:val="auto"/>
              </w:rPr>
              <w:t>The Board recommends a vote FOR:</w:t>
            </w:r>
          </w:p>
        </w:tc>
        <w:tc>
          <w:tcPr>
            <w:tcW w:w="5360" w:type="dxa"/>
            <w:vAlign w:val="bottom"/>
          </w:tcPr>
          <w:p>
            <w:pPr>
              <w:ind w:left="460"/>
              <w:spacing w:after="0"/>
              <w:rPr>
                <w:sz w:val="20"/>
                <w:szCs w:val="20"/>
                <w:color w:val="auto"/>
              </w:rPr>
            </w:pPr>
            <w:r>
              <w:rPr>
                <w:rFonts w:ascii="Arial" w:cs="Arial" w:eastAsia="Arial" w:hAnsi="Arial"/>
                <w:sz w:val="18"/>
                <w:szCs w:val="18"/>
                <w:color w:val="0033A0"/>
              </w:rPr>
              <w:t xml:space="preserve">•   </w:t>
            </w:r>
            <w:r>
              <w:rPr>
                <w:rFonts w:ascii="Arial" w:cs="Arial" w:eastAsia="Arial" w:hAnsi="Arial"/>
                <w:sz w:val="18"/>
                <w:szCs w:val="18"/>
                <w:color w:val="000000"/>
              </w:rPr>
              <w:t>The selection of Deloitte and Touche LLP as the</w:t>
            </w:r>
          </w:p>
        </w:tc>
        <w:tc>
          <w:tcPr>
            <w:tcW w:w="0" w:type="dxa"/>
            <w:vAlign w:val="bottom"/>
          </w:tcPr>
          <w:p>
            <w:pPr>
              <w:spacing w:after="0"/>
              <w:rPr>
                <w:sz w:val="1"/>
                <w:szCs w:val="1"/>
                <w:color w:val="auto"/>
              </w:rPr>
            </w:pPr>
          </w:p>
        </w:tc>
      </w:tr>
      <w:tr>
        <w:trPr>
          <w:trHeight w:val="203"/>
        </w:trPr>
        <w:tc>
          <w:tcPr>
            <w:tcW w:w="5620" w:type="dxa"/>
            <w:vAlign w:val="bottom"/>
            <w:vMerge w:val="restart"/>
          </w:tcPr>
          <w:p>
            <w:pPr>
              <w:ind w:left="460"/>
              <w:spacing w:after="0"/>
              <w:rPr>
                <w:sz w:val="20"/>
                <w:szCs w:val="20"/>
                <w:color w:val="auto"/>
              </w:rPr>
            </w:pPr>
            <w:r>
              <w:rPr>
                <w:rFonts w:ascii="Arial" w:cs="Arial" w:eastAsia="Arial" w:hAnsi="Arial"/>
                <w:sz w:val="18"/>
                <w:szCs w:val="18"/>
                <w:color w:val="0033A0"/>
              </w:rPr>
              <w:t xml:space="preserve">•   </w:t>
            </w:r>
            <w:r>
              <w:rPr>
                <w:rFonts w:ascii="Arial" w:cs="Arial" w:eastAsia="Arial" w:hAnsi="Arial"/>
                <w:sz w:val="18"/>
                <w:szCs w:val="18"/>
                <w:color w:val="000000"/>
              </w:rPr>
              <w:t>The election of directors named in this proxy statement</w:t>
            </w:r>
          </w:p>
        </w:tc>
        <w:tc>
          <w:tcPr>
            <w:tcW w:w="5360" w:type="dxa"/>
            <w:vAlign w:val="bottom"/>
          </w:tcPr>
          <w:p>
            <w:pPr>
              <w:ind w:left="780"/>
              <w:spacing w:after="0" w:line="202" w:lineRule="exact"/>
              <w:rPr>
                <w:sz w:val="20"/>
                <w:szCs w:val="20"/>
                <w:color w:val="auto"/>
              </w:rPr>
            </w:pPr>
            <w:r>
              <w:rPr>
                <w:rFonts w:ascii="Arial" w:cs="Arial" w:eastAsia="Arial" w:hAnsi="Arial"/>
                <w:sz w:val="18"/>
                <w:szCs w:val="18"/>
                <w:color w:val="auto"/>
                <w:w w:val="99"/>
              </w:rPr>
              <w:t>Company’s independent registered public accounting firm</w:t>
            </w:r>
          </w:p>
        </w:tc>
        <w:tc>
          <w:tcPr>
            <w:tcW w:w="0" w:type="dxa"/>
            <w:vAlign w:val="bottom"/>
          </w:tcPr>
          <w:p>
            <w:pPr>
              <w:spacing w:after="0"/>
              <w:rPr>
                <w:sz w:val="1"/>
                <w:szCs w:val="1"/>
                <w:color w:val="auto"/>
              </w:rPr>
            </w:pPr>
          </w:p>
        </w:tc>
      </w:tr>
      <w:tr>
        <w:trPr>
          <w:trHeight w:val="122"/>
        </w:trPr>
        <w:tc>
          <w:tcPr>
            <w:tcW w:w="5620" w:type="dxa"/>
            <w:vAlign w:val="bottom"/>
            <w:vMerge w:val="continue"/>
          </w:tcPr>
          <w:p>
            <w:pPr>
              <w:spacing w:after="0"/>
              <w:rPr>
                <w:sz w:val="10"/>
                <w:szCs w:val="10"/>
                <w:color w:val="auto"/>
              </w:rPr>
            </w:pPr>
          </w:p>
        </w:tc>
        <w:tc>
          <w:tcPr>
            <w:tcW w:w="5360" w:type="dxa"/>
            <w:vAlign w:val="bottom"/>
            <w:vMerge w:val="restart"/>
          </w:tcPr>
          <w:p>
            <w:pPr>
              <w:ind w:left="780"/>
              <w:spacing w:after="0"/>
              <w:rPr>
                <w:sz w:val="20"/>
                <w:szCs w:val="20"/>
                <w:color w:val="auto"/>
              </w:rPr>
            </w:pPr>
            <w:r>
              <w:rPr>
                <w:rFonts w:ascii="Arial" w:cs="Arial" w:eastAsia="Arial" w:hAnsi="Arial"/>
                <w:sz w:val="18"/>
                <w:szCs w:val="18"/>
                <w:color w:val="auto"/>
              </w:rPr>
              <w:t>for 2019.</w:t>
            </w:r>
          </w:p>
        </w:tc>
        <w:tc>
          <w:tcPr>
            <w:tcW w:w="0" w:type="dxa"/>
            <w:vAlign w:val="bottom"/>
          </w:tcPr>
          <w:p>
            <w:pPr>
              <w:spacing w:after="0"/>
              <w:rPr>
                <w:sz w:val="1"/>
                <w:szCs w:val="1"/>
                <w:color w:val="auto"/>
              </w:rPr>
            </w:pPr>
          </w:p>
        </w:tc>
      </w:tr>
      <w:tr>
        <w:trPr>
          <w:trHeight w:val="95"/>
        </w:trPr>
        <w:tc>
          <w:tcPr>
            <w:tcW w:w="5620" w:type="dxa"/>
            <w:vAlign w:val="bottom"/>
            <w:vMerge w:val="restart"/>
          </w:tcPr>
          <w:p>
            <w:pPr>
              <w:ind w:left="780"/>
              <w:spacing w:after="0"/>
              <w:rPr>
                <w:sz w:val="20"/>
                <w:szCs w:val="20"/>
                <w:color w:val="auto"/>
              </w:rPr>
            </w:pPr>
            <w:r>
              <w:rPr>
                <w:rFonts w:ascii="Arial" w:cs="Arial" w:eastAsia="Arial" w:hAnsi="Arial"/>
                <w:sz w:val="18"/>
                <w:szCs w:val="18"/>
                <w:color w:val="auto"/>
              </w:rPr>
              <w:t>for a one-year term;</w:t>
            </w:r>
          </w:p>
        </w:tc>
        <w:tc>
          <w:tcPr>
            <w:tcW w:w="53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5620" w:type="dxa"/>
            <w:vAlign w:val="bottom"/>
            <w:vMerge w:val="continue"/>
          </w:tcPr>
          <w:p>
            <w:pPr>
              <w:spacing w:after="0"/>
              <w:rPr>
                <w:sz w:val="10"/>
                <w:szCs w:val="10"/>
                <w:color w:val="auto"/>
              </w:rPr>
            </w:pPr>
          </w:p>
        </w:tc>
        <w:tc>
          <w:tcPr>
            <w:tcW w:w="5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0"/>
        </w:trPr>
        <w:tc>
          <w:tcPr>
            <w:tcW w:w="5620" w:type="dxa"/>
            <w:vAlign w:val="bottom"/>
          </w:tcPr>
          <w:p>
            <w:pPr>
              <w:ind w:left="460"/>
              <w:spacing w:after="0"/>
              <w:rPr>
                <w:sz w:val="20"/>
                <w:szCs w:val="20"/>
                <w:color w:val="auto"/>
              </w:rPr>
            </w:pPr>
            <w:r>
              <w:rPr>
                <w:rFonts w:ascii="Arial" w:cs="Arial" w:eastAsia="Arial" w:hAnsi="Arial"/>
                <w:sz w:val="18"/>
                <w:szCs w:val="18"/>
                <w:color w:val="0033A0"/>
              </w:rPr>
              <w:t xml:space="preserve">•   </w:t>
            </w:r>
            <w:r>
              <w:rPr>
                <w:rFonts w:ascii="Arial" w:cs="Arial" w:eastAsia="Arial" w:hAnsi="Arial"/>
                <w:sz w:val="18"/>
                <w:szCs w:val="18"/>
                <w:color w:val="000000"/>
              </w:rPr>
              <w:t>The advisory vote to approve named executive officer</w:t>
            </w:r>
          </w:p>
        </w:tc>
        <w:tc>
          <w:tcPr>
            <w:tcW w:w="5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620" w:type="dxa"/>
            <w:vAlign w:val="bottom"/>
          </w:tcPr>
          <w:p>
            <w:pPr>
              <w:ind w:left="780"/>
              <w:spacing w:after="0"/>
              <w:rPr>
                <w:sz w:val="20"/>
                <w:szCs w:val="20"/>
                <w:color w:val="auto"/>
              </w:rPr>
            </w:pPr>
            <w:r>
              <w:rPr>
                <w:rFonts w:ascii="Arial" w:cs="Arial" w:eastAsia="Arial" w:hAnsi="Arial"/>
                <w:sz w:val="18"/>
                <w:szCs w:val="18"/>
                <w:color w:val="auto"/>
              </w:rPr>
              <w:t>compensation; and</w:t>
            </w:r>
          </w:p>
        </w:tc>
        <w:tc>
          <w:tcPr>
            <w:tcW w:w="53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tbl>
      <w:tblPr>
        <w:tblLayout w:type="fixed"/>
        <w:tblInd w:w="200" w:type="dxa"/>
        <w:tblCellMar>
          <w:top w:w="0" w:type="dxa"/>
          <w:left w:w="0" w:type="dxa"/>
          <w:bottom w:w="0" w:type="dxa"/>
          <w:right w:w="0" w:type="dxa"/>
        </w:tblCellMar>
      </w:tblPr>
      <w:tr>
        <w:trPr>
          <w:trHeight w:val="297"/>
        </w:trPr>
        <w:tc>
          <w:tcPr>
            <w:tcW w:w="260" w:type="dxa"/>
            <w:vAlign w:val="bottom"/>
            <w:tcBorders>
              <w:right w:val="single" w:sz="8" w:color="0033A0"/>
            </w:tcBorders>
          </w:tcPr>
          <w:p>
            <w:pPr>
              <w:jc w:val="right"/>
              <w:ind w:right="70"/>
              <w:spacing w:after="0"/>
              <w:rPr>
                <w:sz w:val="20"/>
                <w:szCs w:val="20"/>
                <w:color w:val="auto"/>
              </w:rPr>
            </w:pPr>
            <w:r>
              <w:rPr>
                <w:rFonts w:ascii="Arial" w:cs="Arial" w:eastAsia="Arial" w:hAnsi="Arial"/>
                <w:sz w:val="18"/>
                <w:szCs w:val="18"/>
                <w:b w:val="1"/>
                <w:bCs w:val="1"/>
                <w:color w:val="auto"/>
                <w:w w:val="79"/>
              </w:rPr>
              <w:t>6</w:t>
            </w:r>
          </w:p>
        </w:tc>
        <w:tc>
          <w:tcPr>
            <w:tcW w:w="3380" w:type="dxa"/>
            <w:vAlign w:val="bottom"/>
          </w:tcPr>
          <w:p>
            <w:pPr>
              <w:ind w:left="1600"/>
              <w:spacing w:after="0"/>
              <w:rPr>
                <w:sz w:val="20"/>
                <w:szCs w:val="20"/>
                <w:color w:val="auto"/>
              </w:rPr>
            </w:pPr>
            <w:r>
              <w:rPr>
                <w:rFonts w:ascii="Arial" w:cs="Arial" w:eastAsia="Arial" w:hAnsi="Arial"/>
                <w:sz w:val="18"/>
                <w:szCs w:val="18"/>
                <w:i w:val="1"/>
                <w:iCs w:val="1"/>
                <w:color w:val="auto"/>
                <w:w w:val="98"/>
              </w:rPr>
              <w:t>2019 Proxy Statement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-170815</wp:posOffset>
            </wp:positionV>
            <wp:extent cx="720090"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0090" cy="128905"/>
                    </a:xfrm>
                    <a:prstGeom prst="rect">
                      <a:avLst/>
                    </a:prstGeom>
                    <a:noFill/>
                  </pic:spPr>
                </pic:pic>
              </a:graphicData>
            </a:graphic>
          </wp:anchor>
        </w:drawing>
      </w:r>
    </w:p>
    <w:p>
      <w:pPr>
        <w:sectPr>
          <w:pgSz w:w="11900" w:h="16838" w:orient="portrait"/>
          <w:cols w:equalWidth="0" w:num="1">
            <w:col w:w="11200"/>
          </w:cols>
          <w:pgMar w:left="240" w:top="459" w:right="45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5460"/>
        <w:spacing w:after="0"/>
        <w:rPr>
          <w:sz w:val="20"/>
          <w:szCs w:val="20"/>
          <w:color w:val="auto"/>
        </w:rPr>
      </w:pPr>
      <w:r>
        <w:rPr>
          <w:rFonts w:ascii="Arial" w:cs="Arial" w:eastAsia="Arial" w:hAnsi="Arial"/>
          <w:sz w:val="19"/>
          <w:szCs w:val="19"/>
          <w:b w:val="1"/>
          <w:bCs w:val="1"/>
          <w:color w:val="0033A0"/>
        </w:rPr>
        <w:t>QUESTIONS AND ANSWERS ABOUT THE ANNUAL MEETING</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auto"/>
        </w:rPr>
        <w:t>How many votes must be present to hold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68580</wp:posOffset>
            </wp:positionV>
            <wp:extent cx="6997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spacing w:after="0" w:line="336"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A majority of the outstanding shares of Brink’s Common Stock as of the record date must be present in person or represented by proxy at the annual meeting. This is referred to as a quorum. Abstentions, withheld votes and shares held in street name (“Brokers’ Shares”) voted by brokers are included in determining the number of votes present.</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Brokers’ Shares that are not voted on any matter will not be included in determining whether a quorum is present. In the event that a quorum is not present at the annual meeting, we expect that the annual meeting will be adjourned or postponed to solicit additional proxies.</w:t>
      </w:r>
    </w:p>
    <w:p>
      <w:pPr>
        <w:spacing w:after="0" w:line="400" w:lineRule="exact"/>
        <w:rPr>
          <w:sz w:val="20"/>
          <w:szCs w:val="20"/>
          <w:color w:val="auto"/>
        </w:rPr>
      </w:pPr>
    </w:p>
    <w:p>
      <w:pPr>
        <w:sectPr>
          <w:pgSz w:w="11900" w:h="16838" w:orient="portrait"/>
          <w:cols w:equalWidth="0" w:num="2">
            <w:col w:w="5380" w:space="440"/>
            <w:col w:w="5420"/>
          </w:cols>
          <w:pgMar w:left="240" w:top="459" w:right="419" w:bottom="1440" w:gutter="0" w:footer="0" w:header="0"/>
          <w:type w:val="continuous"/>
        </w:sectPr>
      </w:pPr>
    </w:p>
    <w:p>
      <w:pPr>
        <w:spacing w:after="0" w:line="151"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auto"/>
        </w:rPr>
        <w:t>What is a broker non-vote?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68580</wp:posOffset>
            </wp:positionV>
            <wp:extent cx="6997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type w:val="continuous"/>
        </w:sectPr>
      </w:pPr>
    </w:p>
    <w:p>
      <w:pPr>
        <w:spacing w:after="0" w:line="323" w:lineRule="exact"/>
        <w:rPr>
          <w:sz w:val="20"/>
          <w:szCs w:val="20"/>
          <w:color w:val="auto"/>
        </w:rPr>
      </w:pPr>
    </w:p>
    <w:p>
      <w:pPr>
        <w:ind w:left="200"/>
        <w:spacing w:after="0" w:line="239" w:lineRule="auto"/>
        <w:rPr>
          <w:sz w:val="20"/>
          <w:szCs w:val="20"/>
          <w:color w:val="auto"/>
        </w:rPr>
      </w:pPr>
      <w:r>
        <w:rPr>
          <w:rFonts w:ascii="Arial" w:cs="Arial" w:eastAsia="Arial" w:hAnsi="Arial"/>
          <w:sz w:val="18"/>
          <w:szCs w:val="18"/>
          <w:color w:val="auto"/>
        </w:rPr>
        <w:t>Under the rules of the New York Stock Exchange, a broker may vote Brokers’ Shares in its discretion on “routine matters,” but a broker may not vote on proposals that are not considered “routine.” When a</w:t>
      </w:r>
    </w:p>
    <w:p>
      <w:pPr>
        <w:spacing w:after="0" w:line="20" w:lineRule="exact"/>
        <w:rPr>
          <w:sz w:val="20"/>
          <w:szCs w:val="20"/>
          <w:color w:val="auto"/>
        </w:rPr>
      </w:pPr>
      <w:r>
        <w:rPr>
          <w:sz w:val="20"/>
          <w:szCs w:val="20"/>
          <w:color w:val="auto"/>
        </w:rPr>
        <w:br w:type="column"/>
      </w:r>
    </w:p>
    <w:p>
      <w:pPr>
        <w:spacing w:after="0" w:line="303"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color w:val="auto"/>
        </w:rPr>
        <w:t>proposal is a non-routine matter and the broker has not received voting instructions with respect to that proposal, the broker cannot vote on that proposal. This is commonly called a “broker non-vote.”</w:t>
      </w:r>
    </w:p>
    <w:p>
      <w:pPr>
        <w:spacing w:after="0" w:line="386" w:lineRule="exact"/>
        <w:rPr>
          <w:sz w:val="20"/>
          <w:szCs w:val="20"/>
          <w:color w:val="auto"/>
        </w:rPr>
      </w:pPr>
    </w:p>
    <w:p>
      <w:pPr>
        <w:sectPr>
          <w:pgSz w:w="11900" w:h="16838" w:orient="portrait"/>
          <w:cols w:equalWidth="0" w:num="2">
            <w:col w:w="5240" w:space="580"/>
            <w:col w:w="5420"/>
          </w:cols>
          <w:pgMar w:left="240" w:top="459" w:right="419" w:bottom="1440" w:gutter="0" w:footer="0" w:header="0"/>
          <w:type w:val="continuous"/>
        </w:sectPr>
      </w:pPr>
    </w:p>
    <w:p>
      <w:pPr>
        <w:spacing w:after="0" w:line="148"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auto"/>
        </w:rPr>
        <w:t>How many votes are needed to approve each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68580</wp:posOffset>
            </wp:positionV>
            <wp:extent cx="6997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type w:val="continuous"/>
        </w:sectPr>
      </w:pPr>
    </w:p>
    <w:p>
      <w:pPr>
        <w:spacing w:after="0" w:line="336" w:lineRule="exact"/>
        <w:rPr>
          <w:sz w:val="20"/>
          <w:szCs w:val="20"/>
          <w:color w:val="auto"/>
        </w:rPr>
      </w:pPr>
    </w:p>
    <w:p>
      <w:pPr>
        <w:ind w:left="200"/>
        <w:spacing w:after="0" w:line="261" w:lineRule="auto"/>
        <w:rPr>
          <w:sz w:val="20"/>
          <w:szCs w:val="20"/>
          <w:color w:val="auto"/>
        </w:rPr>
      </w:pPr>
      <w:r>
        <w:rPr>
          <w:rFonts w:ascii="Arial" w:cs="Arial" w:eastAsia="Arial" w:hAnsi="Arial"/>
          <w:sz w:val="17"/>
          <w:szCs w:val="17"/>
          <w:color w:val="auto"/>
        </w:rPr>
        <w:t>The following table summarizes the vote required to approve each proposal and the effects of abstentions, broker non-votes, and signed, but unmarked proxy cards, on the tabulation of votes for</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ind w:right="60"/>
        <w:spacing w:after="0"/>
        <w:rPr>
          <w:sz w:val="20"/>
          <w:szCs w:val="20"/>
          <w:color w:val="auto"/>
        </w:rPr>
      </w:pPr>
      <w:r>
        <w:rPr>
          <w:rFonts w:ascii="Arial" w:cs="Arial" w:eastAsia="Arial" w:hAnsi="Arial"/>
          <w:sz w:val="18"/>
          <w:szCs w:val="18"/>
          <w:color w:val="auto"/>
        </w:rPr>
        <w:t>each proposal. For any other business that may properly come before the annual meeting, proxies will be voted in accordance with the judgment of the person voting the proxies.</w:t>
      </w:r>
    </w:p>
    <w:p>
      <w:pPr>
        <w:spacing w:after="0" w:line="216" w:lineRule="exact"/>
        <w:rPr>
          <w:sz w:val="20"/>
          <w:szCs w:val="20"/>
          <w:color w:val="auto"/>
        </w:rPr>
      </w:pPr>
    </w:p>
    <w:p>
      <w:pPr>
        <w:sectPr>
          <w:pgSz w:w="11900" w:h="16838" w:orient="portrait"/>
          <w:cols w:equalWidth="0" w:num="2">
            <w:col w:w="5460" w:space="360"/>
            <w:col w:w="5420"/>
          </w:cols>
          <w:pgMar w:left="240" w:top="459" w:right="419" w:bottom="1440" w:gutter="0" w:footer="0" w:header="0"/>
          <w:type w:val="continuous"/>
        </w:sectPr>
      </w:pPr>
    </w:p>
    <w:p>
      <w:pPr>
        <w:spacing w:after="0" w:line="136"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8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0033A0"/>
              </w:rPr>
              <w:t>Uninstructed</w:t>
            </w: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20" w:type="dxa"/>
            <w:vAlign w:val="bottom"/>
            <w:vMerge w:val="restart"/>
          </w:tcPr>
          <w:p>
            <w:pPr>
              <w:ind w:left="60"/>
              <w:spacing w:after="0"/>
              <w:rPr>
                <w:sz w:val="20"/>
                <w:szCs w:val="20"/>
                <w:color w:val="auto"/>
              </w:rPr>
            </w:pPr>
            <w:r>
              <w:rPr>
                <w:rFonts w:ascii="Arial" w:cs="Arial" w:eastAsia="Arial" w:hAnsi="Arial"/>
                <w:sz w:val="14"/>
                <w:szCs w:val="14"/>
                <w:b w:val="1"/>
                <w:bCs w:val="1"/>
                <w:color w:val="0033A0"/>
              </w:rPr>
              <w:t>Proposal</w:t>
            </w:r>
          </w:p>
        </w:tc>
        <w:tc>
          <w:tcPr>
            <w:tcW w:w="39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0033A0"/>
              </w:rPr>
              <w:t>Shares/Effect of</w:t>
            </w:r>
          </w:p>
        </w:tc>
        <w:tc>
          <w:tcPr>
            <w:tcW w:w="1540" w:type="dxa"/>
            <w:vAlign w:val="bottom"/>
          </w:tcPr>
          <w:p>
            <w:pPr>
              <w:jc w:val="center"/>
              <w:ind w:left="4"/>
              <w:spacing w:after="0"/>
              <w:rPr>
                <w:sz w:val="20"/>
                <w:szCs w:val="20"/>
                <w:color w:val="auto"/>
              </w:rPr>
            </w:pPr>
            <w:r>
              <w:rPr>
                <w:rFonts w:ascii="Arial" w:cs="Arial" w:eastAsia="Arial" w:hAnsi="Arial"/>
                <w:sz w:val="14"/>
                <w:szCs w:val="14"/>
                <w:b w:val="1"/>
                <w:bCs w:val="1"/>
                <w:color w:val="0033A0"/>
              </w:rPr>
              <w:t>Signed but</w:t>
            </w:r>
          </w:p>
        </w:tc>
        <w:tc>
          <w:tcPr>
            <w:tcW w:w="0" w:type="dxa"/>
            <w:vAlign w:val="bottom"/>
          </w:tcPr>
          <w:p>
            <w:pPr>
              <w:spacing w:after="0"/>
              <w:rPr>
                <w:sz w:val="1"/>
                <w:szCs w:val="1"/>
                <w:color w:val="auto"/>
              </w:rPr>
            </w:pPr>
          </w:p>
        </w:tc>
      </w:tr>
      <w:tr>
        <w:trPr>
          <w:trHeight w:val="149"/>
        </w:trPr>
        <w:tc>
          <w:tcPr>
            <w:tcW w:w="820" w:type="dxa"/>
            <w:vAlign w:val="bottom"/>
            <w:vMerge w:val="continue"/>
          </w:tcPr>
          <w:p>
            <w:pPr>
              <w:spacing w:after="0"/>
              <w:rPr>
                <w:sz w:val="12"/>
                <w:szCs w:val="12"/>
                <w:color w:val="auto"/>
              </w:rPr>
            </w:pPr>
          </w:p>
        </w:tc>
        <w:tc>
          <w:tcPr>
            <w:tcW w:w="3960" w:type="dxa"/>
            <w:vAlign w:val="bottom"/>
          </w:tcPr>
          <w:p>
            <w:pPr>
              <w:spacing w:after="0"/>
              <w:rPr>
                <w:sz w:val="12"/>
                <w:szCs w:val="12"/>
                <w:color w:val="auto"/>
              </w:rPr>
            </w:pPr>
          </w:p>
        </w:tc>
        <w:tc>
          <w:tcPr>
            <w:tcW w:w="1980" w:type="dxa"/>
            <w:vAlign w:val="bottom"/>
          </w:tcPr>
          <w:p>
            <w:pPr>
              <w:ind w:left="660"/>
              <w:spacing w:after="0" w:line="149" w:lineRule="exact"/>
              <w:rPr>
                <w:sz w:val="20"/>
                <w:szCs w:val="20"/>
                <w:color w:val="auto"/>
              </w:rPr>
            </w:pPr>
            <w:r>
              <w:rPr>
                <w:rFonts w:ascii="Arial" w:cs="Arial" w:eastAsia="Arial" w:hAnsi="Arial"/>
                <w:sz w:val="14"/>
                <w:szCs w:val="14"/>
                <w:b w:val="1"/>
                <w:bCs w:val="1"/>
                <w:color w:val="0033A0"/>
              </w:rPr>
              <w:t>Vote Required</w:t>
            </w:r>
          </w:p>
        </w:tc>
        <w:tc>
          <w:tcPr>
            <w:tcW w:w="114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0033A0"/>
              </w:rPr>
              <w:t>Broker Non-</w:t>
            </w:r>
          </w:p>
        </w:tc>
        <w:tc>
          <w:tcPr>
            <w:tcW w:w="1540" w:type="dxa"/>
            <w:vAlign w:val="bottom"/>
          </w:tcPr>
          <w:p>
            <w:pPr>
              <w:jc w:val="center"/>
              <w:ind w:left="4"/>
              <w:spacing w:after="0" w:line="149" w:lineRule="exact"/>
              <w:rPr>
                <w:sz w:val="20"/>
                <w:szCs w:val="20"/>
                <w:color w:val="auto"/>
              </w:rPr>
            </w:pPr>
            <w:r>
              <w:rPr>
                <w:rFonts w:ascii="Arial" w:cs="Arial" w:eastAsia="Arial" w:hAnsi="Arial"/>
                <w:sz w:val="14"/>
                <w:szCs w:val="14"/>
                <w:b w:val="1"/>
                <w:bCs w:val="1"/>
                <w:color w:val="0033A0"/>
              </w:rPr>
              <w:t>Unmarked Proxy</w:t>
            </w:r>
          </w:p>
        </w:tc>
        <w:tc>
          <w:tcPr>
            <w:tcW w:w="0" w:type="dxa"/>
            <w:vAlign w:val="bottom"/>
          </w:tcPr>
          <w:p>
            <w:pPr>
              <w:spacing w:after="0"/>
              <w:rPr>
                <w:sz w:val="1"/>
                <w:szCs w:val="1"/>
                <w:color w:val="auto"/>
              </w:rPr>
            </w:pPr>
          </w:p>
        </w:tc>
      </w:tr>
      <w:tr>
        <w:trPr>
          <w:trHeight w:val="189"/>
        </w:trPr>
        <w:tc>
          <w:tcPr>
            <w:tcW w:w="820" w:type="dxa"/>
            <w:vAlign w:val="bottom"/>
            <w:tcBorders>
              <w:bottom w:val="single" w:sz="8" w:color="0033A0"/>
            </w:tcBorders>
          </w:tcPr>
          <w:p>
            <w:pPr>
              <w:ind w:left="60"/>
              <w:spacing w:after="0"/>
              <w:rPr>
                <w:sz w:val="20"/>
                <w:szCs w:val="20"/>
                <w:color w:val="auto"/>
              </w:rPr>
            </w:pPr>
            <w:r>
              <w:rPr>
                <w:rFonts w:ascii="Arial" w:cs="Arial" w:eastAsia="Arial" w:hAnsi="Arial"/>
                <w:sz w:val="14"/>
                <w:szCs w:val="14"/>
                <w:b w:val="1"/>
                <w:bCs w:val="1"/>
                <w:color w:val="0033A0"/>
              </w:rPr>
              <w:t>Number</w:t>
            </w:r>
          </w:p>
        </w:tc>
        <w:tc>
          <w:tcPr>
            <w:tcW w:w="3960" w:type="dxa"/>
            <w:vAlign w:val="bottom"/>
            <w:tcBorders>
              <w:bottom w:val="single" w:sz="8" w:color="0033A0"/>
            </w:tcBorders>
          </w:tcPr>
          <w:p>
            <w:pPr>
              <w:ind w:left="1980"/>
              <w:spacing w:after="0"/>
              <w:rPr>
                <w:sz w:val="20"/>
                <w:szCs w:val="20"/>
                <w:color w:val="auto"/>
              </w:rPr>
            </w:pPr>
            <w:r>
              <w:rPr>
                <w:rFonts w:ascii="Arial" w:cs="Arial" w:eastAsia="Arial" w:hAnsi="Arial"/>
                <w:sz w:val="14"/>
                <w:szCs w:val="14"/>
                <w:b w:val="1"/>
                <w:bCs w:val="1"/>
                <w:color w:val="0033A0"/>
              </w:rPr>
              <w:t>Item</w:t>
            </w:r>
          </w:p>
        </w:tc>
        <w:tc>
          <w:tcPr>
            <w:tcW w:w="1980" w:type="dxa"/>
            <w:vAlign w:val="bottom"/>
            <w:tcBorders>
              <w:bottom w:val="single" w:sz="8" w:color="0033A0"/>
            </w:tcBorders>
          </w:tcPr>
          <w:p>
            <w:pPr>
              <w:ind w:left="700"/>
              <w:spacing w:after="0"/>
              <w:rPr>
                <w:sz w:val="20"/>
                <w:szCs w:val="20"/>
                <w:color w:val="auto"/>
              </w:rPr>
            </w:pPr>
            <w:r>
              <w:rPr>
                <w:rFonts w:ascii="Arial" w:cs="Arial" w:eastAsia="Arial" w:hAnsi="Arial"/>
                <w:sz w:val="14"/>
                <w:szCs w:val="14"/>
                <w:b w:val="1"/>
                <w:bCs w:val="1"/>
                <w:color w:val="0033A0"/>
              </w:rPr>
              <w:t>for Approval</w:t>
            </w:r>
          </w:p>
        </w:tc>
        <w:tc>
          <w:tcPr>
            <w:tcW w:w="1140" w:type="dxa"/>
            <w:vAlign w:val="bottom"/>
            <w:tcBorders>
              <w:bottom w:val="single" w:sz="8" w:color="0033A0"/>
            </w:tcBorders>
          </w:tcPr>
          <w:p>
            <w:pPr>
              <w:ind w:left="220"/>
              <w:spacing w:after="0"/>
              <w:rPr>
                <w:sz w:val="20"/>
                <w:szCs w:val="20"/>
                <w:color w:val="auto"/>
              </w:rPr>
            </w:pPr>
            <w:r>
              <w:rPr>
                <w:rFonts w:ascii="Arial" w:cs="Arial" w:eastAsia="Arial" w:hAnsi="Arial"/>
                <w:sz w:val="14"/>
                <w:szCs w:val="14"/>
                <w:b w:val="1"/>
                <w:bCs w:val="1"/>
                <w:color w:val="0033A0"/>
              </w:rPr>
              <w:t>Abstentions</w:t>
            </w:r>
          </w:p>
        </w:tc>
        <w:tc>
          <w:tcPr>
            <w:tcW w:w="1580" w:type="dxa"/>
            <w:vAlign w:val="bottom"/>
            <w:tcBorders>
              <w:bottom w:val="single" w:sz="8" w:color="0033A0"/>
            </w:tcBorders>
          </w:tcPr>
          <w:p>
            <w:pPr>
              <w:jc w:val="center"/>
              <w:spacing w:after="0"/>
              <w:rPr>
                <w:sz w:val="20"/>
                <w:szCs w:val="20"/>
                <w:color w:val="auto"/>
              </w:rPr>
            </w:pPr>
            <w:r>
              <w:rPr>
                <w:rFonts w:ascii="Arial" w:cs="Arial" w:eastAsia="Arial" w:hAnsi="Arial"/>
                <w:sz w:val="14"/>
                <w:szCs w:val="14"/>
                <w:b w:val="1"/>
                <w:bCs w:val="1"/>
                <w:color w:val="0033A0"/>
                <w:w w:val="99"/>
              </w:rPr>
              <w:t>Votes</w:t>
            </w:r>
          </w:p>
        </w:tc>
        <w:tc>
          <w:tcPr>
            <w:tcW w:w="1540" w:type="dxa"/>
            <w:vAlign w:val="bottom"/>
            <w:tcBorders>
              <w:bottom w:val="single" w:sz="8" w:color="0033A0"/>
            </w:tcBorders>
          </w:tcPr>
          <w:p>
            <w:pPr>
              <w:jc w:val="center"/>
              <w:ind w:left="4"/>
              <w:spacing w:after="0"/>
              <w:rPr>
                <w:sz w:val="20"/>
                <w:szCs w:val="20"/>
                <w:color w:val="auto"/>
              </w:rPr>
            </w:pPr>
            <w:r>
              <w:rPr>
                <w:rFonts w:ascii="Arial" w:cs="Arial" w:eastAsia="Arial" w:hAnsi="Arial"/>
                <w:sz w:val="14"/>
                <w:szCs w:val="14"/>
                <w:b w:val="1"/>
                <w:bCs w:val="1"/>
                <w:color w:val="0033A0"/>
              </w:rPr>
              <w:t>Cards</w:t>
            </w:r>
          </w:p>
        </w:tc>
        <w:tc>
          <w:tcPr>
            <w:tcW w:w="0" w:type="dxa"/>
            <w:vAlign w:val="bottom"/>
          </w:tcPr>
          <w:p>
            <w:pPr>
              <w:spacing w:after="0"/>
              <w:rPr>
                <w:sz w:val="1"/>
                <w:szCs w:val="1"/>
                <w:color w:val="auto"/>
              </w:rPr>
            </w:pPr>
          </w:p>
        </w:tc>
      </w:tr>
      <w:tr>
        <w:trPr>
          <w:trHeight w:val="21"/>
        </w:trPr>
        <w:tc>
          <w:tcPr>
            <w:tcW w:w="8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82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rPr>
              <w:t>1.</w:t>
            </w:r>
          </w:p>
        </w:tc>
        <w:tc>
          <w:tcPr>
            <w:tcW w:w="396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Election of director nominees set forth in this</w:t>
            </w:r>
          </w:p>
        </w:tc>
        <w:tc>
          <w:tcPr>
            <w:tcW w:w="1980" w:type="dxa"/>
            <w:vAlign w:val="bottom"/>
            <w:shd w:val="clear" w:color="auto" w:fill="CCEEFF"/>
          </w:tcPr>
          <w:p>
            <w:pPr>
              <w:ind w:left="260"/>
              <w:spacing w:after="0" w:line="201" w:lineRule="exact"/>
              <w:rPr>
                <w:sz w:val="20"/>
                <w:szCs w:val="20"/>
                <w:color w:val="auto"/>
              </w:rPr>
            </w:pPr>
            <w:r>
              <w:rPr>
                <w:rFonts w:ascii="Arial" w:cs="Arial" w:eastAsia="Arial" w:hAnsi="Arial"/>
                <w:sz w:val="18"/>
                <w:szCs w:val="18"/>
                <w:color w:val="auto"/>
              </w:rPr>
              <w:t>Votes cast in favor</w:t>
            </w:r>
          </w:p>
        </w:tc>
        <w:tc>
          <w:tcPr>
            <w:tcW w:w="114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No effect</w:t>
            </w:r>
          </w:p>
        </w:tc>
        <w:tc>
          <w:tcPr>
            <w:tcW w:w="158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Not voted/no</w:t>
            </w:r>
          </w:p>
        </w:tc>
        <w:tc>
          <w:tcPr>
            <w:tcW w:w="1540" w:type="dxa"/>
            <w:vAlign w:val="bottom"/>
            <w:shd w:val="clear" w:color="auto" w:fill="CCEEFF"/>
          </w:tcPr>
          <w:p>
            <w:pPr>
              <w:jc w:val="center"/>
              <w:ind w:left="4"/>
              <w:spacing w:after="0" w:line="201" w:lineRule="exact"/>
              <w:rPr>
                <w:sz w:val="20"/>
                <w:szCs w:val="20"/>
                <w:color w:val="auto"/>
              </w:rPr>
            </w:pPr>
            <w:r>
              <w:rPr>
                <w:rFonts w:ascii="Arial" w:cs="Arial" w:eastAsia="Arial" w:hAnsi="Arial"/>
                <w:sz w:val="18"/>
                <w:szCs w:val="18"/>
                <w:color w:val="auto"/>
                <w:w w:val="99"/>
              </w:rPr>
              <w:t>Voted “FOR”</w:t>
            </w:r>
          </w:p>
        </w:tc>
        <w:tc>
          <w:tcPr>
            <w:tcW w:w="0" w:type="dxa"/>
            <w:vAlign w:val="bottom"/>
          </w:tcPr>
          <w:p>
            <w:pPr>
              <w:spacing w:after="0"/>
              <w:rPr>
                <w:sz w:val="1"/>
                <w:szCs w:val="1"/>
                <w:color w:val="auto"/>
              </w:rPr>
            </w:pPr>
          </w:p>
        </w:tc>
      </w:tr>
      <w:tr>
        <w:trPr>
          <w:trHeight w:val="203"/>
        </w:trPr>
        <w:tc>
          <w:tcPr>
            <w:tcW w:w="820" w:type="dxa"/>
            <w:vAlign w:val="bottom"/>
            <w:shd w:val="clear" w:color="auto" w:fill="CCEEFF"/>
          </w:tcPr>
          <w:p>
            <w:pPr>
              <w:spacing w:after="0"/>
              <w:rPr>
                <w:sz w:val="17"/>
                <w:szCs w:val="17"/>
                <w:color w:val="auto"/>
              </w:rPr>
            </w:pPr>
          </w:p>
        </w:tc>
        <w:tc>
          <w:tcPr>
            <w:tcW w:w="396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proxy statement for a one-year term</w:t>
            </w:r>
          </w:p>
        </w:tc>
        <w:tc>
          <w:tcPr>
            <w:tcW w:w="198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rPr>
              <w:t>must exceed the</w:t>
            </w:r>
          </w:p>
        </w:tc>
        <w:tc>
          <w:tcPr>
            <w:tcW w:w="1140" w:type="dxa"/>
            <w:vAlign w:val="bottom"/>
            <w:shd w:val="clear" w:color="auto" w:fill="CCEEFF"/>
          </w:tcPr>
          <w:p>
            <w:pPr>
              <w:spacing w:after="0"/>
              <w:rPr>
                <w:sz w:val="17"/>
                <w:szCs w:val="17"/>
                <w:color w:val="auto"/>
              </w:rPr>
            </w:pPr>
          </w:p>
        </w:tc>
        <w:tc>
          <w:tcPr>
            <w:tcW w:w="15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effect</w:t>
            </w: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 w:type="dxa"/>
            <w:vAlign w:val="bottom"/>
            <w:shd w:val="clear" w:color="auto" w:fill="CCEEFF"/>
          </w:tcPr>
          <w:p>
            <w:pPr>
              <w:spacing w:after="0"/>
              <w:rPr>
                <w:sz w:val="17"/>
                <w:szCs w:val="17"/>
                <w:color w:val="auto"/>
              </w:rPr>
            </w:pPr>
          </w:p>
        </w:tc>
        <w:tc>
          <w:tcPr>
            <w:tcW w:w="3960" w:type="dxa"/>
            <w:vAlign w:val="bottom"/>
            <w:shd w:val="clear" w:color="auto" w:fill="CCEEFF"/>
          </w:tcPr>
          <w:p>
            <w:pPr>
              <w:spacing w:after="0"/>
              <w:rPr>
                <w:sz w:val="17"/>
                <w:szCs w:val="17"/>
                <w:color w:val="auto"/>
              </w:rPr>
            </w:pPr>
          </w:p>
        </w:tc>
        <w:tc>
          <w:tcPr>
            <w:tcW w:w="198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rPr>
              <w:t>votes cast opposing</w:t>
            </w:r>
          </w:p>
        </w:tc>
        <w:tc>
          <w:tcPr>
            <w:tcW w:w="11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 w:type="dxa"/>
            <w:vAlign w:val="bottom"/>
            <w:shd w:val="clear" w:color="auto" w:fill="CCEEFF"/>
          </w:tcPr>
          <w:p>
            <w:pPr>
              <w:spacing w:after="0"/>
              <w:rPr>
                <w:sz w:val="17"/>
                <w:szCs w:val="17"/>
                <w:color w:val="auto"/>
              </w:rPr>
            </w:pPr>
          </w:p>
        </w:tc>
        <w:tc>
          <w:tcPr>
            <w:tcW w:w="3960" w:type="dxa"/>
            <w:vAlign w:val="bottom"/>
            <w:shd w:val="clear" w:color="auto" w:fill="CCEEFF"/>
          </w:tcPr>
          <w:p>
            <w:pPr>
              <w:spacing w:after="0"/>
              <w:rPr>
                <w:sz w:val="17"/>
                <w:szCs w:val="17"/>
                <w:color w:val="auto"/>
              </w:rPr>
            </w:pPr>
          </w:p>
        </w:tc>
        <w:tc>
          <w:tcPr>
            <w:tcW w:w="198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rPr>
              <w:t>the election of each</w:t>
            </w:r>
          </w:p>
        </w:tc>
        <w:tc>
          <w:tcPr>
            <w:tcW w:w="11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 w:type="dxa"/>
            <w:vAlign w:val="bottom"/>
            <w:shd w:val="clear" w:color="auto" w:fill="CCEEFF"/>
          </w:tcPr>
          <w:p>
            <w:pPr>
              <w:spacing w:after="0"/>
              <w:rPr>
                <w:sz w:val="17"/>
                <w:szCs w:val="17"/>
                <w:color w:val="auto"/>
              </w:rPr>
            </w:pPr>
          </w:p>
        </w:tc>
        <w:tc>
          <w:tcPr>
            <w:tcW w:w="3960" w:type="dxa"/>
            <w:vAlign w:val="bottom"/>
            <w:shd w:val="clear" w:color="auto" w:fill="CCEEFF"/>
          </w:tcPr>
          <w:p>
            <w:pPr>
              <w:spacing w:after="0"/>
              <w:rPr>
                <w:sz w:val="17"/>
                <w:szCs w:val="17"/>
                <w:color w:val="auto"/>
              </w:rPr>
            </w:pPr>
          </w:p>
        </w:tc>
        <w:tc>
          <w:tcPr>
            <w:tcW w:w="1980" w:type="dxa"/>
            <w:vAlign w:val="bottom"/>
            <w:shd w:val="clear" w:color="auto" w:fill="CCEEFF"/>
          </w:tcPr>
          <w:p>
            <w:pPr>
              <w:ind w:left="260"/>
              <w:spacing w:after="0" w:line="203" w:lineRule="exact"/>
              <w:rPr>
                <w:sz w:val="20"/>
                <w:szCs w:val="20"/>
                <w:color w:val="auto"/>
              </w:rPr>
            </w:pPr>
            <w:r>
              <w:rPr>
                <w:rFonts w:ascii="Arial" w:cs="Arial" w:eastAsia="Arial" w:hAnsi="Arial"/>
                <w:sz w:val="18"/>
                <w:szCs w:val="18"/>
                <w:color w:val="auto"/>
              </w:rPr>
              <w:t>director</w:t>
            </w:r>
          </w:p>
        </w:tc>
        <w:tc>
          <w:tcPr>
            <w:tcW w:w="11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sectPr>
          <w:pgSz w:w="11900" w:h="16838" w:orient="portrait"/>
          <w:cols w:equalWidth="0" w:num="1">
            <w:col w:w="11240"/>
          </w:cols>
          <w:pgMar w:left="240" w:top="459" w:right="419" w:bottom="1440" w:gutter="0" w:footer="0" w:header="0"/>
          <w:type w:val="continuous"/>
        </w:sectPr>
      </w:pPr>
    </w:p>
    <w:p>
      <w:pPr>
        <w:spacing w:after="0" w:line="5" w:lineRule="exact"/>
        <w:rPr>
          <w:sz w:val="20"/>
          <w:szCs w:val="20"/>
          <w:color w:val="auto"/>
        </w:rPr>
      </w:pPr>
    </w:p>
    <w:p>
      <w:pPr>
        <w:ind w:left="1180" w:hanging="904"/>
        <w:spacing w:after="0" w:line="246" w:lineRule="auto"/>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Advisory vote to approve named executive officer compensation</w:t>
      </w:r>
    </w:p>
    <w:p>
      <w:pPr>
        <w:spacing w:after="0" w:line="20" w:lineRule="exact"/>
        <w:rPr>
          <w:sz w:val="20"/>
          <w:szCs w:val="20"/>
          <w:color w:val="auto"/>
        </w:rPr>
      </w:pPr>
      <w:r>
        <w:rPr>
          <w:sz w:val="20"/>
          <w:szCs w:val="20"/>
          <w:color w:val="auto"/>
        </w:rPr>
        <w:br w:type="column"/>
      </w:r>
    </w:p>
    <w:p>
      <w:pPr>
        <w:spacing w:after="0"/>
        <w:tabs>
          <w:tab w:leader="none" w:pos="1840" w:val="left"/>
          <w:tab w:leader="none" w:pos="2940" w:val="left"/>
          <w:tab w:leader="none" w:pos="4720" w:val="left"/>
        </w:tabs>
        <w:rPr>
          <w:sz w:val="20"/>
          <w:szCs w:val="20"/>
          <w:color w:val="auto"/>
        </w:rPr>
      </w:pPr>
      <w:r>
        <w:rPr>
          <w:rFonts w:ascii="Arial" w:cs="Arial" w:eastAsia="Arial" w:hAnsi="Arial"/>
          <w:sz w:val="18"/>
          <w:szCs w:val="18"/>
          <w:color w:val="auto"/>
        </w:rPr>
        <w:t>Votes cast in favor</w:t>
      </w:r>
      <w:r>
        <w:rPr>
          <w:sz w:val="20"/>
          <w:szCs w:val="20"/>
          <w:color w:val="auto"/>
        </w:rPr>
        <w:tab/>
      </w:r>
      <w:r>
        <w:rPr>
          <w:rFonts w:ascii="Arial" w:cs="Arial" w:eastAsia="Arial" w:hAnsi="Arial"/>
          <w:sz w:val="18"/>
          <w:szCs w:val="18"/>
          <w:color w:val="auto"/>
        </w:rPr>
        <w:t>No effect</w:t>
      </w:r>
      <w:r>
        <w:rPr>
          <w:sz w:val="20"/>
          <w:szCs w:val="20"/>
          <w:color w:val="auto"/>
        </w:rPr>
        <w:tab/>
      </w:r>
      <w:r>
        <w:rPr>
          <w:rFonts w:ascii="Arial" w:cs="Arial" w:eastAsia="Arial" w:hAnsi="Arial"/>
          <w:sz w:val="18"/>
          <w:szCs w:val="18"/>
          <w:color w:val="auto"/>
        </w:rPr>
        <w:t>Not voted/no</w:t>
      </w:r>
      <w:r>
        <w:rPr>
          <w:sz w:val="20"/>
          <w:szCs w:val="20"/>
          <w:color w:val="auto"/>
        </w:rPr>
        <w:tab/>
      </w:r>
      <w:r>
        <w:rPr>
          <w:rFonts w:ascii="Arial" w:cs="Arial" w:eastAsia="Arial" w:hAnsi="Arial"/>
          <w:sz w:val="17"/>
          <w:szCs w:val="17"/>
          <w:color w:val="auto"/>
        </w:rPr>
        <w:t>Voted “FOR”</w:t>
      </w:r>
    </w:p>
    <w:p>
      <w:pPr>
        <w:spacing w:after="0"/>
        <w:tabs>
          <w:tab w:leader="none" w:pos="2940" w:val="left"/>
        </w:tabs>
        <w:rPr>
          <w:sz w:val="20"/>
          <w:szCs w:val="20"/>
          <w:color w:val="auto"/>
        </w:rPr>
      </w:pPr>
      <w:r>
        <w:rPr>
          <w:rFonts w:ascii="Arial" w:cs="Arial" w:eastAsia="Arial" w:hAnsi="Arial"/>
          <w:sz w:val="18"/>
          <w:szCs w:val="18"/>
          <w:color w:val="auto"/>
        </w:rPr>
        <w:t>must exceed the</w:t>
      </w:r>
      <w:r>
        <w:rPr>
          <w:sz w:val="20"/>
          <w:szCs w:val="20"/>
          <w:color w:val="auto"/>
        </w:rPr>
        <w:tab/>
      </w:r>
      <w:r>
        <w:rPr>
          <w:rFonts w:ascii="Arial" w:cs="Arial" w:eastAsia="Arial" w:hAnsi="Arial"/>
          <w:sz w:val="17"/>
          <w:szCs w:val="17"/>
          <w:color w:val="auto"/>
        </w:rPr>
        <w:t>effect</w:t>
      </w:r>
    </w:p>
    <w:p>
      <w:pPr>
        <w:spacing w:after="0" w:line="235" w:lineRule="auto"/>
        <w:rPr>
          <w:sz w:val="20"/>
          <w:szCs w:val="20"/>
          <w:color w:val="auto"/>
        </w:rPr>
      </w:pPr>
      <w:r>
        <w:rPr>
          <w:rFonts w:ascii="Arial" w:cs="Arial" w:eastAsia="Arial" w:hAnsi="Arial"/>
          <w:sz w:val="18"/>
          <w:szCs w:val="18"/>
          <w:color w:val="auto"/>
        </w:rPr>
        <w:t>votes cast opposing</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action</w:t>
      </w:r>
    </w:p>
    <w:p>
      <w:pPr>
        <w:spacing w:after="0" w:line="32" w:lineRule="exact"/>
        <w:rPr>
          <w:sz w:val="20"/>
          <w:szCs w:val="20"/>
          <w:color w:val="auto"/>
        </w:rPr>
      </w:pPr>
    </w:p>
    <w:p>
      <w:pPr>
        <w:sectPr>
          <w:pgSz w:w="11900" w:h="16838" w:orient="portrait"/>
          <w:cols w:equalWidth="0" w:num="2">
            <w:col w:w="5120" w:space="140"/>
            <w:col w:w="5980"/>
          </w:cols>
          <w:pgMar w:left="240" w:top="459" w:right="419" w:bottom="1440" w:gutter="0" w:footer="0" w:header="0"/>
          <w:type w:val="continuous"/>
        </w:sectPr>
      </w:pPr>
    </w:p>
    <w:tbl>
      <w:tblPr>
        <w:tblLayout w:type="fixed"/>
        <w:tblInd w:w="220" w:type="dxa"/>
        <w:tblCellMar>
          <w:top w:w="0" w:type="dxa"/>
          <w:left w:w="0" w:type="dxa"/>
          <w:bottom w:w="0" w:type="dxa"/>
          <w:right w:w="0" w:type="dxa"/>
        </w:tblCellMar>
      </w:tblPr>
      <w:tr>
        <w:trPr>
          <w:trHeight w:val="207"/>
        </w:trPr>
        <w:tc>
          <w:tcPr>
            <w:tcW w:w="5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w:t>
            </w:r>
          </w:p>
        </w:tc>
        <w:tc>
          <w:tcPr>
            <w:tcW w:w="43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Approval of the selection of Deloitte and Touche</w:t>
            </w:r>
          </w:p>
        </w:tc>
        <w:tc>
          <w:tcPr>
            <w:tcW w:w="1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Votes cast in favor</w:t>
            </w:r>
          </w:p>
        </w:tc>
        <w:tc>
          <w:tcPr>
            <w:tcW w:w="1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 effect</w:t>
            </w:r>
          </w:p>
        </w:tc>
        <w:tc>
          <w:tcPr>
            <w:tcW w:w="1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Discretionary</w:t>
            </w:r>
          </w:p>
        </w:tc>
        <w:tc>
          <w:tcPr>
            <w:tcW w:w="1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Voted “FOR”</w:t>
            </w:r>
          </w:p>
        </w:tc>
      </w:tr>
      <w:tr>
        <w:trPr>
          <w:trHeight w:val="203"/>
        </w:trPr>
        <w:tc>
          <w:tcPr>
            <w:tcW w:w="580" w:type="dxa"/>
            <w:vAlign w:val="bottom"/>
            <w:shd w:val="clear" w:color="auto" w:fill="CCEEFF"/>
          </w:tcPr>
          <w:p>
            <w:pPr>
              <w:spacing w:after="0"/>
              <w:rPr>
                <w:sz w:val="17"/>
                <w:szCs w:val="17"/>
                <w:color w:val="auto"/>
              </w:rPr>
            </w:pPr>
          </w:p>
        </w:tc>
        <w:tc>
          <w:tcPr>
            <w:tcW w:w="4320" w:type="dxa"/>
            <w:vAlign w:val="bottom"/>
            <w:shd w:val="clear" w:color="auto" w:fill="CCEEFF"/>
          </w:tcPr>
          <w:p>
            <w:pPr>
              <w:ind w:left="380"/>
              <w:spacing w:after="0" w:line="202" w:lineRule="exact"/>
              <w:rPr>
                <w:sz w:val="20"/>
                <w:szCs w:val="20"/>
                <w:color w:val="auto"/>
              </w:rPr>
            </w:pPr>
            <w:r>
              <w:rPr>
                <w:rFonts w:ascii="Arial" w:cs="Arial" w:eastAsia="Arial" w:hAnsi="Arial"/>
                <w:sz w:val="18"/>
                <w:szCs w:val="18"/>
                <w:color w:val="auto"/>
              </w:rPr>
              <w:t>LLP as the Company’s independent registered</w:t>
            </w:r>
          </w:p>
        </w:tc>
        <w:tc>
          <w:tcPr>
            <w:tcW w:w="186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must exceed the</w:t>
            </w:r>
          </w:p>
        </w:tc>
        <w:tc>
          <w:tcPr>
            <w:tcW w:w="1040" w:type="dxa"/>
            <w:vAlign w:val="bottom"/>
            <w:shd w:val="clear" w:color="auto" w:fill="CCEEFF"/>
          </w:tcPr>
          <w:p>
            <w:pPr>
              <w:spacing w:after="0"/>
              <w:rPr>
                <w:sz w:val="17"/>
                <w:szCs w:val="17"/>
                <w:color w:val="auto"/>
              </w:rPr>
            </w:pPr>
          </w:p>
        </w:tc>
        <w:tc>
          <w:tcPr>
            <w:tcW w:w="16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vote by broker</w:t>
            </w:r>
          </w:p>
        </w:tc>
        <w:tc>
          <w:tcPr>
            <w:tcW w:w="1560" w:type="dxa"/>
            <w:vAlign w:val="bottom"/>
            <w:shd w:val="clear" w:color="auto" w:fill="CCEEFF"/>
          </w:tcPr>
          <w:p>
            <w:pPr>
              <w:spacing w:after="0"/>
              <w:rPr>
                <w:sz w:val="17"/>
                <w:szCs w:val="17"/>
                <w:color w:val="auto"/>
              </w:rPr>
            </w:pPr>
          </w:p>
        </w:tc>
      </w:tr>
      <w:tr>
        <w:trPr>
          <w:trHeight w:val="203"/>
        </w:trPr>
        <w:tc>
          <w:tcPr>
            <w:tcW w:w="580" w:type="dxa"/>
            <w:vAlign w:val="bottom"/>
            <w:shd w:val="clear" w:color="auto" w:fill="CCEEFF"/>
          </w:tcPr>
          <w:p>
            <w:pPr>
              <w:spacing w:after="0"/>
              <w:rPr>
                <w:sz w:val="17"/>
                <w:szCs w:val="17"/>
                <w:color w:val="auto"/>
              </w:rPr>
            </w:pPr>
          </w:p>
        </w:tc>
        <w:tc>
          <w:tcPr>
            <w:tcW w:w="4320" w:type="dxa"/>
            <w:vAlign w:val="bottom"/>
            <w:shd w:val="clear" w:color="auto" w:fill="CCEEFF"/>
          </w:tcPr>
          <w:p>
            <w:pPr>
              <w:ind w:left="380"/>
              <w:spacing w:after="0" w:line="202" w:lineRule="exact"/>
              <w:rPr>
                <w:sz w:val="20"/>
                <w:szCs w:val="20"/>
                <w:color w:val="auto"/>
              </w:rPr>
            </w:pPr>
            <w:r>
              <w:rPr>
                <w:rFonts w:ascii="Arial" w:cs="Arial" w:eastAsia="Arial" w:hAnsi="Arial"/>
                <w:sz w:val="18"/>
                <w:szCs w:val="18"/>
                <w:color w:val="auto"/>
              </w:rPr>
              <w:t>public accounting firm for 2019</w:t>
            </w:r>
          </w:p>
        </w:tc>
        <w:tc>
          <w:tcPr>
            <w:tcW w:w="186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votes cast opposing</w:t>
            </w:r>
          </w:p>
        </w:tc>
        <w:tc>
          <w:tcPr>
            <w:tcW w:w="10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203"/>
        </w:trPr>
        <w:tc>
          <w:tcPr>
            <w:tcW w:w="580" w:type="dxa"/>
            <w:vAlign w:val="bottom"/>
            <w:shd w:val="clear" w:color="auto" w:fill="CCEEFF"/>
          </w:tcPr>
          <w:p>
            <w:pPr>
              <w:spacing w:after="0"/>
              <w:rPr>
                <w:sz w:val="17"/>
                <w:szCs w:val="17"/>
                <w:color w:val="auto"/>
              </w:rPr>
            </w:pPr>
          </w:p>
        </w:tc>
        <w:tc>
          <w:tcPr>
            <w:tcW w:w="4320" w:type="dxa"/>
            <w:vAlign w:val="bottom"/>
            <w:shd w:val="clear" w:color="auto" w:fill="CCEEFF"/>
          </w:tcPr>
          <w:p>
            <w:pPr>
              <w:spacing w:after="0"/>
              <w:rPr>
                <w:sz w:val="17"/>
                <w:szCs w:val="17"/>
                <w:color w:val="auto"/>
              </w:rPr>
            </w:pPr>
          </w:p>
        </w:tc>
        <w:tc>
          <w:tcPr>
            <w:tcW w:w="1860" w:type="dxa"/>
            <w:vAlign w:val="bottom"/>
            <w:shd w:val="clear" w:color="auto" w:fill="CCEEFF"/>
          </w:tcPr>
          <w:p>
            <w:pPr>
              <w:ind w:left="140"/>
              <w:spacing w:after="0" w:line="203" w:lineRule="exact"/>
              <w:rPr>
                <w:sz w:val="20"/>
                <w:szCs w:val="20"/>
                <w:color w:val="auto"/>
              </w:rPr>
            </w:pPr>
            <w:r>
              <w:rPr>
                <w:rFonts w:ascii="Arial" w:cs="Arial" w:eastAsia="Arial" w:hAnsi="Arial"/>
                <w:sz w:val="18"/>
                <w:szCs w:val="18"/>
                <w:color w:val="auto"/>
              </w:rPr>
              <w:t>the action</w:t>
            </w:r>
          </w:p>
        </w:tc>
        <w:tc>
          <w:tcPr>
            <w:tcW w:w="10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54"/>
        </w:trPr>
        <w:tc>
          <w:tcPr>
            <w:tcW w:w="580" w:type="dxa"/>
            <w:vAlign w:val="bottom"/>
            <w:tcBorders>
              <w:bottom w:val="single" w:sz="8" w:color="0033A0"/>
            </w:tcBorders>
          </w:tcPr>
          <w:p>
            <w:pPr>
              <w:spacing w:after="0"/>
              <w:rPr>
                <w:sz w:val="4"/>
                <w:szCs w:val="4"/>
                <w:color w:val="auto"/>
              </w:rPr>
            </w:pPr>
          </w:p>
        </w:tc>
        <w:tc>
          <w:tcPr>
            <w:tcW w:w="4320" w:type="dxa"/>
            <w:vAlign w:val="bottom"/>
            <w:tcBorders>
              <w:bottom w:val="single" w:sz="8" w:color="0033A0"/>
            </w:tcBorders>
          </w:tcPr>
          <w:p>
            <w:pPr>
              <w:spacing w:after="0"/>
              <w:rPr>
                <w:sz w:val="4"/>
                <w:szCs w:val="4"/>
                <w:color w:val="auto"/>
              </w:rPr>
            </w:pPr>
          </w:p>
        </w:tc>
        <w:tc>
          <w:tcPr>
            <w:tcW w:w="1860" w:type="dxa"/>
            <w:vAlign w:val="bottom"/>
            <w:tcBorders>
              <w:bottom w:val="single" w:sz="8" w:color="0033A0"/>
            </w:tcBorders>
          </w:tcPr>
          <w:p>
            <w:pPr>
              <w:spacing w:after="0"/>
              <w:rPr>
                <w:sz w:val="4"/>
                <w:szCs w:val="4"/>
                <w:color w:val="auto"/>
              </w:rPr>
            </w:pPr>
          </w:p>
        </w:tc>
        <w:tc>
          <w:tcPr>
            <w:tcW w:w="1040" w:type="dxa"/>
            <w:vAlign w:val="bottom"/>
            <w:tcBorders>
              <w:bottom w:val="single" w:sz="8" w:color="0033A0"/>
            </w:tcBorders>
          </w:tcPr>
          <w:p>
            <w:pPr>
              <w:spacing w:after="0"/>
              <w:rPr>
                <w:sz w:val="4"/>
                <w:szCs w:val="4"/>
                <w:color w:val="auto"/>
              </w:rPr>
            </w:pPr>
          </w:p>
        </w:tc>
        <w:tc>
          <w:tcPr>
            <w:tcW w:w="1660" w:type="dxa"/>
            <w:vAlign w:val="bottom"/>
            <w:tcBorders>
              <w:bottom w:val="single" w:sz="8" w:color="0033A0"/>
            </w:tcBorders>
          </w:tcPr>
          <w:p>
            <w:pPr>
              <w:spacing w:after="0"/>
              <w:rPr>
                <w:sz w:val="4"/>
                <w:szCs w:val="4"/>
                <w:color w:val="auto"/>
              </w:rPr>
            </w:pPr>
          </w:p>
        </w:tc>
        <w:tc>
          <w:tcPr>
            <w:tcW w:w="1560" w:type="dxa"/>
            <w:vAlign w:val="bottom"/>
            <w:tcBorders>
              <w:bottom w:val="single" w:sz="8" w:color="0033A0"/>
            </w:tcBorders>
          </w:tcPr>
          <w:p>
            <w:pPr>
              <w:spacing w:after="0"/>
              <w:rPr>
                <w:sz w:val="4"/>
                <w:szCs w:val="4"/>
                <w:color w:val="auto"/>
              </w:rPr>
            </w:pPr>
          </w:p>
        </w:tc>
      </w:tr>
    </w:tbl>
    <w:p>
      <w:pPr>
        <w:spacing w:after="0" w:line="175" w:lineRule="exact"/>
        <w:rPr>
          <w:sz w:val="20"/>
          <w:szCs w:val="20"/>
          <w:color w:val="auto"/>
        </w:rPr>
      </w:pPr>
    </w:p>
    <w:p>
      <w:pPr>
        <w:sectPr>
          <w:pgSz w:w="11900" w:h="16838" w:orient="portrait"/>
          <w:cols w:equalWidth="0" w:num="1">
            <w:col w:w="11240"/>
          </w:cols>
          <w:pgMar w:left="240" w:top="459" w:right="419" w:bottom="1440" w:gutter="0" w:footer="0" w:header="0"/>
          <w:type w:val="continuous"/>
        </w:sectPr>
      </w:pPr>
    </w:p>
    <w:p>
      <w:pPr>
        <w:ind w:left="200"/>
        <w:spacing w:after="0" w:line="237" w:lineRule="auto"/>
        <w:rPr>
          <w:sz w:val="20"/>
          <w:szCs w:val="20"/>
          <w:color w:val="auto"/>
        </w:rPr>
      </w:pPr>
      <w:r>
        <w:rPr>
          <w:rFonts w:ascii="Arial" w:cs="Arial" w:eastAsia="Arial" w:hAnsi="Arial"/>
          <w:sz w:val="18"/>
          <w:szCs w:val="18"/>
          <w:color w:val="auto"/>
        </w:rPr>
        <w:t>The Company’s bylaws provide that the Chairman of the annual meeting will determine the order of business and the voting and other procedures to be observed at the annual meeting. The Chairman is authorized to declare whether any business is properly brought before the annual meeting, and business not properly brought before the annual meeting will not be transacted. We are not aware of</w:t>
      </w:r>
    </w:p>
    <w:p>
      <w:pPr>
        <w:spacing w:after="0" w:line="20" w:lineRule="exact"/>
        <w:rPr>
          <w:sz w:val="20"/>
          <w:szCs w:val="20"/>
          <w:color w:val="auto"/>
        </w:rPr>
      </w:pPr>
      <w:r>
        <w:rPr>
          <w:sz w:val="20"/>
          <w:szCs w:val="20"/>
          <w:color w:val="auto"/>
        </w:rPr>
        <w:br w:type="column"/>
      </w:r>
    </w:p>
    <w:p>
      <w:pPr>
        <w:ind w:right="40"/>
        <w:spacing w:after="0" w:line="237" w:lineRule="auto"/>
        <w:rPr>
          <w:sz w:val="20"/>
          <w:szCs w:val="20"/>
          <w:color w:val="auto"/>
        </w:rPr>
      </w:pPr>
      <w:r>
        <w:rPr>
          <w:rFonts w:ascii="Arial" w:cs="Arial" w:eastAsia="Arial" w:hAnsi="Arial"/>
          <w:sz w:val="18"/>
          <w:szCs w:val="18"/>
          <w:color w:val="auto"/>
        </w:rPr>
        <w:t>any matters that are to come before the annual meeting other than those described in this proxy statement. If other matters do properly come before the annual meeting, however, it is the intention of the persons named in the enclosed proxy card to exercise the discretionary authority conferred by the proxy to vote such proxy in accordance with their best judgment.</w:t>
      </w:r>
    </w:p>
    <w:p>
      <w:pPr>
        <w:spacing w:after="0" w:line="404" w:lineRule="exact"/>
        <w:rPr>
          <w:sz w:val="20"/>
          <w:szCs w:val="20"/>
          <w:color w:val="auto"/>
        </w:rPr>
      </w:pPr>
    </w:p>
    <w:p>
      <w:pPr>
        <w:sectPr>
          <w:pgSz w:w="11900" w:h="16838" w:orient="portrait"/>
          <w:cols w:equalWidth="0" w:num="2">
            <w:col w:w="5440" w:space="380"/>
            <w:col w:w="5420"/>
          </w:cols>
          <w:pgMar w:left="240" w:top="459" w:right="419" w:bottom="1440" w:gutter="0" w:footer="0" w:header="0"/>
          <w:type w:val="continuous"/>
        </w:sectPr>
      </w:pPr>
    </w:p>
    <w:p>
      <w:pPr>
        <w:spacing w:after="0" w:line="126" w:lineRule="exact"/>
        <w:rPr>
          <w:sz w:val="20"/>
          <w:szCs w:val="20"/>
          <w:color w:val="auto"/>
        </w:rPr>
      </w:pPr>
    </w:p>
    <w:tbl>
      <w:tblPr>
        <w:tblLayout w:type="fixed"/>
        <w:tblInd w:w="8920" w:type="dxa"/>
        <w:tblCellMar>
          <w:top w:w="0" w:type="dxa"/>
          <w:left w:w="0" w:type="dxa"/>
          <w:bottom w:w="0" w:type="dxa"/>
          <w:right w:w="0" w:type="dxa"/>
        </w:tblCellMar>
      </w:tblPr>
      <w:tr>
        <w:trPr>
          <w:trHeight w:val="297"/>
        </w:trPr>
        <w:tc>
          <w:tcPr>
            <w:tcW w:w="1920" w:type="dxa"/>
            <w:vAlign w:val="bottom"/>
            <w:tcBorders>
              <w:right w:val="single" w:sz="8" w:color="0033A0"/>
            </w:tcBorders>
          </w:tcPr>
          <w:p>
            <w:pPr>
              <w:spacing w:after="0"/>
              <w:rPr>
                <w:sz w:val="20"/>
                <w:szCs w:val="20"/>
                <w:color w:val="auto"/>
              </w:rPr>
            </w:pPr>
            <w:r>
              <w:rPr>
                <w:rFonts w:ascii="Arial" w:cs="Arial" w:eastAsia="Arial" w:hAnsi="Arial"/>
                <w:sz w:val="18"/>
                <w:szCs w:val="18"/>
                <w:i w:val="1"/>
                <w:iCs w:val="1"/>
                <w:color w:val="auto"/>
              </w:rPr>
              <w:t>2019 Proxy Statement</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-170815</wp:posOffset>
            </wp:positionV>
            <wp:extent cx="720090" cy="1289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0090" cy="12890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0033A0"/>
        </w:rPr>
        <w:t>The Brink’s Company</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auto"/>
        </w:rPr>
        <w:t>Can I revoke my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68580</wp:posOffset>
            </wp:positionV>
            <wp:extent cx="6997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180"/>
          </w:cols>
          <w:pgMar w:left="240" w:top="459" w:right="479" w:bottom="1440" w:gutter="0" w:footer="0" w:header="0"/>
        </w:sectPr>
      </w:pPr>
    </w:p>
    <w:p>
      <w:pPr>
        <w:spacing w:after="0" w:line="336" w:lineRule="exact"/>
        <w:rPr>
          <w:sz w:val="20"/>
          <w:szCs w:val="20"/>
          <w:color w:val="auto"/>
        </w:rPr>
      </w:pPr>
    </w:p>
    <w:p>
      <w:pPr>
        <w:ind w:left="200" w:right="60"/>
        <w:spacing w:after="0" w:line="238" w:lineRule="auto"/>
        <w:rPr>
          <w:sz w:val="20"/>
          <w:szCs w:val="20"/>
          <w:color w:val="auto"/>
        </w:rPr>
      </w:pPr>
      <w:r>
        <w:rPr>
          <w:rFonts w:ascii="Arial" w:cs="Arial" w:eastAsia="Arial" w:hAnsi="Arial"/>
          <w:sz w:val="18"/>
          <w:szCs w:val="18"/>
          <w:color w:val="auto"/>
        </w:rPr>
        <w:t>The enclosed proxy is revocable at any time prior to its being voted by filing an instrument of revocation or a duly executed proxy bearing a later time. A proxy may also be revoked by attendance at the annual meeting and voting in person. See “Questions and</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Answers About the Annual Meeting—How do I attend the annual meeting? What should I bring?” Attendance at the annual meeting will not by itself constitute a revocation.</w:t>
      </w:r>
    </w:p>
    <w:p>
      <w:pPr>
        <w:spacing w:after="0" w:line="605" w:lineRule="exact"/>
        <w:rPr>
          <w:sz w:val="20"/>
          <w:szCs w:val="20"/>
          <w:color w:val="auto"/>
        </w:rPr>
      </w:pPr>
    </w:p>
    <w:p>
      <w:pPr>
        <w:sectPr>
          <w:pgSz w:w="11900" w:h="16838" w:orient="portrait"/>
          <w:cols w:equalWidth="0" w:num="2">
            <w:col w:w="5100" w:space="720"/>
            <w:col w:w="5360"/>
          </w:cols>
          <w:pgMar w:left="240" w:top="459" w:right="479" w:bottom="1440" w:gutter="0" w:footer="0" w:header="0"/>
          <w:type w:val="continuous"/>
        </w:sectPr>
      </w:pPr>
    </w:p>
    <w:p>
      <w:pPr>
        <w:spacing w:after="0" w:line="149"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auto"/>
        </w:rPr>
        <w:t>Who pays for the solicitation of 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68580</wp:posOffset>
            </wp:positionV>
            <wp:extent cx="6997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180"/>
          </w:cols>
          <w:pgMar w:left="240" w:top="459" w:right="479" w:bottom="1440" w:gutter="0" w:footer="0" w:header="0"/>
          <w:type w:val="continuous"/>
        </w:sectPr>
      </w:pPr>
    </w:p>
    <w:p>
      <w:pPr>
        <w:spacing w:after="0" w:line="200" w:lineRule="exact"/>
        <w:rPr>
          <w:sz w:val="20"/>
          <w:szCs w:val="20"/>
          <w:color w:val="auto"/>
        </w:rPr>
      </w:pPr>
    </w:p>
    <w:p>
      <w:pPr>
        <w:spacing w:after="0" w:line="244"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The cost of this solicitation of proxies will be borne by the Company. In addition to soliciting proxies by mail, directors, officers and employees of the Company, without receiving additional compensation therefor, may solicit proxies by telephone, facsimile, electronic mail, in person or by other means. Arrangements also will be made with brokerage firms and other custodians, nominees and fiduciaries to forward proxy solicitation material to the beneficial owners of Brink’s Common Stock and the Company will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reimburse such brokerage firms, custodians, nominees and fiduciaries for reasonable out-of-pocket expenses in connection with their solicitation efforts. The Company has retained Innisfree M&amp;A Incorporated to perform proxy advisory and solicitation services. The fee of Innisfree M&amp;A Incorporated in connection with the 2019 annual meeting is estimated to be approximately $15,000, plus reimbursement of out-of-pocket expenses.</w:t>
      </w:r>
    </w:p>
    <w:p>
      <w:pPr>
        <w:spacing w:after="0" w:line="601" w:lineRule="exact"/>
        <w:rPr>
          <w:sz w:val="20"/>
          <w:szCs w:val="20"/>
          <w:color w:val="auto"/>
        </w:rPr>
      </w:pPr>
    </w:p>
    <w:p>
      <w:pPr>
        <w:sectPr>
          <w:pgSz w:w="11900" w:h="16838" w:orient="portrait"/>
          <w:cols w:equalWidth="0" w:num="2">
            <w:col w:w="5440" w:space="380"/>
            <w:col w:w="5360"/>
          </w:cols>
          <w:pgMar w:left="240" w:top="459" w:right="479" w:bottom="1440" w:gutter="0" w:footer="0" w:header="0"/>
          <w:type w:val="continuous"/>
        </w:sectPr>
      </w:pPr>
    </w:p>
    <w:p>
      <w:pPr>
        <w:spacing w:after="0" w:line="153"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auto"/>
        </w:rPr>
        <w:t>How do I attend the annual meeting? What should I bring?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68580</wp:posOffset>
            </wp:positionV>
            <wp:extent cx="6997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180"/>
          </w:cols>
          <w:pgMar w:left="240" w:top="459" w:right="479" w:bottom="1440" w:gutter="0" w:footer="0" w:header="0"/>
          <w:type w:val="continuous"/>
        </w:sectPr>
      </w:pPr>
    </w:p>
    <w:p>
      <w:pPr>
        <w:spacing w:after="0" w:line="336" w:lineRule="exact"/>
        <w:rPr>
          <w:sz w:val="20"/>
          <w:szCs w:val="20"/>
          <w:color w:val="auto"/>
        </w:rPr>
      </w:pPr>
    </w:p>
    <w:p>
      <w:pPr>
        <w:ind w:left="200"/>
        <w:spacing w:after="0" w:line="238" w:lineRule="auto"/>
        <w:rPr>
          <w:sz w:val="20"/>
          <w:szCs w:val="20"/>
          <w:color w:val="auto"/>
        </w:rPr>
      </w:pPr>
      <w:r>
        <w:rPr>
          <w:rFonts w:ascii="Arial" w:cs="Arial" w:eastAsia="Arial" w:hAnsi="Arial"/>
          <w:sz w:val="18"/>
          <w:szCs w:val="18"/>
          <w:color w:val="auto"/>
        </w:rPr>
        <w:t>Shareholders who wish to attend the annual meeting and vote in person and who need directions to the annual meeting may contact the Corporate Secretary at (804) 289-9600. Shareholders of record who wish to vote in person at the annual meeting will be able to request a ballot at the annual meeting. Shareholders</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who hold their shares through a broker in “street name” and who wish to vote in person at the annual meeting will not be able to vote their shares at the annual meeting without a legal proxy from the street name holder of record. Those shareholders should contact their brokers for further information.</w:t>
      </w:r>
    </w:p>
    <w:p>
      <w:pPr>
        <w:spacing w:after="0" w:line="200" w:lineRule="exact"/>
        <w:rPr>
          <w:sz w:val="20"/>
          <w:szCs w:val="20"/>
          <w:color w:val="auto"/>
        </w:rPr>
      </w:pPr>
    </w:p>
    <w:p>
      <w:pPr>
        <w:sectPr>
          <w:pgSz w:w="11900" w:h="16838" w:orient="portrait"/>
          <w:cols w:equalWidth="0" w:num="2">
            <w:col w:w="5420" w:space="400"/>
            <w:col w:w="5360"/>
          </w:cols>
          <w:pgMar w:left="240" w:top="459" w:right="479" w:bottom="1440" w:gutter="0" w:footer="0" w:header="0"/>
          <w:type w:val="continuous"/>
        </w:sectPr>
      </w:pPr>
    </w:p>
    <w:p>
      <w:pPr>
        <w:spacing w:after="0" w:line="135"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auto"/>
        </w:rPr>
        <w:t>Who will count the 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68580</wp:posOffset>
            </wp:positionV>
            <wp:extent cx="6997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Shareholder votes at the annual meeting will be tabulated by the Company’s transfer agent, American Stock Transfer &amp; Trust Company.</w:t>
      </w:r>
    </w:p>
    <w:p>
      <w:pPr>
        <w:spacing w:after="0" w:line="157" w:lineRule="exact"/>
        <w:rPr>
          <w:sz w:val="20"/>
          <w:szCs w:val="20"/>
          <w:color w:val="auto"/>
        </w:rPr>
      </w:pPr>
    </w:p>
    <w:tbl>
      <w:tblPr>
        <w:tblLayout w:type="fixed"/>
        <w:tblInd w:w="200" w:type="dxa"/>
        <w:tblCellMar>
          <w:top w:w="0" w:type="dxa"/>
          <w:left w:w="0" w:type="dxa"/>
          <w:bottom w:w="0" w:type="dxa"/>
          <w:right w:w="0" w:type="dxa"/>
        </w:tblCellMar>
      </w:tblPr>
      <w:tr>
        <w:trPr>
          <w:trHeight w:val="297"/>
        </w:trPr>
        <w:tc>
          <w:tcPr>
            <w:tcW w:w="260" w:type="dxa"/>
            <w:vAlign w:val="bottom"/>
            <w:tcBorders>
              <w:right w:val="single" w:sz="8" w:color="0033A0"/>
            </w:tcBorders>
          </w:tcPr>
          <w:p>
            <w:pPr>
              <w:jc w:val="right"/>
              <w:ind w:right="70"/>
              <w:spacing w:after="0"/>
              <w:rPr>
                <w:sz w:val="20"/>
                <w:szCs w:val="20"/>
                <w:color w:val="auto"/>
              </w:rPr>
            </w:pPr>
            <w:r>
              <w:rPr>
                <w:rFonts w:ascii="Arial" w:cs="Arial" w:eastAsia="Arial" w:hAnsi="Arial"/>
                <w:sz w:val="18"/>
                <w:szCs w:val="18"/>
                <w:b w:val="1"/>
                <w:bCs w:val="1"/>
                <w:color w:val="auto"/>
                <w:w w:val="79"/>
              </w:rPr>
              <w:t>8</w:t>
            </w:r>
          </w:p>
        </w:tc>
        <w:tc>
          <w:tcPr>
            <w:tcW w:w="3380" w:type="dxa"/>
            <w:vAlign w:val="bottom"/>
          </w:tcPr>
          <w:p>
            <w:pPr>
              <w:ind w:left="1600"/>
              <w:spacing w:after="0"/>
              <w:rPr>
                <w:sz w:val="20"/>
                <w:szCs w:val="20"/>
                <w:color w:val="auto"/>
              </w:rPr>
            </w:pPr>
            <w:r>
              <w:rPr>
                <w:rFonts w:ascii="Arial" w:cs="Arial" w:eastAsia="Arial" w:hAnsi="Arial"/>
                <w:sz w:val="18"/>
                <w:szCs w:val="18"/>
                <w:i w:val="1"/>
                <w:iCs w:val="1"/>
                <w:color w:val="auto"/>
                <w:w w:val="98"/>
              </w:rPr>
              <w:t>2019 Proxy Statement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-170815</wp:posOffset>
            </wp:positionV>
            <wp:extent cx="720090" cy="1289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0090" cy="128905"/>
                    </a:xfrm>
                    <a:prstGeom prst="rect">
                      <a:avLst/>
                    </a:prstGeom>
                    <a:noFill/>
                  </pic:spPr>
                </pic:pic>
              </a:graphicData>
            </a:graphic>
          </wp:anchor>
        </w:drawing>
      </w:r>
    </w:p>
    <w:p>
      <w:pPr>
        <w:sectPr>
          <w:pgSz w:w="11900" w:h="16838" w:orient="portrait"/>
          <w:cols w:equalWidth="0" w:num="1">
            <w:col w:w="11180"/>
          </w:cols>
          <w:pgMar w:left="240" w:top="459" w:right="47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0033A0"/>
        </w:rPr>
        <w:t>The Brink’s Company</w:t>
      </w:r>
    </w:p>
    <w:p>
      <w:pPr>
        <w:spacing w:after="0" w:line="161" w:lineRule="exact"/>
        <w:rPr>
          <w:sz w:val="20"/>
          <w:szCs w:val="20"/>
          <w:color w:val="auto"/>
        </w:rPr>
      </w:pPr>
    </w:p>
    <w:p>
      <w:pPr>
        <w:ind w:left="200"/>
        <w:spacing w:after="0"/>
        <w:rPr>
          <w:sz w:val="20"/>
          <w:szCs w:val="20"/>
          <w:color w:val="auto"/>
        </w:rPr>
      </w:pPr>
      <w:r>
        <w:rPr>
          <w:rFonts w:ascii="Arial" w:cs="Arial" w:eastAsia="Arial" w:hAnsi="Arial"/>
          <w:sz w:val="42"/>
          <w:szCs w:val="42"/>
          <w:color w:val="0033A0"/>
        </w:rPr>
        <w:t>CORPORATE GOVERNANCE</w:t>
      </w:r>
    </w:p>
    <w:p>
      <w:pPr>
        <w:spacing w:after="0" w:line="204"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auto"/>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68580</wp:posOffset>
            </wp:positionV>
            <wp:extent cx="6997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00"/>
          </w:cols>
          <w:pgMar w:left="240" w:top="459" w:right="459" w:bottom="1440" w:gutter="0" w:footer="0" w:header="0"/>
        </w:sectPr>
      </w:pPr>
    </w:p>
    <w:p>
      <w:pPr>
        <w:spacing w:after="0" w:line="31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0033A0"/>
        </w:rPr>
        <w:t>Role of the Board of Directors</w:t>
      </w:r>
    </w:p>
    <w:p>
      <w:pPr>
        <w:spacing w:after="0" w:line="126"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The Board is responsible for advancing the interests of the shareholders by providing advice and oversight of the strategic and operational direction of the Company; overseeing the governance of the Company and the Company’s executive management, including the Chief Executive Officer; and reviewing the Company’s business initiatives, capital projects and budget matters. To do this effectively, the Company has established clear and specific Governance Guidelines for the Board (referred to as our Governance Policies) that, along with Board committee charters and our Code of Ethics, provide the framework for the governance of the Company.</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0033A0"/>
        </w:rPr>
        <w:t>Board Leadership Structure</w:t>
      </w:r>
    </w:p>
    <w:p>
      <w:pPr>
        <w:spacing w:after="0" w:line="126"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The Board does not have a policy on whether the roles of the Chief Executive Officer and Chairman should be separate. The Board regularly evaluates relevant factors to determine the best leadership structure for the Company’s operating and governance environment at the time. In accordance with good governance practices, the Board’s policy is to appoint a lead director from among the independent members of the Board in the event that the roles of Chairman and Chief Executive Officer are combined. In response to significant changes in the Company’s leadership, in 2016, the Board appointed Michael J. Herling as the non-executive Chairman of the Board. The Board believes the separation of the offices of Chairman of the Board and Chief Executive Officer was appropriate at that time as it allowed, and continues to allow, Mr. Pertz to focus primarily on Brink’s business strategy and operations and Mr. Herling to provide the independent leadership of the Board. As the non-executive chairman of the Board, Mr. Herling has the following responsibilities:</w:t>
      </w:r>
    </w:p>
    <w:p>
      <w:pPr>
        <w:spacing w:after="0" w:line="120" w:lineRule="exact"/>
        <w:rPr>
          <w:sz w:val="20"/>
          <w:szCs w:val="20"/>
          <w:color w:val="auto"/>
        </w:rPr>
      </w:pPr>
    </w:p>
    <w:p>
      <w:pPr>
        <w:ind w:left="980" w:hanging="317"/>
        <w:spacing w:after="0"/>
        <w:tabs>
          <w:tab w:leader="none" w:pos="980" w:val="left"/>
        </w:tabs>
        <w:numPr>
          <w:ilvl w:val="0"/>
          <w:numId w:val="16"/>
        </w:numPr>
        <w:rPr>
          <w:rFonts w:ascii="Arial" w:cs="Arial" w:eastAsia="Arial" w:hAnsi="Arial"/>
          <w:sz w:val="18"/>
          <w:szCs w:val="18"/>
          <w:color w:val="0033A0"/>
        </w:rPr>
      </w:pPr>
      <w:r>
        <w:rPr>
          <w:rFonts w:ascii="Arial" w:cs="Arial" w:eastAsia="Arial" w:hAnsi="Arial"/>
          <w:sz w:val="18"/>
          <w:szCs w:val="18"/>
          <w:color w:val="auto"/>
        </w:rPr>
        <w:t>presides over meetings of the Board and shareholders;</w:t>
      </w:r>
    </w:p>
    <w:p>
      <w:pPr>
        <w:spacing w:after="0" w:line="117" w:lineRule="exact"/>
        <w:rPr>
          <w:rFonts w:ascii="Arial" w:cs="Arial" w:eastAsia="Arial" w:hAnsi="Arial"/>
          <w:sz w:val="18"/>
          <w:szCs w:val="18"/>
          <w:color w:val="0033A0"/>
        </w:rPr>
      </w:pPr>
    </w:p>
    <w:p>
      <w:pPr>
        <w:ind w:left="980" w:hanging="317"/>
        <w:spacing w:after="0"/>
        <w:tabs>
          <w:tab w:leader="none" w:pos="980" w:val="left"/>
        </w:tabs>
        <w:numPr>
          <w:ilvl w:val="0"/>
          <w:numId w:val="16"/>
        </w:numPr>
        <w:rPr>
          <w:rFonts w:ascii="Arial" w:cs="Arial" w:eastAsia="Arial" w:hAnsi="Arial"/>
          <w:sz w:val="18"/>
          <w:szCs w:val="18"/>
          <w:color w:val="0033A0"/>
        </w:rPr>
      </w:pPr>
      <w:r>
        <w:rPr>
          <w:rFonts w:ascii="Arial" w:cs="Arial" w:eastAsia="Arial" w:hAnsi="Arial"/>
          <w:sz w:val="18"/>
          <w:szCs w:val="18"/>
          <w:color w:val="auto"/>
        </w:rPr>
        <w:t>calls meetings and executive sessions of the Board;</w:t>
      </w:r>
    </w:p>
    <w:p>
      <w:pPr>
        <w:spacing w:after="0" w:line="117" w:lineRule="exact"/>
        <w:rPr>
          <w:rFonts w:ascii="Arial" w:cs="Arial" w:eastAsia="Arial" w:hAnsi="Arial"/>
          <w:sz w:val="18"/>
          <w:szCs w:val="18"/>
          <w:color w:val="0033A0"/>
        </w:rPr>
      </w:pPr>
    </w:p>
    <w:p>
      <w:pPr>
        <w:ind w:left="980" w:right="460" w:hanging="317"/>
        <w:spacing w:after="0" w:line="246" w:lineRule="auto"/>
        <w:tabs>
          <w:tab w:leader="none" w:pos="980" w:val="left"/>
        </w:tabs>
        <w:numPr>
          <w:ilvl w:val="0"/>
          <w:numId w:val="16"/>
        </w:numPr>
        <w:rPr>
          <w:rFonts w:ascii="Arial" w:cs="Arial" w:eastAsia="Arial" w:hAnsi="Arial"/>
          <w:sz w:val="18"/>
          <w:szCs w:val="18"/>
          <w:color w:val="0033A0"/>
        </w:rPr>
      </w:pPr>
      <w:r>
        <w:rPr>
          <w:rFonts w:ascii="Arial" w:cs="Arial" w:eastAsia="Arial" w:hAnsi="Arial"/>
          <w:sz w:val="18"/>
          <w:szCs w:val="18"/>
          <w:color w:val="auto"/>
        </w:rPr>
        <w:t>develops the meeting agendas and ensures critical issues are addressed;</w:t>
      </w:r>
    </w:p>
    <w:p>
      <w:pPr>
        <w:spacing w:after="0" w:line="102" w:lineRule="exact"/>
        <w:rPr>
          <w:rFonts w:ascii="Arial" w:cs="Arial" w:eastAsia="Arial" w:hAnsi="Arial"/>
          <w:sz w:val="18"/>
          <w:szCs w:val="18"/>
          <w:color w:val="0033A0"/>
        </w:rPr>
      </w:pPr>
    </w:p>
    <w:p>
      <w:pPr>
        <w:ind w:left="980" w:right="80" w:hanging="317"/>
        <w:spacing w:after="0" w:line="246" w:lineRule="auto"/>
        <w:tabs>
          <w:tab w:leader="none" w:pos="980" w:val="left"/>
        </w:tabs>
        <w:numPr>
          <w:ilvl w:val="0"/>
          <w:numId w:val="16"/>
        </w:numPr>
        <w:rPr>
          <w:rFonts w:ascii="Arial" w:cs="Arial" w:eastAsia="Arial" w:hAnsi="Arial"/>
          <w:sz w:val="18"/>
          <w:szCs w:val="18"/>
          <w:color w:val="0033A0"/>
        </w:rPr>
      </w:pPr>
      <w:r>
        <w:rPr>
          <w:rFonts w:ascii="Arial" w:cs="Arial" w:eastAsia="Arial" w:hAnsi="Arial"/>
          <w:sz w:val="18"/>
          <w:szCs w:val="18"/>
          <w:color w:val="auto"/>
        </w:rPr>
        <w:t>facilitates communication between and among directors and management and</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ind w:left="780" w:right="360"/>
        <w:spacing w:after="0" w:line="246" w:lineRule="auto"/>
        <w:rPr>
          <w:sz w:val="20"/>
          <w:szCs w:val="20"/>
          <w:color w:val="auto"/>
        </w:rPr>
      </w:pPr>
      <w:r>
        <w:rPr>
          <w:rFonts w:ascii="Arial" w:cs="Arial" w:eastAsia="Arial" w:hAnsi="Arial"/>
          <w:sz w:val="18"/>
          <w:szCs w:val="18"/>
          <w:color w:val="auto"/>
        </w:rPr>
        <w:t>ensures the quality, quantity and timing of information from management;</w:t>
      </w:r>
    </w:p>
    <w:p>
      <w:pPr>
        <w:spacing w:after="0" w:line="102" w:lineRule="exact"/>
        <w:rPr>
          <w:sz w:val="20"/>
          <w:szCs w:val="20"/>
          <w:color w:val="auto"/>
        </w:rPr>
      </w:pPr>
    </w:p>
    <w:p>
      <w:pPr>
        <w:ind w:left="780" w:right="260" w:hanging="317"/>
        <w:spacing w:after="0" w:line="246" w:lineRule="auto"/>
        <w:tabs>
          <w:tab w:leader="none" w:pos="780" w:val="left"/>
        </w:tabs>
        <w:numPr>
          <w:ilvl w:val="0"/>
          <w:numId w:val="17"/>
        </w:numPr>
        <w:rPr>
          <w:rFonts w:ascii="Arial" w:cs="Arial" w:eastAsia="Arial" w:hAnsi="Arial"/>
          <w:sz w:val="18"/>
          <w:szCs w:val="18"/>
          <w:color w:val="0033A0"/>
        </w:rPr>
      </w:pPr>
      <w:r>
        <w:rPr>
          <w:rFonts w:ascii="Arial" w:cs="Arial" w:eastAsia="Arial" w:hAnsi="Arial"/>
          <w:sz w:val="18"/>
          <w:szCs w:val="18"/>
          <w:color w:val="auto"/>
        </w:rPr>
        <w:t>has a lead role in the evaluation of the Chief Executive Officer;</w:t>
      </w:r>
    </w:p>
    <w:p>
      <w:pPr>
        <w:spacing w:after="0" w:line="102" w:lineRule="exact"/>
        <w:rPr>
          <w:rFonts w:ascii="Arial" w:cs="Arial" w:eastAsia="Arial" w:hAnsi="Arial"/>
          <w:sz w:val="18"/>
          <w:szCs w:val="18"/>
          <w:color w:val="0033A0"/>
        </w:rPr>
      </w:pPr>
    </w:p>
    <w:p>
      <w:pPr>
        <w:ind w:left="780" w:right="580" w:hanging="317"/>
        <w:spacing w:after="0" w:line="239" w:lineRule="auto"/>
        <w:tabs>
          <w:tab w:leader="none" w:pos="780" w:val="left"/>
        </w:tabs>
        <w:numPr>
          <w:ilvl w:val="0"/>
          <w:numId w:val="17"/>
        </w:numPr>
        <w:rPr>
          <w:rFonts w:ascii="Arial" w:cs="Arial" w:eastAsia="Arial" w:hAnsi="Arial"/>
          <w:sz w:val="18"/>
          <w:szCs w:val="18"/>
          <w:color w:val="0033A0"/>
        </w:rPr>
      </w:pPr>
      <w:r>
        <w:rPr>
          <w:rFonts w:ascii="Arial" w:cs="Arial" w:eastAsia="Arial" w:hAnsi="Arial"/>
          <w:sz w:val="18"/>
          <w:szCs w:val="18"/>
          <w:color w:val="auto"/>
        </w:rPr>
        <w:t>serves as the representative of the Board with management and the public and interacts with shareholders on behalf of the Board at the Board’s discretion;</w:t>
      </w:r>
    </w:p>
    <w:p>
      <w:pPr>
        <w:spacing w:after="0" w:line="107" w:lineRule="exact"/>
        <w:rPr>
          <w:rFonts w:ascii="Arial" w:cs="Arial" w:eastAsia="Arial" w:hAnsi="Arial"/>
          <w:sz w:val="18"/>
          <w:szCs w:val="18"/>
          <w:color w:val="0033A0"/>
        </w:rPr>
      </w:pPr>
    </w:p>
    <w:p>
      <w:pPr>
        <w:ind w:left="780" w:right="680" w:hanging="317"/>
        <w:spacing w:after="0" w:line="246" w:lineRule="auto"/>
        <w:tabs>
          <w:tab w:leader="none" w:pos="780" w:val="left"/>
        </w:tabs>
        <w:numPr>
          <w:ilvl w:val="0"/>
          <w:numId w:val="17"/>
        </w:numPr>
        <w:rPr>
          <w:rFonts w:ascii="Arial" w:cs="Arial" w:eastAsia="Arial" w:hAnsi="Arial"/>
          <w:sz w:val="18"/>
          <w:szCs w:val="18"/>
          <w:color w:val="0033A0"/>
        </w:rPr>
      </w:pPr>
      <w:r>
        <w:rPr>
          <w:rFonts w:ascii="Arial" w:cs="Arial" w:eastAsia="Arial" w:hAnsi="Arial"/>
          <w:sz w:val="18"/>
          <w:szCs w:val="18"/>
          <w:color w:val="auto"/>
        </w:rPr>
        <w:t>facilitates communication between the Board and investors, at the Board’s discretion;</w:t>
      </w:r>
    </w:p>
    <w:p>
      <w:pPr>
        <w:spacing w:after="0" w:line="102" w:lineRule="exact"/>
        <w:rPr>
          <w:rFonts w:ascii="Arial" w:cs="Arial" w:eastAsia="Arial" w:hAnsi="Arial"/>
          <w:sz w:val="18"/>
          <w:szCs w:val="18"/>
          <w:color w:val="0033A0"/>
        </w:rPr>
      </w:pPr>
    </w:p>
    <w:p>
      <w:pPr>
        <w:ind w:left="780" w:right="360" w:hanging="317"/>
        <w:spacing w:after="0" w:line="275" w:lineRule="auto"/>
        <w:tabs>
          <w:tab w:leader="none" w:pos="780" w:val="left"/>
        </w:tabs>
        <w:numPr>
          <w:ilvl w:val="0"/>
          <w:numId w:val="17"/>
        </w:numPr>
        <w:rPr>
          <w:rFonts w:ascii="Arial" w:cs="Arial" w:eastAsia="Arial" w:hAnsi="Arial"/>
          <w:sz w:val="17"/>
          <w:szCs w:val="17"/>
          <w:color w:val="0033A0"/>
        </w:rPr>
      </w:pPr>
      <w:r>
        <w:rPr>
          <w:rFonts w:ascii="Arial" w:cs="Arial" w:eastAsia="Arial" w:hAnsi="Arial"/>
          <w:sz w:val="17"/>
          <w:szCs w:val="17"/>
          <w:color w:val="auto"/>
        </w:rPr>
        <w:t>promotes effective communications on developments occurring between Board meetings; and</w:t>
      </w:r>
    </w:p>
    <w:p>
      <w:pPr>
        <w:spacing w:after="0" w:line="78" w:lineRule="exact"/>
        <w:rPr>
          <w:rFonts w:ascii="Arial" w:cs="Arial" w:eastAsia="Arial" w:hAnsi="Arial"/>
          <w:sz w:val="17"/>
          <w:szCs w:val="17"/>
          <w:color w:val="0033A0"/>
        </w:rPr>
      </w:pPr>
    </w:p>
    <w:p>
      <w:pPr>
        <w:ind w:left="780" w:right="80" w:hanging="317"/>
        <w:spacing w:after="0" w:line="246" w:lineRule="auto"/>
        <w:tabs>
          <w:tab w:leader="none" w:pos="780" w:val="left"/>
        </w:tabs>
        <w:numPr>
          <w:ilvl w:val="0"/>
          <w:numId w:val="17"/>
        </w:numPr>
        <w:rPr>
          <w:rFonts w:ascii="Arial" w:cs="Arial" w:eastAsia="Arial" w:hAnsi="Arial"/>
          <w:sz w:val="18"/>
          <w:szCs w:val="18"/>
          <w:color w:val="0033A0"/>
        </w:rPr>
      </w:pPr>
      <w:r>
        <w:rPr>
          <w:rFonts w:ascii="Arial" w:cs="Arial" w:eastAsia="Arial" w:hAnsi="Arial"/>
          <w:sz w:val="18"/>
          <w:szCs w:val="18"/>
          <w:color w:val="auto"/>
        </w:rPr>
        <w:t>performs such other duties assigned from time to time by the Board.</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If the Chairman and CEO roles were to be combined in the future, a lead director would be appointed. We expect that a lead director would have the following responsibilities:</w:t>
      </w:r>
    </w:p>
    <w:p>
      <w:pPr>
        <w:spacing w:after="0" w:line="108" w:lineRule="exact"/>
        <w:rPr>
          <w:sz w:val="20"/>
          <w:szCs w:val="20"/>
          <w:color w:val="auto"/>
        </w:rPr>
      </w:pPr>
    </w:p>
    <w:p>
      <w:pPr>
        <w:ind w:left="780" w:hanging="317"/>
        <w:spacing w:after="0"/>
        <w:tabs>
          <w:tab w:leader="none" w:pos="780" w:val="left"/>
        </w:tabs>
        <w:numPr>
          <w:ilvl w:val="0"/>
          <w:numId w:val="18"/>
        </w:numPr>
        <w:rPr>
          <w:rFonts w:ascii="Arial" w:cs="Arial" w:eastAsia="Arial" w:hAnsi="Arial"/>
          <w:sz w:val="18"/>
          <w:szCs w:val="18"/>
          <w:color w:val="0033A0"/>
        </w:rPr>
      </w:pPr>
      <w:r>
        <w:rPr>
          <w:rFonts w:ascii="Arial" w:cs="Arial" w:eastAsia="Arial" w:hAnsi="Arial"/>
          <w:sz w:val="18"/>
          <w:szCs w:val="18"/>
          <w:color w:val="auto"/>
        </w:rPr>
        <w:t>preside over meetings of the independent directors;</w:t>
      </w:r>
    </w:p>
    <w:p>
      <w:pPr>
        <w:spacing w:after="0" w:line="117" w:lineRule="exact"/>
        <w:rPr>
          <w:rFonts w:ascii="Arial" w:cs="Arial" w:eastAsia="Arial" w:hAnsi="Arial"/>
          <w:sz w:val="18"/>
          <w:szCs w:val="18"/>
          <w:color w:val="0033A0"/>
        </w:rPr>
      </w:pPr>
    </w:p>
    <w:p>
      <w:pPr>
        <w:ind w:left="780" w:right="160" w:hanging="317"/>
        <w:spacing w:after="0"/>
        <w:tabs>
          <w:tab w:leader="none" w:pos="780" w:val="left"/>
        </w:tabs>
        <w:numPr>
          <w:ilvl w:val="0"/>
          <w:numId w:val="18"/>
        </w:numPr>
        <w:rPr>
          <w:rFonts w:ascii="Arial" w:cs="Arial" w:eastAsia="Arial" w:hAnsi="Arial"/>
          <w:sz w:val="18"/>
          <w:szCs w:val="18"/>
          <w:color w:val="0033A0"/>
        </w:rPr>
      </w:pPr>
      <w:r>
        <w:rPr>
          <w:rFonts w:ascii="Arial" w:cs="Arial" w:eastAsia="Arial" w:hAnsi="Arial"/>
          <w:sz w:val="18"/>
          <w:szCs w:val="18"/>
          <w:color w:val="auto"/>
        </w:rPr>
        <w:t>work with the Chairman and Chief Executive Officer to develop meeting agendas and ensure critical issues are addressed;</w:t>
      </w:r>
    </w:p>
    <w:p>
      <w:pPr>
        <w:spacing w:after="0" w:line="108" w:lineRule="exact"/>
        <w:rPr>
          <w:rFonts w:ascii="Arial" w:cs="Arial" w:eastAsia="Arial" w:hAnsi="Arial"/>
          <w:sz w:val="18"/>
          <w:szCs w:val="18"/>
          <w:color w:val="0033A0"/>
        </w:rPr>
      </w:pPr>
    </w:p>
    <w:p>
      <w:pPr>
        <w:ind w:left="780" w:right="180" w:hanging="317"/>
        <w:spacing w:after="0" w:line="239" w:lineRule="auto"/>
        <w:tabs>
          <w:tab w:leader="none" w:pos="780" w:val="left"/>
        </w:tabs>
        <w:numPr>
          <w:ilvl w:val="0"/>
          <w:numId w:val="18"/>
        </w:numPr>
        <w:rPr>
          <w:rFonts w:ascii="Arial" w:cs="Arial" w:eastAsia="Arial" w:hAnsi="Arial"/>
          <w:sz w:val="18"/>
          <w:szCs w:val="18"/>
          <w:color w:val="0033A0"/>
        </w:rPr>
      </w:pPr>
      <w:r>
        <w:rPr>
          <w:rFonts w:ascii="Arial" w:cs="Arial" w:eastAsia="Arial" w:hAnsi="Arial"/>
          <w:sz w:val="18"/>
          <w:szCs w:val="18"/>
          <w:color w:val="auto"/>
        </w:rPr>
        <w:t>act as a principal liaison between independent directors and the Chief Executive Officer and brief the Chief Executive Officer on issues of concern that arise during executive sessions of independent directors;</w:t>
      </w:r>
    </w:p>
    <w:p>
      <w:pPr>
        <w:spacing w:after="0" w:line="107" w:lineRule="exact"/>
        <w:rPr>
          <w:rFonts w:ascii="Arial" w:cs="Arial" w:eastAsia="Arial" w:hAnsi="Arial"/>
          <w:sz w:val="18"/>
          <w:szCs w:val="18"/>
          <w:color w:val="0033A0"/>
        </w:rPr>
      </w:pPr>
    </w:p>
    <w:p>
      <w:pPr>
        <w:ind w:left="780" w:right="160" w:hanging="317"/>
        <w:spacing w:after="0"/>
        <w:tabs>
          <w:tab w:leader="none" w:pos="780" w:val="left"/>
        </w:tabs>
        <w:numPr>
          <w:ilvl w:val="0"/>
          <w:numId w:val="18"/>
        </w:numPr>
        <w:rPr>
          <w:rFonts w:ascii="Arial" w:cs="Arial" w:eastAsia="Arial" w:hAnsi="Arial"/>
          <w:sz w:val="18"/>
          <w:szCs w:val="18"/>
          <w:color w:val="0033A0"/>
        </w:rPr>
      </w:pPr>
      <w:r>
        <w:rPr>
          <w:rFonts w:ascii="Arial" w:cs="Arial" w:eastAsia="Arial" w:hAnsi="Arial"/>
          <w:sz w:val="18"/>
          <w:szCs w:val="18"/>
          <w:color w:val="auto"/>
        </w:rPr>
        <w:t>have a lead role in the evaluation of the Chief Executive Officer (if the Chairman also serves as the Chief Executive Officer);</w:t>
      </w:r>
    </w:p>
    <w:p>
      <w:pPr>
        <w:spacing w:after="0" w:line="108" w:lineRule="exact"/>
        <w:rPr>
          <w:rFonts w:ascii="Arial" w:cs="Arial" w:eastAsia="Arial" w:hAnsi="Arial"/>
          <w:sz w:val="18"/>
          <w:szCs w:val="18"/>
          <w:color w:val="0033A0"/>
        </w:rPr>
      </w:pPr>
    </w:p>
    <w:p>
      <w:pPr>
        <w:ind w:left="780" w:right="360" w:hanging="317"/>
        <w:spacing w:after="0"/>
        <w:tabs>
          <w:tab w:leader="none" w:pos="780" w:val="left"/>
        </w:tabs>
        <w:numPr>
          <w:ilvl w:val="0"/>
          <w:numId w:val="18"/>
        </w:numPr>
        <w:rPr>
          <w:rFonts w:ascii="Arial" w:cs="Arial" w:eastAsia="Arial" w:hAnsi="Arial"/>
          <w:sz w:val="18"/>
          <w:szCs w:val="18"/>
          <w:color w:val="0033A0"/>
        </w:rPr>
      </w:pPr>
      <w:r>
        <w:rPr>
          <w:rFonts w:ascii="Arial" w:cs="Arial" w:eastAsia="Arial" w:hAnsi="Arial"/>
          <w:sz w:val="18"/>
          <w:szCs w:val="18"/>
          <w:color w:val="auto"/>
        </w:rPr>
        <w:t>take the lead in assuring that the Board carries out its responsibilities in circumstances where the Chief Executive Officer is incapacitated or unable to act;</w:t>
      </w:r>
    </w:p>
    <w:p>
      <w:pPr>
        <w:spacing w:after="0" w:line="108" w:lineRule="exact"/>
        <w:rPr>
          <w:rFonts w:ascii="Arial" w:cs="Arial" w:eastAsia="Arial" w:hAnsi="Arial"/>
          <w:sz w:val="18"/>
          <w:szCs w:val="18"/>
          <w:color w:val="0033A0"/>
        </w:rPr>
      </w:pPr>
    </w:p>
    <w:p>
      <w:pPr>
        <w:ind w:left="780" w:right="520" w:hanging="317"/>
        <w:spacing w:after="0" w:line="246" w:lineRule="auto"/>
        <w:tabs>
          <w:tab w:leader="none" w:pos="780" w:val="left"/>
        </w:tabs>
        <w:numPr>
          <w:ilvl w:val="0"/>
          <w:numId w:val="18"/>
        </w:numPr>
        <w:rPr>
          <w:rFonts w:ascii="Arial" w:cs="Arial" w:eastAsia="Arial" w:hAnsi="Arial"/>
          <w:sz w:val="18"/>
          <w:szCs w:val="18"/>
          <w:color w:val="0033A0"/>
        </w:rPr>
      </w:pPr>
      <w:r>
        <w:rPr>
          <w:rFonts w:ascii="Arial" w:cs="Arial" w:eastAsia="Arial" w:hAnsi="Arial"/>
          <w:sz w:val="18"/>
          <w:szCs w:val="18"/>
          <w:color w:val="auto"/>
        </w:rPr>
        <w:t>serve as the primary non-management contact with shareholders, as needed; and</w:t>
      </w:r>
    </w:p>
    <w:p>
      <w:pPr>
        <w:spacing w:after="0" w:line="102" w:lineRule="exact"/>
        <w:rPr>
          <w:rFonts w:ascii="Arial" w:cs="Arial" w:eastAsia="Arial" w:hAnsi="Arial"/>
          <w:sz w:val="18"/>
          <w:szCs w:val="18"/>
          <w:color w:val="0033A0"/>
        </w:rPr>
      </w:pPr>
    </w:p>
    <w:p>
      <w:pPr>
        <w:ind w:left="780" w:right="160" w:hanging="317"/>
        <w:spacing w:after="0" w:line="246" w:lineRule="auto"/>
        <w:tabs>
          <w:tab w:leader="none" w:pos="780" w:val="left"/>
        </w:tabs>
        <w:numPr>
          <w:ilvl w:val="0"/>
          <w:numId w:val="18"/>
        </w:numPr>
        <w:rPr>
          <w:rFonts w:ascii="Arial" w:cs="Arial" w:eastAsia="Arial" w:hAnsi="Arial"/>
          <w:sz w:val="18"/>
          <w:szCs w:val="18"/>
          <w:color w:val="0033A0"/>
        </w:rPr>
      </w:pPr>
      <w:r>
        <w:rPr>
          <w:rFonts w:ascii="Arial" w:cs="Arial" w:eastAsia="Arial" w:hAnsi="Arial"/>
          <w:sz w:val="18"/>
          <w:szCs w:val="18"/>
          <w:color w:val="auto"/>
        </w:rPr>
        <w:t>perform such other duties assigned from time to time by the Board.</w:t>
      </w:r>
    </w:p>
    <w:p>
      <w:pPr>
        <w:spacing w:after="0" w:line="200" w:lineRule="exact"/>
        <w:rPr>
          <w:sz w:val="20"/>
          <w:szCs w:val="20"/>
          <w:color w:val="auto"/>
        </w:rPr>
      </w:pPr>
    </w:p>
    <w:p>
      <w:pPr>
        <w:sectPr>
          <w:pgSz w:w="11900" w:h="16838" w:orient="portrait"/>
          <w:cols w:equalWidth="0" w:num="2">
            <w:col w:w="5480" w:space="340"/>
            <w:col w:w="5380"/>
          </w:cols>
          <w:pgMar w:left="240" w:top="459" w:right="459" w:bottom="1440" w:gutter="0" w:footer="0" w:header="0"/>
          <w:type w:val="continuous"/>
        </w:sectPr>
      </w:pPr>
    </w:p>
    <w:p>
      <w:pPr>
        <w:spacing w:after="0" w:line="79" w:lineRule="exact"/>
        <w:rPr>
          <w:sz w:val="20"/>
          <w:szCs w:val="20"/>
          <w:color w:val="auto"/>
        </w:rPr>
      </w:pPr>
    </w:p>
    <w:tbl>
      <w:tblPr>
        <w:tblLayout w:type="fixed"/>
        <w:tblInd w:w="8920" w:type="dxa"/>
        <w:tblCellMar>
          <w:top w:w="0" w:type="dxa"/>
          <w:left w:w="0" w:type="dxa"/>
          <w:bottom w:w="0" w:type="dxa"/>
          <w:right w:w="0" w:type="dxa"/>
        </w:tblCellMar>
      </w:tblPr>
      <w:tr>
        <w:trPr>
          <w:trHeight w:val="297"/>
        </w:trPr>
        <w:tc>
          <w:tcPr>
            <w:tcW w:w="1920" w:type="dxa"/>
            <w:vAlign w:val="bottom"/>
            <w:tcBorders>
              <w:right w:val="single" w:sz="8" w:color="0033A0"/>
            </w:tcBorders>
          </w:tcPr>
          <w:p>
            <w:pPr>
              <w:spacing w:after="0"/>
              <w:rPr>
                <w:sz w:val="20"/>
                <w:szCs w:val="20"/>
                <w:color w:val="auto"/>
              </w:rPr>
            </w:pPr>
            <w:r>
              <w:rPr>
                <w:rFonts w:ascii="Arial" w:cs="Arial" w:eastAsia="Arial" w:hAnsi="Arial"/>
                <w:sz w:val="18"/>
                <w:szCs w:val="18"/>
                <w:i w:val="1"/>
                <w:iCs w:val="1"/>
                <w:color w:val="auto"/>
              </w:rPr>
              <w:t>2019 Proxy Statement</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-170815</wp:posOffset>
            </wp:positionV>
            <wp:extent cx="720090" cy="1289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0090" cy="128905"/>
                    </a:xfrm>
                    <a:prstGeom prst="rect">
                      <a:avLst/>
                    </a:prstGeom>
                    <a:noFill/>
                  </pic:spPr>
                </pic:pic>
              </a:graphicData>
            </a:graphic>
          </wp:anchor>
        </w:drawing>
      </w:r>
    </w:p>
    <w:p>
      <w:pPr>
        <w:sectPr>
          <w:pgSz w:w="11900" w:h="16838" w:orient="portrait"/>
          <w:cols w:equalWidth="0" w:num="1">
            <w:col w:w="11200"/>
          </w:cols>
          <w:pgMar w:left="240" w:top="459" w:right="45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0033A0"/>
        </w:rPr>
        <w:t>The Brink’s Company</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0033A0"/>
        </w:rPr>
        <w:t>Meetings of the Board and Director Attendance</w:t>
      </w:r>
    </w:p>
    <w:p>
      <w:pPr>
        <w:spacing w:after="0" w:line="126" w:lineRule="exact"/>
        <w:rPr>
          <w:sz w:val="20"/>
          <w:szCs w:val="20"/>
          <w:color w:val="auto"/>
        </w:rPr>
      </w:pPr>
    </w:p>
    <w:p>
      <w:pPr>
        <w:ind w:left="220"/>
        <w:spacing w:after="0" w:line="239" w:lineRule="auto"/>
        <w:rPr>
          <w:sz w:val="20"/>
          <w:szCs w:val="20"/>
          <w:color w:val="auto"/>
        </w:rPr>
      </w:pPr>
      <w:r>
        <w:rPr>
          <w:rFonts w:ascii="Arial" w:cs="Arial" w:eastAsia="Arial" w:hAnsi="Arial"/>
          <w:sz w:val="18"/>
          <w:szCs w:val="18"/>
          <w:color w:val="auto"/>
        </w:rPr>
        <w:t>The Board met six times in 2018. During 2018, all incumbent directors attended at least 75% of the total number of meetings of the Board and of the committees of the Board on which they served.</w:t>
      </w:r>
    </w:p>
    <w:p>
      <w:pPr>
        <w:spacing w:after="0" w:line="28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0033A0"/>
        </w:rPr>
        <w:t>Executive Sessions of the Board</w:t>
      </w:r>
    </w:p>
    <w:p>
      <w:pPr>
        <w:spacing w:after="0" w:line="126" w:lineRule="exact"/>
        <w:rPr>
          <w:sz w:val="20"/>
          <w:szCs w:val="20"/>
          <w:color w:val="auto"/>
        </w:rPr>
      </w:pPr>
    </w:p>
    <w:p>
      <w:pPr>
        <w:ind w:left="220" w:right="80"/>
        <w:spacing w:after="0"/>
        <w:rPr>
          <w:sz w:val="20"/>
          <w:szCs w:val="20"/>
          <w:color w:val="auto"/>
        </w:rPr>
      </w:pPr>
      <w:r>
        <w:rPr>
          <w:rFonts w:ascii="Arial" w:cs="Arial" w:eastAsia="Arial" w:hAnsi="Arial"/>
          <w:sz w:val="18"/>
          <w:szCs w:val="18"/>
          <w:color w:val="auto"/>
        </w:rPr>
        <w:t>The non-management members of the Board meet regularly without management present. The Chairman presides over each meeting of the independent Board members.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33A0"/>
        </w:rPr>
        <w:t>Director Attendance at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-922655</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06"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The Company has no formal policy with regard to Board members’ attendance at annual meetings. All of the directors then in office, with the exception of Mr. Boynton, attended the 2018 annual meeting of shareholders.</w:t>
      </w:r>
    </w:p>
    <w:p>
      <w:pPr>
        <w:spacing w:after="0" w:line="1441" w:lineRule="exact"/>
        <w:rPr>
          <w:sz w:val="20"/>
          <w:szCs w:val="20"/>
          <w:color w:val="auto"/>
        </w:rPr>
      </w:pPr>
    </w:p>
    <w:p>
      <w:pPr>
        <w:sectPr>
          <w:pgSz w:w="11900" w:h="16838" w:orient="portrait"/>
          <w:cols w:equalWidth="0" w:num="2">
            <w:col w:w="5420" w:space="400"/>
            <w:col w:w="5380"/>
          </w:cols>
          <w:pgMar w:left="240" w:top="459" w:right="459" w:bottom="1440" w:gutter="0" w:footer="0" w:header="0"/>
        </w:sectPr>
      </w:pPr>
    </w:p>
    <w:p>
      <w:pPr>
        <w:spacing w:after="0" w:line="149"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auto"/>
        </w:rPr>
        <w:t>Board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68580</wp:posOffset>
            </wp:positionV>
            <wp:extent cx="6997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00"/>
          </w:cols>
          <w:pgMar w:left="240" w:top="459" w:right="459" w:bottom="1440" w:gutter="0" w:footer="0" w:header="0"/>
          <w:type w:val="continuous"/>
        </w:sectPr>
      </w:pPr>
    </w:p>
    <w:p>
      <w:pPr>
        <w:spacing w:after="0" w:line="336" w:lineRule="exact"/>
        <w:rPr>
          <w:sz w:val="20"/>
          <w:szCs w:val="20"/>
          <w:color w:val="auto"/>
        </w:rPr>
      </w:pPr>
    </w:p>
    <w:p>
      <w:pPr>
        <w:ind w:left="220" w:right="9"/>
        <w:spacing w:after="0" w:line="236" w:lineRule="auto"/>
        <w:rPr>
          <w:sz w:val="20"/>
          <w:szCs w:val="20"/>
          <w:color w:val="auto"/>
        </w:rPr>
      </w:pPr>
      <w:r>
        <w:rPr>
          <w:rFonts w:ascii="Arial" w:cs="Arial" w:eastAsia="Arial" w:hAnsi="Arial"/>
          <w:sz w:val="18"/>
          <w:szCs w:val="18"/>
          <w:color w:val="auto"/>
        </w:rPr>
        <w:t>For a director to be deemed “independent,” the Board must affirmatively determine, in accordance with the listing standards of the New York Stock Exchange, that the director has no material relationship with the Company, either directly or as a partner, shareholder or officer of an organization that has a relationship with the Company. In making this determination, the Board has adopted the following categorical standards as part of its Governance Policies:</w:t>
      </w:r>
    </w:p>
    <w:p>
      <w:pPr>
        <w:spacing w:after="0" w:line="114" w:lineRule="exact"/>
        <w:rPr>
          <w:sz w:val="20"/>
          <w:szCs w:val="20"/>
          <w:color w:val="auto"/>
        </w:rPr>
      </w:pPr>
    </w:p>
    <w:p>
      <w:pPr>
        <w:ind w:left="940" w:right="9" w:hanging="371"/>
        <w:spacing w:after="0" w:line="236" w:lineRule="auto"/>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director who is, or has been within the last three years, an employee of the Company, or whose immediate family member is, or has been within the last three years, an executive officer of the Company, is not independent. Employment as an interim Chairman, Chief Executive Officer or other executive officer will not disqualify a director from being considered independent following such employment.</w:t>
      </w:r>
    </w:p>
    <w:p>
      <w:pPr>
        <w:spacing w:after="0" w:line="113" w:lineRule="exact"/>
        <w:rPr>
          <w:rFonts w:ascii="Arial" w:cs="Arial" w:eastAsia="Arial" w:hAnsi="Arial"/>
          <w:sz w:val="18"/>
          <w:szCs w:val="18"/>
          <w:color w:val="auto"/>
        </w:rPr>
      </w:pPr>
    </w:p>
    <w:p>
      <w:pPr>
        <w:ind w:left="940" w:right="69" w:hanging="371"/>
        <w:spacing w:after="0" w:line="236" w:lineRule="auto"/>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director who has received or who has an immediate family member serving as an executive officer who has received, during any twelve-month period within the last three years, more than $120,000 in direct compensation from the Company (excluding director and committee fees and pensions or other forms of deferred compensation for prior service, provided such compensation is not contingent in any way on continued service), is not independent. Compensation received by a director for former service as an interim Chairman, Chief Executive Officer or other executive officer will not count toward the $120,000 limitation.</w:t>
      </w:r>
    </w:p>
    <w:p>
      <w:pPr>
        <w:spacing w:after="0" w:line="273" w:lineRule="exact"/>
        <w:rPr>
          <w:sz w:val="20"/>
          <w:szCs w:val="20"/>
          <w:color w:val="auto"/>
        </w:rPr>
      </w:pPr>
    </w:p>
    <w:tbl>
      <w:tblPr>
        <w:tblLayout w:type="fixed"/>
        <w:tblInd w:w="200" w:type="dxa"/>
        <w:tblCellMar>
          <w:top w:w="0" w:type="dxa"/>
          <w:left w:w="0" w:type="dxa"/>
          <w:bottom w:w="0" w:type="dxa"/>
          <w:right w:w="0" w:type="dxa"/>
        </w:tblCellMar>
      </w:tblPr>
      <w:tr>
        <w:trPr>
          <w:trHeight w:val="297"/>
        </w:trPr>
        <w:tc>
          <w:tcPr>
            <w:tcW w:w="360" w:type="dxa"/>
            <w:vAlign w:val="bottom"/>
            <w:tcBorders>
              <w:right w:val="single" w:sz="8" w:color="0033A0"/>
            </w:tcBorders>
          </w:tcPr>
          <w:p>
            <w:pPr>
              <w:jc w:val="right"/>
              <w:ind w:right="70"/>
              <w:spacing w:after="0"/>
              <w:rPr>
                <w:sz w:val="20"/>
                <w:szCs w:val="20"/>
                <w:color w:val="auto"/>
              </w:rPr>
            </w:pPr>
            <w:r>
              <w:rPr>
                <w:rFonts w:ascii="Arial" w:cs="Arial" w:eastAsia="Arial" w:hAnsi="Arial"/>
                <w:sz w:val="18"/>
                <w:szCs w:val="18"/>
                <w:b w:val="1"/>
                <w:bCs w:val="1"/>
                <w:color w:val="auto"/>
                <w:w w:val="89"/>
              </w:rPr>
              <w:t>10</w:t>
            </w:r>
          </w:p>
        </w:tc>
        <w:tc>
          <w:tcPr>
            <w:tcW w:w="3380" w:type="dxa"/>
            <w:vAlign w:val="bottom"/>
          </w:tcPr>
          <w:p>
            <w:pPr>
              <w:ind w:left="1600"/>
              <w:spacing w:after="0"/>
              <w:rPr>
                <w:sz w:val="20"/>
                <w:szCs w:val="20"/>
                <w:color w:val="auto"/>
              </w:rPr>
            </w:pPr>
            <w:r>
              <w:rPr>
                <w:rFonts w:ascii="Arial" w:cs="Arial" w:eastAsia="Arial" w:hAnsi="Arial"/>
                <w:sz w:val="18"/>
                <w:szCs w:val="18"/>
                <w:i w:val="1"/>
                <w:iCs w:val="1"/>
                <w:color w:val="auto"/>
                <w:w w:val="98"/>
              </w:rPr>
              <w:t>2019 Proxy Statement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-170815</wp:posOffset>
            </wp:positionV>
            <wp:extent cx="720090" cy="1289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009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ind w:left="371" w:right="260" w:hanging="371"/>
        <w:spacing w:after="0" w:line="248" w:lineRule="auto"/>
        <w:tabs>
          <w:tab w:leader="none" w:pos="371" w:val="left"/>
        </w:tabs>
        <w:numPr>
          <w:ilvl w:val="0"/>
          <w:numId w:val="20"/>
        </w:numPr>
        <w:rPr>
          <w:rFonts w:ascii="Arial" w:cs="Arial" w:eastAsia="Arial" w:hAnsi="Arial"/>
          <w:sz w:val="17"/>
          <w:szCs w:val="17"/>
          <w:color w:val="auto"/>
        </w:rPr>
      </w:pPr>
      <w:r>
        <w:rPr>
          <w:rFonts w:ascii="Arial" w:cs="Arial" w:eastAsia="Arial" w:hAnsi="Arial"/>
          <w:sz w:val="17"/>
          <w:szCs w:val="17"/>
          <w:color w:val="auto"/>
        </w:rPr>
        <w:t>(A) A director who is a current partner or employee of a firm that is the Company’s internal or external auditor;</w:t>
      </w:r>
    </w:p>
    <w:p>
      <w:pPr>
        <w:spacing w:after="0" w:line="1" w:lineRule="exact"/>
        <w:rPr>
          <w:rFonts w:ascii="Arial" w:cs="Arial" w:eastAsia="Arial" w:hAnsi="Arial"/>
          <w:sz w:val="17"/>
          <w:szCs w:val="17"/>
          <w:color w:val="auto"/>
        </w:rPr>
      </w:pPr>
    </w:p>
    <w:p>
      <w:pPr>
        <w:ind w:left="371" w:right="20"/>
        <w:spacing w:after="0" w:line="236" w:lineRule="auto"/>
        <w:rPr>
          <w:rFonts w:ascii="Arial" w:cs="Arial" w:eastAsia="Arial" w:hAnsi="Arial"/>
          <w:sz w:val="17"/>
          <w:szCs w:val="17"/>
          <w:color w:val="auto"/>
        </w:rPr>
      </w:pPr>
      <w:r>
        <w:rPr>
          <w:rFonts w:ascii="Arial" w:cs="Arial" w:eastAsia="Arial" w:hAnsi="Arial"/>
          <w:sz w:val="18"/>
          <w:szCs w:val="18"/>
          <w:color w:val="auto"/>
        </w:rPr>
        <w:t>(B) a director who has an immediate family member who is a current partner of such a firm; (C) a director who has an immediate family member who is a current employee of such a firm and personally works on the Company’s audit; or (D) a director who was or whose immediate family member was within the last three years a partner or employee of such a firm and personally worked on the Company’s audit within that time, in any such instance ((A)-(D)) is not independent.</w:t>
      </w:r>
    </w:p>
    <w:p>
      <w:pPr>
        <w:spacing w:after="0" w:line="112" w:lineRule="exact"/>
        <w:rPr>
          <w:rFonts w:ascii="Arial" w:cs="Arial" w:eastAsia="Arial" w:hAnsi="Arial"/>
          <w:sz w:val="17"/>
          <w:szCs w:val="17"/>
          <w:color w:val="auto"/>
        </w:rPr>
      </w:pPr>
    </w:p>
    <w:p>
      <w:pPr>
        <w:ind w:left="371" w:right="60" w:hanging="371"/>
        <w:spacing w:after="0" w:line="237" w:lineRule="auto"/>
        <w:tabs>
          <w:tab w:leader="none" w:pos="371"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director who is or has been within the last three years, or whose immediate family member is, or has been within the last three years, employed as an executive officer of another company where any of the Company’s present executive officers at the same time serves or served on that company’s compensation committee, is not independent.</w:t>
      </w:r>
    </w:p>
    <w:p>
      <w:pPr>
        <w:spacing w:after="0" w:line="108" w:lineRule="exact"/>
        <w:rPr>
          <w:rFonts w:ascii="Arial" w:cs="Arial" w:eastAsia="Arial" w:hAnsi="Arial"/>
          <w:sz w:val="18"/>
          <w:szCs w:val="18"/>
          <w:color w:val="auto"/>
        </w:rPr>
      </w:pPr>
    </w:p>
    <w:p>
      <w:pPr>
        <w:ind w:left="371" w:hanging="371"/>
        <w:spacing w:after="0" w:line="253" w:lineRule="auto"/>
        <w:tabs>
          <w:tab w:leader="none" w:pos="371" w:val="left"/>
        </w:tabs>
        <w:numPr>
          <w:ilvl w:val="0"/>
          <w:numId w:val="20"/>
        </w:numPr>
        <w:rPr>
          <w:rFonts w:ascii="Arial" w:cs="Arial" w:eastAsia="Arial" w:hAnsi="Arial"/>
          <w:sz w:val="17"/>
          <w:szCs w:val="17"/>
          <w:color w:val="auto"/>
        </w:rPr>
      </w:pPr>
      <w:r>
        <w:rPr>
          <w:rFonts w:ascii="Arial" w:cs="Arial" w:eastAsia="Arial" w:hAnsi="Arial"/>
          <w:sz w:val="17"/>
          <w:szCs w:val="17"/>
          <w:color w:val="auto"/>
        </w:rPr>
        <w:t>A director who is a current employee, or whose immediate family member is a current executive officer, of a company that has made payments to, or received payments from, the Company for property or services in an amount which, in any of the last three fiscal years, exceeds the greater of $1 million, or 2% of such other company’s consolidated gross revenues, is not independent.</w:t>
      </w:r>
    </w:p>
    <w:p>
      <w:pPr>
        <w:sectPr>
          <w:pgSz w:w="11900" w:h="16838" w:orient="portrait"/>
          <w:cols w:equalWidth="0" w:num="2">
            <w:col w:w="5469" w:space="720"/>
            <w:col w:w="5011"/>
          </w:cols>
          <w:pgMar w:left="240" w:top="459" w:right="45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right"/>
        <w:ind w:right="20"/>
        <w:spacing w:after="0"/>
        <w:rPr>
          <w:sz w:val="20"/>
          <w:szCs w:val="20"/>
          <w:color w:val="auto"/>
        </w:rPr>
      </w:pPr>
      <w:r>
        <w:rPr>
          <w:rFonts w:ascii="Arial" w:cs="Arial" w:eastAsia="Arial" w:hAnsi="Arial"/>
          <w:sz w:val="20"/>
          <w:szCs w:val="20"/>
          <w:b w:val="1"/>
          <w:bCs w:val="1"/>
          <w:color w:val="0033A0"/>
        </w:rPr>
        <w:t>CORPORATE GOVERNANCE</w:t>
      </w:r>
    </w:p>
    <w:p>
      <w:pPr>
        <w:sectPr>
          <w:pgSz w:w="11900" w:h="16838" w:orient="portrait"/>
          <w:cols w:equalWidth="0" w:num="1">
            <w:col w:w="11240"/>
          </w:cols>
          <w:pgMar w:left="240" w:top="459" w:right="419" w:bottom="1440" w:gutter="0" w:footer="0" w:header="0"/>
        </w:sectPr>
      </w:pPr>
    </w:p>
    <w:p>
      <w:pPr>
        <w:spacing w:after="0" w:line="337"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The Board has affirmatively determined that Ms. Docherty and Messrs. Boynton, Clough, Hedgebeth, Henry, Herling, and Stoeckert are independent under the listing standards of the New York Stock Exchange and the categorical standards described above. The Board has determined that the members of the Audit and Ethics Committee (the “Audit Committee”) and the Compensation Committee meet the heightened independence requirements for service on the Audit Committee and Compensation Committee set forth in the respective</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committees’ charters. In addition, the Board has determined that</w:t>
      </w:r>
    </w:p>
    <w:p>
      <w:pPr>
        <w:spacing w:after="0" w:line="234" w:lineRule="auto"/>
        <w:rPr>
          <w:sz w:val="20"/>
          <w:szCs w:val="20"/>
          <w:color w:val="auto"/>
        </w:rPr>
      </w:pPr>
      <w:r>
        <w:rPr>
          <w:rFonts w:ascii="Arial" w:cs="Arial" w:eastAsia="Arial" w:hAnsi="Arial"/>
          <w:sz w:val="18"/>
          <w:szCs w:val="18"/>
          <w:color w:val="auto"/>
        </w:rPr>
        <w:t>the members of the Compensation Committee are “non-employee</w:t>
      </w:r>
    </w:p>
    <w:p>
      <w:pPr>
        <w:spacing w:after="0" w:line="235" w:lineRule="auto"/>
        <w:rPr>
          <w:sz w:val="20"/>
          <w:szCs w:val="20"/>
          <w:color w:val="auto"/>
        </w:rPr>
      </w:pPr>
      <w:r>
        <w:rPr>
          <w:rFonts w:ascii="Arial" w:cs="Arial" w:eastAsia="Arial" w:hAnsi="Arial"/>
          <w:sz w:val="18"/>
          <w:szCs w:val="18"/>
          <w:color w:val="auto"/>
        </w:rPr>
        <w:t>directors” (within the meaning of Rule 16b-3 of the Securities</w:t>
      </w:r>
    </w:p>
    <w:p>
      <w:pPr>
        <w:spacing w:after="0" w:line="235" w:lineRule="auto"/>
        <w:rPr>
          <w:sz w:val="20"/>
          <w:szCs w:val="20"/>
          <w:color w:val="auto"/>
        </w:rPr>
      </w:pPr>
      <w:r>
        <w:rPr>
          <w:rFonts w:ascii="Arial" w:cs="Arial" w:eastAsia="Arial" w:hAnsi="Arial"/>
          <w:sz w:val="18"/>
          <w:szCs w:val="18"/>
          <w:color w:val="auto"/>
        </w:rPr>
        <w:t>Exchange Act of 1934, as amended (the “Exchange Act”)) and, to</w:t>
      </w:r>
    </w:p>
    <w:p>
      <w:pPr>
        <w:spacing w:after="0" w:line="235" w:lineRule="auto"/>
        <w:rPr>
          <w:sz w:val="20"/>
          <w:szCs w:val="20"/>
          <w:color w:val="auto"/>
        </w:rPr>
      </w:pPr>
      <w:r>
        <w:rPr>
          <w:rFonts w:ascii="Arial" w:cs="Arial" w:eastAsia="Arial" w:hAnsi="Arial"/>
          <w:sz w:val="18"/>
          <w:szCs w:val="18"/>
          <w:color w:val="auto"/>
        </w:rPr>
        <w:t>the extent necessary to qualify compensation incentives for 162(m)</w:t>
      </w:r>
    </w:p>
    <w:p>
      <w:pPr>
        <w:spacing w:after="0" w:line="235" w:lineRule="auto"/>
        <w:rPr>
          <w:sz w:val="20"/>
          <w:szCs w:val="20"/>
          <w:color w:val="auto"/>
        </w:rPr>
      </w:pPr>
      <w:r>
        <w:rPr>
          <w:rFonts w:ascii="Arial" w:cs="Arial" w:eastAsia="Arial" w:hAnsi="Arial"/>
          <w:sz w:val="18"/>
          <w:szCs w:val="18"/>
          <w:color w:val="auto"/>
        </w:rPr>
        <w:t>Transition Relief, “outside directors” (within the meaning of</w:t>
      </w:r>
    </w:p>
    <w:p>
      <w:pPr>
        <w:spacing w:after="0"/>
        <w:rPr>
          <w:sz w:val="20"/>
          <w:szCs w:val="20"/>
          <w:color w:val="auto"/>
        </w:rPr>
      </w:pPr>
      <w:r>
        <w:rPr>
          <w:rFonts w:ascii="Arial" w:cs="Arial" w:eastAsia="Arial" w:hAnsi="Arial"/>
          <w:sz w:val="17"/>
          <w:szCs w:val="17"/>
          <w:color w:val="auto"/>
        </w:rPr>
        <w:t>Section 162(m) of the Internal Revenue Code of 1986, as amended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(the “Code”)).</w:t>
      </w:r>
    </w:p>
    <w:p>
      <w:pPr>
        <w:spacing w:after="0" w:line="406" w:lineRule="exact"/>
        <w:rPr>
          <w:sz w:val="20"/>
          <w:szCs w:val="20"/>
          <w:color w:val="auto"/>
        </w:rPr>
      </w:pPr>
    </w:p>
    <w:p>
      <w:pPr>
        <w:sectPr>
          <w:pgSz w:w="11900" w:h="16838" w:orient="portrait"/>
          <w:cols w:equalWidth="0" w:num="2">
            <w:col w:w="5380" w:space="440"/>
            <w:col w:w="5420"/>
          </w:cols>
          <w:pgMar w:left="240" w:top="459" w:right="419" w:bottom="1440" w:gutter="0" w:footer="0" w:header="0"/>
          <w:type w:val="continuous"/>
        </w:sectPr>
      </w:pPr>
    </w:p>
    <w:p>
      <w:pPr>
        <w:spacing w:after="0" w:line="153"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auto"/>
        </w:rPr>
        <w:t>Committees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68580</wp:posOffset>
            </wp:positionV>
            <wp:extent cx="6997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type w:val="continuous"/>
        </w:sectPr>
      </w:pPr>
    </w:p>
    <w:p>
      <w:pPr>
        <w:spacing w:after="0" w:line="336" w:lineRule="exact"/>
        <w:rPr>
          <w:sz w:val="20"/>
          <w:szCs w:val="20"/>
          <w:color w:val="auto"/>
        </w:rPr>
      </w:pPr>
    </w:p>
    <w:p>
      <w:pPr>
        <w:ind w:left="200"/>
        <w:spacing w:after="0" w:line="238" w:lineRule="auto"/>
        <w:rPr>
          <w:sz w:val="20"/>
          <w:szCs w:val="20"/>
          <w:color w:val="auto"/>
        </w:rPr>
      </w:pPr>
      <w:r>
        <w:rPr>
          <w:rFonts w:ascii="Arial" w:cs="Arial" w:eastAsia="Arial" w:hAnsi="Arial"/>
          <w:sz w:val="18"/>
          <w:szCs w:val="18"/>
          <w:color w:val="auto"/>
        </w:rPr>
        <w:t>The Board has four standing committees: the Audit Committee, Compensation Committee, Corporate Governance and Nominating Committee (the “Corporate Governance Committee”) and Finance and Strategy Committee (the “Finance Committee”). Each committee has a separate chairperson and</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each of the committees is composed solely of independent directors. The charters for each of the committees describe the specific authority and responsibilities of each committee and are available on our website at www.brinks.com.</w:t>
      </w:r>
    </w:p>
    <w:p>
      <w:pPr>
        <w:spacing w:after="0" w:line="401" w:lineRule="exact"/>
        <w:rPr>
          <w:sz w:val="20"/>
          <w:szCs w:val="20"/>
          <w:color w:val="auto"/>
        </w:rPr>
      </w:pPr>
    </w:p>
    <w:p>
      <w:pPr>
        <w:sectPr>
          <w:pgSz w:w="11900" w:h="16838" w:orient="portrait"/>
          <w:cols w:equalWidth="0" w:num="2">
            <w:col w:w="5380" w:space="440"/>
            <w:col w:w="5420"/>
          </w:cols>
          <w:pgMar w:left="240" w:top="459" w:right="419" w:bottom="1440" w:gutter="0" w:footer="0" w:header="0"/>
          <w:type w:val="continuous"/>
        </w:sectPr>
      </w:pP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Committee Membership as of December 31, 2018</w:t>
      </w:r>
    </w:p>
    <w:p>
      <w:pPr>
        <w:spacing w:after="0" w:line="242"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2640" w:type="dxa"/>
            <w:vAlign w:val="bottom"/>
            <w:tcBorders>
              <w:top w:val="single" w:sz="8" w:color="7F7F7F"/>
            </w:tcBorders>
          </w:tcPr>
          <w:p>
            <w:pPr>
              <w:spacing w:after="0"/>
              <w:rPr>
                <w:sz w:val="17"/>
                <w:szCs w:val="17"/>
                <w:color w:val="auto"/>
              </w:rPr>
            </w:pPr>
          </w:p>
        </w:tc>
        <w:tc>
          <w:tcPr>
            <w:tcW w:w="1960" w:type="dxa"/>
            <w:vAlign w:val="bottom"/>
            <w:tcBorders>
              <w:top w:val="single" w:sz="8" w:color="7F7F7F"/>
            </w:tcBorders>
          </w:tcPr>
          <w:p>
            <w:pPr>
              <w:spacing w:after="0"/>
              <w:rPr>
                <w:sz w:val="17"/>
                <w:szCs w:val="17"/>
                <w:color w:val="auto"/>
              </w:rPr>
            </w:pPr>
          </w:p>
        </w:tc>
        <w:tc>
          <w:tcPr>
            <w:tcW w:w="2340" w:type="dxa"/>
            <w:vAlign w:val="bottom"/>
            <w:tcBorders>
              <w:top w:val="single" w:sz="8" w:color="7F7F7F"/>
            </w:tcBorders>
          </w:tcPr>
          <w:p>
            <w:pPr>
              <w:spacing w:after="0"/>
              <w:rPr>
                <w:sz w:val="17"/>
                <w:szCs w:val="17"/>
                <w:color w:val="auto"/>
              </w:rPr>
            </w:pPr>
          </w:p>
        </w:tc>
        <w:tc>
          <w:tcPr>
            <w:tcW w:w="2120" w:type="dxa"/>
            <w:vAlign w:val="bottom"/>
            <w:tcBorders>
              <w:top w:val="single" w:sz="8" w:color="7F7F7F"/>
            </w:tcBorders>
          </w:tcPr>
          <w:p>
            <w:pPr>
              <w:jc w:val="center"/>
              <w:ind w:right="43"/>
              <w:spacing w:after="0"/>
              <w:rPr>
                <w:sz w:val="20"/>
                <w:szCs w:val="20"/>
                <w:color w:val="auto"/>
              </w:rPr>
            </w:pPr>
            <w:r>
              <w:rPr>
                <w:rFonts w:ascii="Arial" w:cs="Arial" w:eastAsia="Arial" w:hAnsi="Arial"/>
                <w:sz w:val="18"/>
                <w:szCs w:val="18"/>
                <w:b w:val="1"/>
                <w:bCs w:val="1"/>
                <w:color w:val="auto"/>
                <w:w w:val="99"/>
              </w:rPr>
              <w:t>Corporate</w:t>
            </w:r>
          </w:p>
        </w:tc>
        <w:tc>
          <w:tcPr>
            <w:tcW w:w="1960" w:type="dxa"/>
            <w:vAlign w:val="bottom"/>
            <w:tcBorders>
              <w:top w:val="single" w:sz="8" w:color="7F7F7F"/>
            </w:tcBorders>
          </w:tcPr>
          <w:p>
            <w:pPr>
              <w:spacing w:after="0"/>
              <w:rPr>
                <w:sz w:val="17"/>
                <w:szCs w:val="17"/>
                <w:color w:val="auto"/>
              </w:rPr>
            </w:pPr>
          </w:p>
        </w:tc>
      </w:tr>
      <w:tr>
        <w:trPr>
          <w:trHeight w:val="225"/>
        </w:trPr>
        <w:tc>
          <w:tcPr>
            <w:tcW w:w="2640" w:type="dxa"/>
            <w:vAlign w:val="bottom"/>
            <w:tcBorders>
              <w:bottom w:val="single" w:sz="8" w:color="7F7F7F"/>
            </w:tcBorders>
          </w:tcPr>
          <w:p>
            <w:pPr>
              <w:ind w:left="60"/>
              <w:spacing w:after="0"/>
              <w:rPr>
                <w:sz w:val="20"/>
                <w:szCs w:val="20"/>
                <w:color w:val="auto"/>
              </w:rPr>
            </w:pPr>
            <w:r>
              <w:rPr>
                <w:rFonts w:ascii="Arial" w:cs="Arial" w:eastAsia="Arial" w:hAnsi="Arial"/>
                <w:sz w:val="18"/>
                <w:szCs w:val="18"/>
                <w:b w:val="1"/>
                <w:bCs w:val="1"/>
                <w:color w:val="auto"/>
              </w:rPr>
              <w:t>Name</w:t>
            </w:r>
          </w:p>
        </w:tc>
        <w:tc>
          <w:tcPr>
            <w:tcW w:w="1960" w:type="dxa"/>
            <w:vAlign w:val="bottom"/>
            <w:tcBorders>
              <w:bottom w:val="single" w:sz="8" w:color="7F7F7F"/>
            </w:tcBorders>
          </w:tcPr>
          <w:p>
            <w:pPr>
              <w:ind w:left="880"/>
              <w:spacing w:after="0"/>
              <w:rPr>
                <w:sz w:val="20"/>
                <w:szCs w:val="20"/>
                <w:color w:val="auto"/>
              </w:rPr>
            </w:pPr>
            <w:r>
              <w:rPr>
                <w:rFonts w:ascii="Arial" w:cs="Arial" w:eastAsia="Arial" w:hAnsi="Arial"/>
                <w:sz w:val="18"/>
                <w:szCs w:val="18"/>
                <w:b w:val="1"/>
                <w:bCs w:val="1"/>
                <w:color w:val="auto"/>
              </w:rPr>
              <w:t>Audit</w:t>
            </w:r>
          </w:p>
        </w:tc>
        <w:tc>
          <w:tcPr>
            <w:tcW w:w="2340" w:type="dxa"/>
            <w:vAlign w:val="bottom"/>
            <w:tcBorders>
              <w:bottom w:val="single" w:sz="8" w:color="7F7F7F"/>
            </w:tcBorders>
          </w:tcPr>
          <w:p>
            <w:pPr>
              <w:ind w:left="620"/>
              <w:spacing w:after="0"/>
              <w:rPr>
                <w:sz w:val="20"/>
                <w:szCs w:val="20"/>
                <w:color w:val="auto"/>
              </w:rPr>
            </w:pPr>
            <w:r>
              <w:rPr>
                <w:rFonts w:ascii="Arial" w:cs="Arial" w:eastAsia="Arial" w:hAnsi="Arial"/>
                <w:sz w:val="18"/>
                <w:szCs w:val="18"/>
                <w:b w:val="1"/>
                <w:bCs w:val="1"/>
                <w:color w:val="auto"/>
              </w:rPr>
              <w:t>Compensation</w:t>
            </w:r>
          </w:p>
        </w:tc>
        <w:tc>
          <w:tcPr>
            <w:tcW w:w="2120" w:type="dxa"/>
            <w:vAlign w:val="bottom"/>
            <w:tcBorders>
              <w:bottom w:val="single" w:sz="8" w:color="7F7F7F"/>
            </w:tcBorders>
          </w:tcPr>
          <w:p>
            <w:pPr>
              <w:jc w:val="center"/>
              <w:ind w:right="23"/>
              <w:spacing w:after="0"/>
              <w:rPr>
                <w:sz w:val="20"/>
                <w:szCs w:val="20"/>
                <w:color w:val="auto"/>
              </w:rPr>
            </w:pPr>
            <w:r>
              <w:rPr>
                <w:rFonts w:ascii="Arial" w:cs="Arial" w:eastAsia="Arial" w:hAnsi="Arial"/>
                <w:sz w:val="18"/>
                <w:szCs w:val="18"/>
                <w:b w:val="1"/>
                <w:bCs w:val="1"/>
                <w:color w:val="auto"/>
                <w:w w:val="99"/>
              </w:rPr>
              <w:t>Governance</w:t>
            </w:r>
          </w:p>
        </w:tc>
        <w:tc>
          <w:tcPr>
            <w:tcW w:w="1960" w:type="dxa"/>
            <w:vAlign w:val="bottom"/>
            <w:tcBorders>
              <w:bottom w:val="single" w:sz="8" w:color="7F7F7F"/>
            </w:tcBorders>
          </w:tcPr>
          <w:p>
            <w:pPr>
              <w:ind w:left="620"/>
              <w:spacing w:after="0"/>
              <w:rPr>
                <w:sz w:val="20"/>
                <w:szCs w:val="20"/>
                <w:color w:val="auto"/>
              </w:rPr>
            </w:pPr>
            <w:r>
              <w:rPr>
                <w:rFonts w:ascii="Arial" w:cs="Arial" w:eastAsia="Arial" w:hAnsi="Arial"/>
                <w:sz w:val="18"/>
                <w:szCs w:val="18"/>
                <w:b w:val="1"/>
                <w:bCs w:val="1"/>
                <w:color w:val="auto"/>
              </w:rPr>
              <w:t>Finance</w:t>
            </w:r>
          </w:p>
        </w:tc>
      </w:tr>
      <w:tr>
        <w:trPr>
          <w:trHeight w:val="196"/>
        </w:trPr>
        <w:tc>
          <w:tcPr>
            <w:tcW w:w="2640" w:type="dxa"/>
            <w:vAlign w:val="bottom"/>
            <w:tcBorders>
              <w:bottom w:val="single" w:sz="8" w:color="7F7F7F"/>
            </w:tcBorders>
            <w:shd w:val="clear" w:color="auto" w:fill="D8D8D8"/>
          </w:tcPr>
          <w:p>
            <w:pPr>
              <w:spacing w:after="0"/>
              <w:rPr>
                <w:sz w:val="17"/>
                <w:szCs w:val="17"/>
                <w:color w:val="auto"/>
              </w:rPr>
            </w:pPr>
          </w:p>
        </w:tc>
        <w:tc>
          <w:tcPr>
            <w:tcW w:w="1960" w:type="dxa"/>
            <w:vAlign w:val="bottom"/>
            <w:tcBorders>
              <w:bottom w:val="single" w:sz="8" w:color="7F7F7F"/>
            </w:tcBorders>
            <w:shd w:val="clear" w:color="auto" w:fill="D8D8D8"/>
          </w:tcPr>
          <w:p>
            <w:pPr>
              <w:spacing w:after="0"/>
              <w:rPr>
                <w:sz w:val="17"/>
                <w:szCs w:val="17"/>
                <w:color w:val="auto"/>
              </w:rPr>
            </w:pPr>
          </w:p>
        </w:tc>
        <w:tc>
          <w:tcPr>
            <w:tcW w:w="2340" w:type="dxa"/>
            <w:vAlign w:val="bottom"/>
            <w:tcBorders>
              <w:bottom w:val="single" w:sz="8" w:color="7F7F7F"/>
            </w:tcBorders>
            <w:shd w:val="clear" w:color="auto" w:fill="D8D8D8"/>
          </w:tcPr>
          <w:p>
            <w:pPr>
              <w:spacing w:after="0"/>
              <w:rPr>
                <w:sz w:val="17"/>
                <w:szCs w:val="17"/>
                <w:color w:val="auto"/>
              </w:rPr>
            </w:pPr>
          </w:p>
        </w:tc>
        <w:tc>
          <w:tcPr>
            <w:tcW w:w="2120" w:type="dxa"/>
            <w:vAlign w:val="bottom"/>
            <w:tcBorders>
              <w:bottom w:val="single" w:sz="8" w:color="7F7F7F"/>
            </w:tcBorders>
            <w:shd w:val="clear" w:color="auto" w:fill="D8D8D8"/>
          </w:tcPr>
          <w:p>
            <w:pPr>
              <w:spacing w:after="0"/>
              <w:rPr>
                <w:sz w:val="17"/>
                <w:szCs w:val="17"/>
                <w:color w:val="auto"/>
              </w:rPr>
            </w:pPr>
          </w:p>
        </w:tc>
        <w:tc>
          <w:tcPr>
            <w:tcW w:w="1960" w:type="dxa"/>
            <w:vAlign w:val="bottom"/>
            <w:tcBorders>
              <w:bottom w:val="single" w:sz="8" w:color="7F7F7F"/>
            </w:tcBorders>
            <w:shd w:val="clear" w:color="auto" w:fill="D8D8D8"/>
          </w:tcPr>
          <w:p>
            <w:pPr>
              <w:spacing w:after="0"/>
              <w:rPr>
                <w:sz w:val="17"/>
                <w:szCs w:val="17"/>
                <w:color w:val="auto"/>
              </w:rPr>
            </w:pPr>
          </w:p>
        </w:tc>
      </w:tr>
      <w:tr>
        <w:trPr>
          <w:trHeight w:val="304"/>
        </w:trPr>
        <w:tc>
          <w:tcPr>
            <w:tcW w:w="2640" w:type="dxa"/>
            <w:vAlign w:val="bottom"/>
            <w:tcBorders>
              <w:bottom w:val="single" w:sz="8" w:color="7F7F7F"/>
            </w:tcBorders>
          </w:tcPr>
          <w:p>
            <w:pPr>
              <w:ind w:left="60"/>
              <w:spacing w:after="0"/>
              <w:rPr>
                <w:sz w:val="20"/>
                <w:szCs w:val="20"/>
                <w:color w:val="auto"/>
              </w:rPr>
            </w:pPr>
            <w:r>
              <w:rPr>
                <w:rFonts w:ascii="Arial" w:cs="Arial" w:eastAsia="Arial" w:hAnsi="Arial"/>
                <w:sz w:val="18"/>
                <w:szCs w:val="18"/>
                <w:color w:val="auto"/>
              </w:rPr>
              <w:t>Mr. Boynton</w:t>
            </w:r>
          </w:p>
        </w:tc>
        <w:tc>
          <w:tcPr>
            <w:tcW w:w="1960" w:type="dxa"/>
            <w:vAlign w:val="bottom"/>
            <w:tcBorders>
              <w:bottom w:val="single" w:sz="8" w:color="7F7F7F"/>
            </w:tcBorders>
          </w:tcPr>
          <w:p>
            <w:pPr>
              <w:jc w:val="center"/>
              <w:ind w:left="159"/>
              <w:spacing w:after="0" w:line="221" w:lineRule="exact"/>
              <w:rPr>
                <w:sz w:val="20"/>
                <w:szCs w:val="20"/>
                <w:color w:val="auto"/>
              </w:rPr>
            </w:pPr>
            <w:r>
              <w:rPr>
                <w:rFonts w:ascii="MS PGothic" w:cs="MS PGothic" w:eastAsia="MS PGothic" w:hAnsi="MS PGothic"/>
                <w:sz w:val="22"/>
                <w:szCs w:val="22"/>
                <w:color w:val="auto"/>
                <w:w w:val="81"/>
              </w:rPr>
              <w:t>✓</w:t>
            </w:r>
          </w:p>
        </w:tc>
        <w:tc>
          <w:tcPr>
            <w:tcW w:w="2340" w:type="dxa"/>
            <w:vAlign w:val="bottom"/>
            <w:tcBorders>
              <w:bottom w:val="single" w:sz="8" w:color="7F7F7F"/>
            </w:tcBorders>
          </w:tcPr>
          <w:p>
            <w:pPr>
              <w:spacing w:after="0"/>
              <w:rPr>
                <w:sz w:val="24"/>
                <w:szCs w:val="24"/>
                <w:color w:val="auto"/>
              </w:rPr>
            </w:pPr>
          </w:p>
        </w:tc>
        <w:tc>
          <w:tcPr>
            <w:tcW w:w="2120" w:type="dxa"/>
            <w:vAlign w:val="bottom"/>
            <w:tcBorders>
              <w:bottom w:val="single" w:sz="8" w:color="7F7F7F"/>
            </w:tcBorders>
          </w:tcPr>
          <w:p>
            <w:pPr>
              <w:spacing w:after="0"/>
              <w:rPr>
                <w:sz w:val="24"/>
                <w:szCs w:val="24"/>
                <w:color w:val="auto"/>
              </w:rPr>
            </w:pPr>
          </w:p>
        </w:tc>
        <w:tc>
          <w:tcPr>
            <w:tcW w:w="1960" w:type="dxa"/>
            <w:vAlign w:val="bottom"/>
            <w:tcBorders>
              <w:bottom w:val="single" w:sz="8" w:color="7F7F7F"/>
            </w:tcBorders>
          </w:tcPr>
          <w:p>
            <w:pPr>
              <w:spacing w:after="0"/>
              <w:rPr>
                <w:sz w:val="24"/>
                <w:szCs w:val="24"/>
                <w:color w:val="auto"/>
              </w:rPr>
            </w:pPr>
          </w:p>
        </w:tc>
      </w:tr>
      <w:tr>
        <w:trPr>
          <w:trHeight w:val="304"/>
        </w:trPr>
        <w:tc>
          <w:tcPr>
            <w:tcW w:w="2640" w:type="dxa"/>
            <w:vAlign w:val="bottom"/>
            <w:tcBorders>
              <w:bottom w:val="single" w:sz="8" w:color="7F7F7F"/>
            </w:tcBorders>
            <w:shd w:val="clear" w:color="auto" w:fill="D8D8D8"/>
          </w:tcPr>
          <w:p>
            <w:pPr>
              <w:ind w:left="60"/>
              <w:spacing w:after="0"/>
              <w:rPr>
                <w:sz w:val="20"/>
                <w:szCs w:val="20"/>
                <w:color w:val="auto"/>
              </w:rPr>
            </w:pPr>
            <w:r>
              <w:rPr>
                <w:rFonts w:ascii="Arial" w:cs="Arial" w:eastAsia="Arial" w:hAnsi="Arial"/>
                <w:sz w:val="18"/>
                <w:szCs w:val="18"/>
                <w:color w:val="auto"/>
              </w:rPr>
              <w:t>Mr. Clough*</w:t>
            </w:r>
          </w:p>
        </w:tc>
        <w:tc>
          <w:tcPr>
            <w:tcW w:w="1960" w:type="dxa"/>
            <w:vAlign w:val="bottom"/>
            <w:tcBorders>
              <w:bottom w:val="single" w:sz="8" w:color="7F7F7F"/>
            </w:tcBorders>
            <w:shd w:val="clear" w:color="auto" w:fill="D8D8D8"/>
          </w:tcPr>
          <w:p>
            <w:pPr>
              <w:jc w:val="center"/>
              <w:ind w:left="159"/>
              <w:spacing w:after="0" w:line="221" w:lineRule="exact"/>
              <w:rPr>
                <w:sz w:val="20"/>
                <w:szCs w:val="20"/>
                <w:color w:val="auto"/>
              </w:rPr>
            </w:pPr>
            <w:r>
              <w:rPr>
                <w:rFonts w:ascii="MS PGothic" w:cs="MS PGothic" w:eastAsia="MS PGothic" w:hAnsi="MS PGothic"/>
                <w:sz w:val="22"/>
                <w:szCs w:val="22"/>
                <w:color w:val="auto"/>
                <w:w w:val="81"/>
              </w:rPr>
              <w:t>✓</w:t>
            </w:r>
          </w:p>
        </w:tc>
        <w:tc>
          <w:tcPr>
            <w:tcW w:w="2340" w:type="dxa"/>
            <w:vAlign w:val="bottom"/>
            <w:tcBorders>
              <w:bottom w:val="single" w:sz="8" w:color="7F7F7F"/>
            </w:tcBorders>
            <w:shd w:val="clear" w:color="auto" w:fill="D8D8D8"/>
          </w:tcPr>
          <w:p>
            <w:pPr>
              <w:spacing w:after="0"/>
              <w:rPr>
                <w:sz w:val="24"/>
                <w:szCs w:val="24"/>
                <w:color w:val="auto"/>
              </w:rPr>
            </w:pPr>
          </w:p>
        </w:tc>
        <w:tc>
          <w:tcPr>
            <w:tcW w:w="2120" w:type="dxa"/>
            <w:vAlign w:val="bottom"/>
            <w:tcBorders>
              <w:bottom w:val="single" w:sz="8" w:color="7F7F7F"/>
            </w:tcBorders>
            <w:shd w:val="clear" w:color="auto" w:fill="D8D8D8"/>
          </w:tcPr>
          <w:p>
            <w:pPr>
              <w:spacing w:after="0"/>
              <w:rPr>
                <w:sz w:val="24"/>
                <w:szCs w:val="24"/>
                <w:color w:val="auto"/>
              </w:rPr>
            </w:pPr>
          </w:p>
        </w:tc>
        <w:tc>
          <w:tcPr>
            <w:tcW w:w="1960" w:type="dxa"/>
            <w:vAlign w:val="bottom"/>
            <w:tcBorders>
              <w:bottom w:val="single" w:sz="8" w:color="7F7F7F"/>
            </w:tcBorders>
            <w:shd w:val="clear" w:color="auto" w:fill="D8D8D8"/>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04"/>
        </w:trPr>
        <w:tc>
          <w:tcPr>
            <w:tcW w:w="2640" w:type="dxa"/>
            <w:vAlign w:val="bottom"/>
            <w:tcBorders>
              <w:bottom w:val="single" w:sz="8" w:color="7F7F7F"/>
            </w:tcBorders>
          </w:tcPr>
          <w:p>
            <w:pPr>
              <w:ind w:left="60"/>
              <w:spacing w:after="0"/>
              <w:rPr>
                <w:sz w:val="20"/>
                <w:szCs w:val="20"/>
                <w:color w:val="auto"/>
              </w:rPr>
            </w:pPr>
            <w:r>
              <w:rPr>
                <w:rFonts w:ascii="Arial" w:cs="Arial" w:eastAsia="Arial" w:hAnsi="Arial"/>
                <w:sz w:val="18"/>
                <w:szCs w:val="18"/>
                <w:color w:val="auto"/>
              </w:rPr>
              <w:t>Ms. Docherty**</w:t>
            </w:r>
          </w:p>
        </w:tc>
        <w:tc>
          <w:tcPr>
            <w:tcW w:w="1960" w:type="dxa"/>
            <w:vAlign w:val="bottom"/>
            <w:tcBorders>
              <w:bottom w:val="single" w:sz="8" w:color="7F7F7F"/>
            </w:tcBorders>
          </w:tcPr>
          <w:p>
            <w:pPr>
              <w:spacing w:after="0"/>
              <w:rPr>
                <w:sz w:val="24"/>
                <w:szCs w:val="24"/>
                <w:color w:val="auto"/>
              </w:rPr>
            </w:pPr>
          </w:p>
        </w:tc>
        <w:tc>
          <w:tcPr>
            <w:tcW w:w="2340" w:type="dxa"/>
            <w:vAlign w:val="bottom"/>
            <w:tcBorders>
              <w:bottom w:val="single" w:sz="8" w:color="7F7F7F"/>
            </w:tcBorders>
          </w:tcPr>
          <w:p>
            <w:pPr>
              <w:spacing w:after="0"/>
              <w:rPr>
                <w:sz w:val="24"/>
                <w:szCs w:val="24"/>
                <w:color w:val="auto"/>
              </w:rPr>
            </w:pPr>
          </w:p>
        </w:tc>
        <w:tc>
          <w:tcPr>
            <w:tcW w:w="2120" w:type="dxa"/>
            <w:vAlign w:val="bottom"/>
            <w:tcBorders>
              <w:bottom w:val="single" w:sz="8" w:color="7F7F7F"/>
            </w:tcBorders>
          </w:tcPr>
          <w:p>
            <w:pPr>
              <w:spacing w:after="0"/>
              <w:rPr>
                <w:sz w:val="24"/>
                <w:szCs w:val="24"/>
                <w:color w:val="auto"/>
              </w:rPr>
            </w:pPr>
          </w:p>
        </w:tc>
        <w:tc>
          <w:tcPr>
            <w:tcW w:w="1960" w:type="dxa"/>
            <w:vAlign w:val="bottom"/>
            <w:tcBorders>
              <w:bottom w:val="single" w:sz="8" w:color="7F7F7F"/>
            </w:tcBorders>
          </w:tcPr>
          <w:p>
            <w:pPr>
              <w:jc w:val="center"/>
              <w:spacing w:after="0" w:line="221" w:lineRule="exact"/>
              <w:rPr>
                <w:sz w:val="20"/>
                <w:szCs w:val="20"/>
                <w:color w:val="auto"/>
              </w:rPr>
            </w:pPr>
            <w:r>
              <w:rPr>
                <w:rFonts w:ascii="MS PGothic" w:cs="MS PGothic" w:eastAsia="MS PGothic" w:hAnsi="MS PGothic"/>
                <w:sz w:val="22"/>
                <w:szCs w:val="22"/>
                <w:color w:val="auto"/>
                <w:w w:val="81"/>
              </w:rPr>
              <w:t>✓</w:t>
            </w:r>
          </w:p>
        </w:tc>
      </w:tr>
      <w:tr>
        <w:trPr>
          <w:trHeight w:val="304"/>
        </w:trPr>
        <w:tc>
          <w:tcPr>
            <w:tcW w:w="2640" w:type="dxa"/>
            <w:vAlign w:val="bottom"/>
            <w:tcBorders>
              <w:bottom w:val="single" w:sz="8" w:color="7F7F7F"/>
            </w:tcBorders>
            <w:shd w:val="clear" w:color="auto" w:fill="D8D8D8"/>
          </w:tcPr>
          <w:p>
            <w:pPr>
              <w:ind w:left="60"/>
              <w:spacing w:after="0"/>
              <w:rPr>
                <w:sz w:val="20"/>
                <w:szCs w:val="20"/>
                <w:color w:val="auto"/>
              </w:rPr>
            </w:pPr>
            <w:r>
              <w:rPr>
                <w:rFonts w:ascii="Arial" w:cs="Arial" w:eastAsia="Arial" w:hAnsi="Arial"/>
                <w:sz w:val="18"/>
                <w:szCs w:val="18"/>
                <w:color w:val="auto"/>
              </w:rPr>
              <w:t>Mr. Hedgebeth</w:t>
            </w:r>
          </w:p>
        </w:tc>
        <w:tc>
          <w:tcPr>
            <w:tcW w:w="1960" w:type="dxa"/>
            <w:vAlign w:val="bottom"/>
            <w:tcBorders>
              <w:bottom w:val="single" w:sz="8" w:color="7F7F7F"/>
            </w:tcBorders>
            <w:shd w:val="clear" w:color="auto" w:fill="D8D8D8"/>
          </w:tcPr>
          <w:p>
            <w:pPr>
              <w:spacing w:after="0"/>
              <w:rPr>
                <w:sz w:val="24"/>
                <w:szCs w:val="24"/>
                <w:color w:val="auto"/>
              </w:rPr>
            </w:pPr>
          </w:p>
        </w:tc>
        <w:tc>
          <w:tcPr>
            <w:tcW w:w="2340" w:type="dxa"/>
            <w:vAlign w:val="bottom"/>
            <w:tcBorders>
              <w:bottom w:val="single" w:sz="8" w:color="7F7F7F"/>
            </w:tcBorders>
            <w:shd w:val="clear" w:color="auto" w:fill="D8D8D8"/>
          </w:tcPr>
          <w:p>
            <w:pPr>
              <w:spacing w:after="0"/>
              <w:rPr>
                <w:sz w:val="24"/>
                <w:szCs w:val="24"/>
                <w:color w:val="auto"/>
              </w:rPr>
            </w:pPr>
          </w:p>
        </w:tc>
        <w:tc>
          <w:tcPr>
            <w:tcW w:w="2120" w:type="dxa"/>
            <w:vAlign w:val="bottom"/>
            <w:tcBorders>
              <w:bottom w:val="single" w:sz="8" w:color="7F7F7F"/>
            </w:tcBorders>
            <w:shd w:val="clear" w:color="auto" w:fill="D8D8D8"/>
          </w:tcPr>
          <w:p>
            <w:pPr>
              <w:jc w:val="center"/>
              <w:ind w:right="3"/>
              <w:spacing w:after="0" w:line="221" w:lineRule="exact"/>
              <w:rPr>
                <w:sz w:val="20"/>
                <w:szCs w:val="20"/>
                <w:color w:val="auto"/>
              </w:rPr>
            </w:pPr>
            <w:r>
              <w:rPr>
                <w:rFonts w:ascii="MS PGothic" w:cs="MS PGothic" w:eastAsia="MS PGothic" w:hAnsi="MS PGothic"/>
                <w:sz w:val="22"/>
                <w:szCs w:val="22"/>
                <w:color w:val="auto"/>
                <w:w w:val="81"/>
              </w:rPr>
              <w:t>✓</w:t>
            </w:r>
          </w:p>
        </w:tc>
        <w:tc>
          <w:tcPr>
            <w:tcW w:w="1960" w:type="dxa"/>
            <w:vAlign w:val="bottom"/>
            <w:tcBorders>
              <w:bottom w:val="single" w:sz="8" w:color="7F7F7F"/>
            </w:tcBorders>
            <w:shd w:val="clear" w:color="auto" w:fill="D8D8D8"/>
          </w:tcPr>
          <w:p>
            <w:pPr>
              <w:spacing w:after="0"/>
              <w:rPr>
                <w:sz w:val="24"/>
                <w:szCs w:val="24"/>
                <w:color w:val="auto"/>
              </w:rPr>
            </w:pPr>
          </w:p>
        </w:tc>
      </w:tr>
      <w:tr>
        <w:trPr>
          <w:trHeight w:val="304"/>
        </w:trPr>
        <w:tc>
          <w:tcPr>
            <w:tcW w:w="2640" w:type="dxa"/>
            <w:vAlign w:val="bottom"/>
            <w:tcBorders>
              <w:bottom w:val="single" w:sz="8" w:color="7F7F7F"/>
            </w:tcBorders>
          </w:tcPr>
          <w:p>
            <w:pPr>
              <w:ind w:left="60"/>
              <w:spacing w:after="0"/>
              <w:rPr>
                <w:sz w:val="20"/>
                <w:szCs w:val="20"/>
                <w:color w:val="auto"/>
              </w:rPr>
            </w:pPr>
            <w:r>
              <w:rPr>
                <w:rFonts w:ascii="Arial" w:cs="Arial" w:eastAsia="Arial" w:hAnsi="Arial"/>
                <w:sz w:val="18"/>
                <w:szCs w:val="18"/>
                <w:color w:val="auto"/>
              </w:rPr>
              <w:t>Mr. Henry</w:t>
            </w:r>
          </w:p>
        </w:tc>
        <w:tc>
          <w:tcPr>
            <w:tcW w:w="1960" w:type="dxa"/>
            <w:vAlign w:val="bottom"/>
            <w:tcBorders>
              <w:bottom w:val="single" w:sz="8" w:color="7F7F7F"/>
            </w:tcBorders>
          </w:tcPr>
          <w:p>
            <w:pPr>
              <w:spacing w:after="0"/>
              <w:rPr>
                <w:sz w:val="24"/>
                <w:szCs w:val="24"/>
                <w:color w:val="auto"/>
              </w:rPr>
            </w:pPr>
          </w:p>
        </w:tc>
        <w:tc>
          <w:tcPr>
            <w:tcW w:w="2340" w:type="dxa"/>
            <w:vAlign w:val="bottom"/>
            <w:tcBorders>
              <w:bottom w:val="single" w:sz="8" w:color="7F7F7F"/>
            </w:tcBorders>
          </w:tcPr>
          <w:p>
            <w:pPr>
              <w:jc w:val="center"/>
              <w:ind w:left="65"/>
              <w:spacing w:after="0" w:line="221" w:lineRule="exact"/>
              <w:rPr>
                <w:sz w:val="20"/>
                <w:szCs w:val="20"/>
                <w:color w:val="auto"/>
              </w:rPr>
            </w:pPr>
            <w:r>
              <w:rPr>
                <w:rFonts w:ascii="MS PGothic" w:cs="MS PGothic" w:eastAsia="MS PGothic" w:hAnsi="MS PGothic"/>
                <w:sz w:val="22"/>
                <w:szCs w:val="22"/>
                <w:color w:val="auto"/>
                <w:w w:val="81"/>
              </w:rPr>
              <w:t>✓</w:t>
            </w:r>
          </w:p>
        </w:tc>
        <w:tc>
          <w:tcPr>
            <w:tcW w:w="2120" w:type="dxa"/>
            <w:vAlign w:val="bottom"/>
            <w:tcBorders>
              <w:bottom w:val="single" w:sz="8" w:color="7F7F7F"/>
            </w:tcBorders>
          </w:tcPr>
          <w:p>
            <w:pPr>
              <w:spacing w:after="0"/>
              <w:rPr>
                <w:sz w:val="24"/>
                <w:szCs w:val="24"/>
                <w:color w:val="auto"/>
              </w:rPr>
            </w:pPr>
          </w:p>
        </w:tc>
        <w:tc>
          <w:tcPr>
            <w:tcW w:w="1960" w:type="dxa"/>
            <w:vAlign w:val="bottom"/>
            <w:tcBorders>
              <w:bottom w:val="single" w:sz="8" w:color="7F7F7F"/>
            </w:tcBorders>
          </w:tcPr>
          <w:p>
            <w:pPr>
              <w:jc w:val="center"/>
              <w:spacing w:after="0" w:line="221" w:lineRule="exact"/>
              <w:rPr>
                <w:sz w:val="20"/>
                <w:szCs w:val="20"/>
                <w:color w:val="auto"/>
              </w:rPr>
            </w:pPr>
            <w:r>
              <w:rPr>
                <w:rFonts w:ascii="MS PGothic" w:cs="MS PGothic" w:eastAsia="MS PGothic" w:hAnsi="MS PGothic"/>
                <w:sz w:val="22"/>
                <w:szCs w:val="22"/>
                <w:color w:val="auto"/>
                <w:w w:val="81"/>
              </w:rPr>
              <w:t>✓</w:t>
            </w:r>
          </w:p>
        </w:tc>
      </w:tr>
      <w:tr>
        <w:trPr>
          <w:trHeight w:val="304"/>
        </w:trPr>
        <w:tc>
          <w:tcPr>
            <w:tcW w:w="2640" w:type="dxa"/>
            <w:vAlign w:val="bottom"/>
            <w:tcBorders>
              <w:bottom w:val="single" w:sz="8" w:color="7F7F7F"/>
            </w:tcBorders>
            <w:shd w:val="clear" w:color="auto" w:fill="D8D8D8"/>
          </w:tcPr>
          <w:p>
            <w:pPr>
              <w:ind w:left="60"/>
              <w:spacing w:after="0"/>
              <w:rPr>
                <w:sz w:val="20"/>
                <w:szCs w:val="20"/>
                <w:color w:val="auto"/>
              </w:rPr>
            </w:pPr>
            <w:r>
              <w:rPr>
                <w:rFonts w:ascii="Arial" w:cs="Arial" w:eastAsia="Arial" w:hAnsi="Arial"/>
                <w:sz w:val="18"/>
                <w:szCs w:val="18"/>
                <w:color w:val="auto"/>
              </w:rPr>
              <w:t>Mr. Herling* **</w:t>
            </w:r>
          </w:p>
        </w:tc>
        <w:tc>
          <w:tcPr>
            <w:tcW w:w="1960" w:type="dxa"/>
            <w:vAlign w:val="bottom"/>
            <w:tcBorders>
              <w:bottom w:val="single" w:sz="8" w:color="7F7F7F"/>
            </w:tcBorders>
            <w:shd w:val="clear" w:color="auto" w:fill="D8D8D8"/>
          </w:tcPr>
          <w:p>
            <w:pPr>
              <w:spacing w:after="0"/>
              <w:rPr>
                <w:sz w:val="24"/>
                <w:szCs w:val="24"/>
                <w:color w:val="auto"/>
              </w:rPr>
            </w:pPr>
          </w:p>
        </w:tc>
        <w:tc>
          <w:tcPr>
            <w:tcW w:w="2340" w:type="dxa"/>
            <w:vAlign w:val="bottom"/>
            <w:tcBorders>
              <w:bottom w:val="single" w:sz="8" w:color="7F7F7F"/>
            </w:tcBorders>
            <w:shd w:val="clear" w:color="auto" w:fill="D8D8D8"/>
          </w:tcPr>
          <w:p>
            <w:pPr>
              <w:jc w:val="center"/>
              <w:ind w:left="65"/>
              <w:spacing w:after="0" w:line="181" w:lineRule="exact"/>
              <w:rPr>
                <w:sz w:val="20"/>
                <w:szCs w:val="20"/>
                <w:color w:val="auto"/>
              </w:rPr>
            </w:pPr>
            <w:r>
              <w:rPr>
                <w:rFonts w:ascii="MS PGothic" w:cs="MS PGothic" w:eastAsia="MS PGothic" w:hAnsi="MS PGothic"/>
                <w:sz w:val="18"/>
                <w:szCs w:val="18"/>
                <w:color w:val="auto"/>
                <w:w w:val="77"/>
              </w:rPr>
              <w:t>✓</w:t>
            </w:r>
          </w:p>
        </w:tc>
        <w:tc>
          <w:tcPr>
            <w:tcW w:w="2120" w:type="dxa"/>
            <w:vAlign w:val="bottom"/>
            <w:tcBorders>
              <w:bottom w:val="single" w:sz="8" w:color="7F7F7F"/>
            </w:tcBorders>
            <w:shd w:val="clear" w:color="auto" w:fill="D8D8D8"/>
          </w:tcPr>
          <w:p>
            <w:pPr>
              <w:jc w:val="center"/>
              <w:ind w:right="3"/>
              <w:spacing w:after="0" w:line="221" w:lineRule="exact"/>
              <w:rPr>
                <w:sz w:val="20"/>
                <w:szCs w:val="20"/>
                <w:color w:val="auto"/>
              </w:rPr>
            </w:pPr>
            <w:r>
              <w:rPr>
                <w:rFonts w:ascii="MS PGothic" w:cs="MS PGothic" w:eastAsia="MS PGothic" w:hAnsi="MS PGothic"/>
                <w:sz w:val="22"/>
                <w:szCs w:val="22"/>
                <w:color w:val="auto"/>
                <w:w w:val="81"/>
              </w:rPr>
              <w:t>✓</w:t>
            </w:r>
          </w:p>
        </w:tc>
        <w:tc>
          <w:tcPr>
            <w:tcW w:w="1960" w:type="dxa"/>
            <w:vAlign w:val="bottom"/>
            <w:tcBorders>
              <w:bottom w:val="single" w:sz="8" w:color="7F7F7F"/>
            </w:tcBorders>
            <w:shd w:val="clear" w:color="auto" w:fill="D8D8D8"/>
          </w:tcPr>
          <w:p>
            <w:pPr>
              <w:spacing w:after="0"/>
              <w:rPr>
                <w:sz w:val="24"/>
                <w:szCs w:val="24"/>
                <w:color w:val="auto"/>
              </w:rPr>
            </w:pPr>
          </w:p>
        </w:tc>
      </w:tr>
      <w:tr>
        <w:trPr>
          <w:trHeight w:val="223"/>
        </w:trPr>
        <w:tc>
          <w:tcPr>
            <w:tcW w:w="2640" w:type="dxa"/>
            <w:vAlign w:val="bottom"/>
          </w:tcPr>
          <w:p>
            <w:pPr>
              <w:ind w:left="60"/>
              <w:spacing w:after="0"/>
              <w:rPr>
                <w:sz w:val="20"/>
                <w:szCs w:val="20"/>
                <w:color w:val="auto"/>
              </w:rPr>
            </w:pPr>
            <w:r>
              <w:rPr>
                <w:rFonts w:ascii="Arial" w:cs="Arial" w:eastAsia="Arial" w:hAnsi="Arial"/>
                <w:sz w:val="18"/>
                <w:szCs w:val="18"/>
                <w:color w:val="auto"/>
              </w:rPr>
              <w:t>Mr. Pertz</w:t>
            </w:r>
          </w:p>
        </w:tc>
        <w:tc>
          <w:tcPr>
            <w:tcW w:w="19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41"/>
        </w:trPr>
        <w:tc>
          <w:tcPr>
            <w:tcW w:w="2640" w:type="dxa"/>
            <w:vAlign w:val="bottom"/>
            <w:tcBorders>
              <w:bottom w:val="single" w:sz="8" w:color="7F7F7F"/>
            </w:tcBorders>
          </w:tcPr>
          <w:p>
            <w:pPr>
              <w:spacing w:after="0"/>
              <w:rPr>
                <w:sz w:val="3"/>
                <w:szCs w:val="3"/>
                <w:color w:val="auto"/>
              </w:rPr>
            </w:pPr>
          </w:p>
        </w:tc>
        <w:tc>
          <w:tcPr>
            <w:tcW w:w="1960" w:type="dxa"/>
            <w:vAlign w:val="bottom"/>
            <w:tcBorders>
              <w:bottom w:val="single" w:sz="8" w:color="7F7F7F"/>
            </w:tcBorders>
          </w:tcPr>
          <w:p>
            <w:pPr>
              <w:spacing w:after="0"/>
              <w:rPr>
                <w:sz w:val="3"/>
                <w:szCs w:val="3"/>
                <w:color w:val="auto"/>
              </w:rPr>
            </w:pPr>
          </w:p>
        </w:tc>
        <w:tc>
          <w:tcPr>
            <w:tcW w:w="2340" w:type="dxa"/>
            <w:vAlign w:val="bottom"/>
            <w:tcBorders>
              <w:bottom w:val="single" w:sz="8" w:color="7F7F7F"/>
            </w:tcBorders>
          </w:tcPr>
          <w:p>
            <w:pPr>
              <w:spacing w:after="0"/>
              <w:rPr>
                <w:sz w:val="3"/>
                <w:szCs w:val="3"/>
                <w:color w:val="auto"/>
              </w:rPr>
            </w:pPr>
          </w:p>
        </w:tc>
        <w:tc>
          <w:tcPr>
            <w:tcW w:w="2120" w:type="dxa"/>
            <w:vAlign w:val="bottom"/>
            <w:tcBorders>
              <w:bottom w:val="single" w:sz="8" w:color="7F7F7F"/>
            </w:tcBorders>
          </w:tcPr>
          <w:p>
            <w:pPr>
              <w:spacing w:after="0"/>
              <w:rPr>
                <w:sz w:val="3"/>
                <w:szCs w:val="3"/>
                <w:color w:val="auto"/>
              </w:rPr>
            </w:pPr>
          </w:p>
        </w:tc>
        <w:tc>
          <w:tcPr>
            <w:tcW w:w="1960" w:type="dxa"/>
            <w:vAlign w:val="bottom"/>
            <w:tcBorders>
              <w:bottom w:val="single" w:sz="8" w:color="7F7F7F"/>
            </w:tcBorders>
          </w:tcPr>
          <w:p>
            <w:pPr>
              <w:spacing w:after="0"/>
              <w:rPr>
                <w:sz w:val="3"/>
                <w:szCs w:val="3"/>
                <w:color w:val="auto"/>
              </w:rPr>
            </w:pPr>
          </w:p>
        </w:tc>
      </w:tr>
      <w:tr>
        <w:trPr>
          <w:trHeight w:val="304"/>
        </w:trPr>
        <w:tc>
          <w:tcPr>
            <w:tcW w:w="2640" w:type="dxa"/>
            <w:vAlign w:val="bottom"/>
            <w:tcBorders>
              <w:bottom w:val="single" w:sz="8" w:color="7F7F7F"/>
            </w:tcBorders>
            <w:shd w:val="clear" w:color="auto" w:fill="D8D8D8"/>
          </w:tcPr>
          <w:p>
            <w:pPr>
              <w:ind w:left="60"/>
              <w:spacing w:after="0"/>
              <w:rPr>
                <w:sz w:val="20"/>
                <w:szCs w:val="20"/>
                <w:color w:val="auto"/>
              </w:rPr>
            </w:pPr>
            <w:r>
              <w:rPr>
                <w:rFonts w:ascii="Arial" w:cs="Arial" w:eastAsia="Arial" w:hAnsi="Arial"/>
                <w:sz w:val="18"/>
                <w:szCs w:val="18"/>
                <w:color w:val="auto"/>
              </w:rPr>
              <w:t>Mr. Stoeckert</w:t>
            </w:r>
          </w:p>
        </w:tc>
        <w:tc>
          <w:tcPr>
            <w:tcW w:w="1960" w:type="dxa"/>
            <w:vAlign w:val="bottom"/>
            <w:tcBorders>
              <w:bottom w:val="single" w:sz="8" w:color="7F7F7F"/>
            </w:tcBorders>
            <w:shd w:val="clear" w:color="auto" w:fill="D8D8D8"/>
          </w:tcPr>
          <w:p>
            <w:pPr>
              <w:jc w:val="center"/>
              <w:ind w:left="159"/>
              <w:spacing w:after="0" w:line="221" w:lineRule="exact"/>
              <w:rPr>
                <w:sz w:val="20"/>
                <w:szCs w:val="20"/>
                <w:color w:val="auto"/>
              </w:rPr>
            </w:pPr>
            <w:r>
              <w:rPr>
                <w:rFonts w:ascii="MS PGothic" w:cs="MS PGothic" w:eastAsia="MS PGothic" w:hAnsi="MS PGothic"/>
                <w:sz w:val="22"/>
                <w:szCs w:val="22"/>
                <w:color w:val="auto"/>
                <w:w w:val="81"/>
              </w:rPr>
              <w:t>✓</w:t>
            </w:r>
          </w:p>
        </w:tc>
        <w:tc>
          <w:tcPr>
            <w:tcW w:w="2340" w:type="dxa"/>
            <w:vAlign w:val="bottom"/>
            <w:tcBorders>
              <w:bottom w:val="single" w:sz="8" w:color="7F7F7F"/>
            </w:tcBorders>
            <w:shd w:val="clear" w:color="auto" w:fill="D8D8D8"/>
          </w:tcPr>
          <w:p>
            <w:pPr>
              <w:spacing w:after="0"/>
              <w:rPr>
                <w:sz w:val="24"/>
                <w:szCs w:val="24"/>
                <w:color w:val="auto"/>
              </w:rPr>
            </w:pPr>
          </w:p>
        </w:tc>
        <w:tc>
          <w:tcPr>
            <w:tcW w:w="2120" w:type="dxa"/>
            <w:vAlign w:val="bottom"/>
            <w:tcBorders>
              <w:bottom w:val="single" w:sz="8" w:color="7F7F7F"/>
            </w:tcBorders>
            <w:shd w:val="clear" w:color="auto" w:fill="D8D8D8"/>
          </w:tcPr>
          <w:p>
            <w:pPr>
              <w:spacing w:after="0"/>
              <w:rPr>
                <w:sz w:val="24"/>
                <w:szCs w:val="24"/>
                <w:color w:val="auto"/>
              </w:rPr>
            </w:pPr>
          </w:p>
        </w:tc>
        <w:tc>
          <w:tcPr>
            <w:tcW w:w="1960" w:type="dxa"/>
            <w:vAlign w:val="bottom"/>
            <w:tcBorders>
              <w:bottom w:val="single" w:sz="8" w:color="7F7F7F"/>
            </w:tcBorders>
            <w:shd w:val="clear" w:color="auto" w:fill="D8D8D8"/>
          </w:tcPr>
          <w:p>
            <w:pPr>
              <w:jc w:val="center"/>
              <w:spacing w:after="0" w:line="221" w:lineRule="exact"/>
              <w:rPr>
                <w:sz w:val="20"/>
                <w:szCs w:val="20"/>
                <w:color w:val="auto"/>
              </w:rPr>
            </w:pPr>
            <w:r>
              <w:rPr>
                <w:rFonts w:ascii="MS PGothic" w:cs="MS PGothic" w:eastAsia="MS PGothic" w:hAnsi="MS PGothic"/>
                <w:sz w:val="22"/>
                <w:szCs w:val="22"/>
                <w:color w:val="auto"/>
                <w:w w:val="81"/>
              </w:rPr>
              <w:t>✓</w:t>
            </w:r>
          </w:p>
        </w:tc>
      </w:tr>
      <w:tr>
        <w:trPr>
          <w:trHeight w:val="244"/>
        </w:trPr>
        <w:tc>
          <w:tcPr>
            <w:tcW w:w="2640" w:type="dxa"/>
            <w:vAlign w:val="bottom"/>
            <w:tcBorders>
              <w:bottom w:val="single" w:sz="8" w:color="7F7F7F"/>
            </w:tcBorders>
          </w:tcPr>
          <w:p>
            <w:pPr>
              <w:ind w:left="60"/>
              <w:spacing w:after="0"/>
              <w:rPr>
                <w:sz w:val="20"/>
                <w:szCs w:val="20"/>
                <w:color w:val="auto"/>
              </w:rPr>
            </w:pPr>
            <w:r>
              <w:rPr>
                <w:rFonts w:ascii="Arial" w:cs="Arial" w:eastAsia="Arial" w:hAnsi="Arial"/>
                <w:sz w:val="18"/>
                <w:szCs w:val="18"/>
                <w:b w:val="1"/>
                <w:bCs w:val="1"/>
                <w:color w:val="auto"/>
              </w:rPr>
              <w:t>2018 Meetings</w:t>
            </w:r>
          </w:p>
        </w:tc>
        <w:tc>
          <w:tcPr>
            <w:tcW w:w="1960" w:type="dxa"/>
            <w:vAlign w:val="bottom"/>
            <w:tcBorders>
              <w:bottom w:val="single" w:sz="8" w:color="7F7F7F"/>
            </w:tcBorders>
          </w:tcPr>
          <w:p>
            <w:pPr>
              <w:jc w:val="center"/>
              <w:ind w:left="159"/>
              <w:spacing w:after="0"/>
              <w:rPr>
                <w:sz w:val="20"/>
                <w:szCs w:val="20"/>
                <w:color w:val="auto"/>
              </w:rPr>
            </w:pPr>
            <w:r>
              <w:rPr>
                <w:rFonts w:ascii="Arial" w:cs="Arial" w:eastAsia="Arial" w:hAnsi="Arial"/>
                <w:sz w:val="18"/>
                <w:szCs w:val="18"/>
                <w:color w:val="auto"/>
                <w:w w:val="99"/>
              </w:rPr>
              <w:t>8</w:t>
            </w:r>
          </w:p>
        </w:tc>
        <w:tc>
          <w:tcPr>
            <w:tcW w:w="2340" w:type="dxa"/>
            <w:vAlign w:val="bottom"/>
            <w:tcBorders>
              <w:bottom w:val="single" w:sz="8" w:color="7F7F7F"/>
            </w:tcBorders>
          </w:tcPr>
          <w:p>
            <w:pPr>
              <w:jc w:val="center"/>
              <w:ind w:left="65"/>
              <w:spacing w:after="0"/>
              <w:rPr>
                <w:sz w:val="20"/>
                <w:szCs w:val="20"/>
                <w:color w:val="auto"/>
              </w:rPr>
            </w:pPr>
            <w:r>
              <w:rPr>
                <w:rFonts w:ascii="Arial" w:cs="Arial" w:eastAsia="Arial" w:hAnsi="Arial"/>
                <w:sz w:val="18"/>
                <w:szCs w:val="18"/>
                <w:color w:val="auto"/>
                <w:w w:val="99"/>
              </w:rPr>
              <w:t>5</w:t>
            </w:r>
          </w:p>
        </w:tc>
        <w:tc>
          <w:tcPr>
            <w:tcW w:w="2120" w:type="dxa"/>
            <w:vAlign w:val="bottom"/>
            <w:tcBorders>
              <w:bottom w:val="single" w:sz="8" w:color="7F7F7F"/>
            </w:tcBorders>
          </w:tcPr>
          <w:p>
            <w:pPr>
              <w:jc w:val="center"/>
              <w:ind w:right="43"/>
              <w:spacing w:after="0"/>
              <w:rPr>
                <w:sz w:val="20"/>
                <w:szCs w:val="20"/>
                <w:color w:val="auto"/>
              </w:rPr>
            </w:pPr>
            <w:r>
              <w:rPr>
                <w:rFonts w:ascii="Arial" w:cs="Arial" w:eastAsia="Arial" w:hAnsi="Arial"/>
                <w:sz w:val="18"/>
                <w:szCs w:val="18"/>
                <w:color w:val="auto"/>
                <w:w w:val="99"/>
              </w:rPr>
              <w:t>4</w:t>
            </w:r>
          </w:p>
        </w:tc>
        <w:tc>
          <w:tcPr>
            <w:tcW w:w="196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auto"/>
                <w:w w:val="99"/>
              </w:rPr>
              <w:t>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6428105</wp:posOffset>
            </wp:positionH>
            <wp:positionV relativeFrom="paragraph">
              <wp:posOffset>-1765935</wp:posOffset>
            </wp:positionV>
            <wp:extent cx="14605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46050" cy="137160"/>
                    </a:xfrm>
                    <a:prstGeom prst="rect">
                      <a:avLst/>
                    </a:prstGeom>
                    <a:noFill/>
                  </pic:spPr>
                </pic:pic>
              </a:graphicData>
            </a:graphic>
          </wp:anchor>
        </w:drawing>
        <w:drawing>
          <wp:anchor simplePos="0" relativeHeight="251657728" behindDoc="1" locked="0" layoutInCell="0" allowOverlap="1">
            <wp:simplePos x="0" y="0"/>
            <wp:positionH relativeFrom="column">
              <wp:posOffset>3787140</wp:posOffset>
            </wp:positionH>
            <wp:positionV relativeFrom="paragraph">
              <wp:posOffset>-1354455</wp:posOffset>
            </wp:positionV>
            <wp:extent cx="14605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46050" cy="137160"/>
                    </a:xfrm>
                    <a:prstGeom prst="rect">
                      <a:avLst/>
                    </a:prstGeom>
                    <a:noFill/>
                  </pic:spPr>
                </pic:pic>
              </a:graphicData>
            </a:graphic>
          </wp:anchor>
        </w:drawing>
        <w:drawing>
          <wp:anchor simplePos="0" relativeHeight="251657728" behindDoc="1" locked="0" layoutInCell="0" allowOverlap="1">
            <wp:simplePos x="0" y="0"/>
            <wp:positionH relativeFrom="column">
              <wp:posOffset>2449195</wp:posOffset>
            </wp:positionH>
            <wp:positionV relativeFrom="paragraph">
              <wp:posOffset>-1148715</wp:posOffset>
            </wp:positionV>
            <wp:extent cx="14605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46050" cy="137160"/>
                    </a:xfrm>
                    <a:prstGeom prst="rect">
                      <a:avLst/>
                    </a:prstGeom>
                    <a:noFill/>
                  </pic:spPr>
                </pic:pic>
              </a:graphicData>
            </a:graphic>
          </wp:anchor>
        </w:drawing>
        <w:drawing>
          <wp:anchor simplePos="0" relativeHeight="251657728" behindDoc="1" locked="0" layoutInCell="0" allowOverlap="1">
            <wp:simplePos x="0" y="0"/>
            <wp:positionH relativeFrom="column">
              <wp:posOffset>5107940</wp:posOffset>
            </wp:positionH>
            <wp:positionV relativeFrom="paragraph">
              <wp:posOffset>-351155</wp:posOffset>
            </wp:positionV>
            <wp:extent cx="14605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46050" cy="137160"/>
                    </a:xfrm>
                    <a:prstGeom prst="rect">
                      <a:avLst/>
                    </a:prstGeom>
                    <a:noFill/>
                  </pic:spPr>
                </pic:pic>
              </a:graphicData>
            </a:graphic>
          </wp:anchor>
        </w:drawing>
      </w:r>
    </w:p>
    <w:p>
      <w:pPr>
        <w:spacing w:after="0" w:line="22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Chairperson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-130175</wp:posOffset>
            </wp:positionV>
            <wp:extent cx="14605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46050" cy="137160"/>
                    </a:xfrm>
                    <a:prstGeom prst="rect">
                      <a:avLst/>
                    </a:prstGeom>
                    <a:noFill/>
                  </pic:spPr>
                </pic:pic>
              </a:graphicData>
            </a:graphic>
          </wp:anchor>
        </w:drawing>
      </w:r>
    </w:p>
    <w:p>
      <w:pPr>
        <w:ind w:left="520" w:hanging="316"/>
        <w:spacing w:after="0"/>
        <w:tabs>
          <w:tab w:leader="none" w:pos="520" w:val="left"/>
        </w:tabs>
        <w:numPr>
          <w:ilvl w:val="0"/>
          <w:numId w:val="21"/>
        </w:numPr>
        <w:rPr>
          <w:rFonts w:ascii="MS PGothic" w:cs="MS PGothic" w:eastAsia="MS PGothic" w:hAnsi="MS PGothic"/>
          <w:sz w:val="18"/>
          <w:szCs w:val="18"/>
          <w:color w:val="auto"/>
        </w:rPr>
      </w:pPr>
      <w:r>
        <w:rPr>
          <w:rFonts w:ascii="Arial" w:cs="Arial" w:eastAsia="Arial" w:hAnsi="Arial"/>
          <w:sz w:val="18"/>
          <w:szCs w:val="18"/>
          <w:color w:val="auto"/>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323850</wp:posOffset>
            </wp:positionV>
            <wp:extent cx="111506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ind w:left="520" w:hanging="316"/>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Mr. Clough was appointed to the Finance Committee on February 22, 2018. As of February 22, 2018, Mr. Herling was no longer a member of the Finance committee.</w:t>
      </w:r>
    </w:p>
    <w:p>
      <w:pPr>
        <w:spacing w:after="0" w:line="42" w:lineRule="exact"/>
        <w:rPr>
          <w:sz w:val="20"/>
          <w:szCs w:val="20"/>
          <w:color w:val="auto"/>
        </w:rPr>
      </w:pPr>
    </w:p>
    <w:p>
      <w:pPr>
        <w:ind w:left="520" w:right="960" w:hanging="316"/>
        <w:spacing w:after="0" w:line="258" w:lineRule="auto"/>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Ms. Docherty was appointed as Chair of the Compensation Committee on October 4, 2018. As of October 4, 2018, Mr. Herling was no longer Chair of the Compensation Committee.</w:t>
      </w:r>
    </w:p>
    <w:p>
      <w:pPr>
        <w:spacing w:after="0" w:line="122" w:lineRule="exact"/>
        <w:rPr>
          <w:sz w:val="20"/>
          <w:szCs w:val="20"/>
          <w:color w:val="auto"/>
        </w:rPr>
      </w:pPr>
    </w:p>
    <w:tbl>
      <w:tblPr>
        <w:tblLayout w:type="fixed"/>
        <w:tblInd w:w="8820" w:type="dxa"/>
        <w:tblCellMar>
          <w:top w:w="0" w:type="dxa"/>
          <w:left w:w="0" w:type="dxa"/>
          <w:bottom w:w="0" w:type="dxa"/>
          <w:right w:w="0" w:type="dxa"/>
        </w:tblCellMar>
      </w:tblPr>
      <w:tr>
        <w:trPr>
          <w:trHeight w:val="297"/>
        </w:trPr>
        <w:tc>
          <w:tcPr>
            <w:tcW w:w="1900" w:type="dxa"/>
            <w:vAlign w:val="bottom"/>
            <w:tcBorders>
              <w:right w:val="single" w:sz="8" w:color="0033A0"/>
            </w:tcBorders>
          </w:tcPr>
          <w:p>
            <w:pPr>
              <w:spacing w:after="0"/>
              <w:rPr>
                <w:sz w:val="20"/>
                <w:szCs w:val="20"/>
                <w:color w:val="auto"/>
              </w:rPr>
            </w:pPr>
            <w:r>
              <w:rPr>
                <w:rFonts w:ascii="Arial" w:cs="Arial" w:eastAsia="Arial" w:hAnsi="Arial"/>
                <w:sz w:val="18"/>
                <w:szCs w:val="18"/>
                <w:i w:val="1"/>
                <w:iCs w:val="1"/>
                <w:color w:val="auto"/>
              </w:rPr>
              <w:t>2019 Proxy Statement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-170815</wp:posOffset>
            </wp:positionV>
            <wp:extent cx="720090" cy="1289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0090" cy="12890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0033A0"/>
        </w:rPr>
        <w:t>The Brink’s Company</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0033A0"/>
        </w:rPr>
        <w:t>Audit Committee</w:t>
      </w:r>
    </w:p>
    <w:p>
      <w:pPr>
        <w:spacing w:after="0" w:line="126" w:lineRule="exact"/>
        <w:rPr>
          <w:sz w:val="20"/>
          <w:szCs w:val="20"/>
          <w:color w:val="auto"/>
        </w:rPr>
      </w:pPr>
    </w:p>
    <w:p>
      <w:pPr>
        <w:ind w:left="220"/>
        <w:spacing w:after="0" w:line="236" w:lineRule="auto"/>
        <w:rPr>
          <w:sz w:val="20"/>
          <w:szCs w:val="20"/>
          <w:color w:val="auto"/>
        </w:rPr>
      </w:pPr>
      <w:r>
        <w:rPr>
          <w:rFonts w:ascii="Arial" w:cs="Arial" w:eastAsia="Arial" w:hAnsi="Arial"/>
          <w:sz w:val="18"/>
          <w:szCs w:val="18"/>
          <w:color w:val="auto"/>
        </w:rPr>
        <w:t>The Audit Committee oversees management’s conduct of the Company’s financial reporting process and the integrity of its financial statements, including the Company’s accounting, internal controls and internal audit function. The Audit Committee also evaluates the qualifications and performance of the Company’s independent auditors, assesses the independence of the Company’s independent auditors and oversees the annual independent audit of the Company’s financial statements and the Company’s legal and regulatory compliance, as well as ethics programs.</w:t>
      </w:r>
    </w:p>
    <w:p>
      <w:pPr>
        <w:spacing w:after="0" w:line="98" w:lineRule="exact"/>
        <w:rPr>
          <w:sz w:val="20"/>
          <w:szCs w:val="20"/>
          <w:color w:val="auto"/>
        </w:rPr>
      </w:pPr>
    </w:p>
    <w:p>
      <w:pPr>
        <w:ind w:left="220" w:right="80"/>
        <w:spacing w:after="0" w:line="237" w:lineRule="auto"/>
        <w:rPr>
          <w:sz w:val="20"/>
          <w:szCs w:val="20"/>
          <w:color w:val="auto"/>
        </w:rPr>
      </w:pPr>
      <w:r>
        <w:rPr>
          <w:rFonts w:ascii="Arial" w:cs="Arial" w:eastAsia="Arial" w:hAnsi="Arial"/>
          <w:sz w:val="18"/>
          <w:szCs w:val="18"/>
          <w:color w:val="auto"/>
        </w:rPr>
        <w:t>The Board has identified each of Messrs. Boynton, Clough and Stoeckert as an “audit committee financial expert” as that term is defined in the rules promulgated by the Securities and Exchange Commission (the “SEC”). The Board has also determined that each of the members of the Audit Committee is financially literate under New York Stock Exchange standards.</w:t>
      </w:r>
    </w:p>
    <w:p>
      <w:pPr>
        <w:spacing w:after="0" w:line="29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0033A0"/>
        </w:rPr>
        <w:t>Compensation Committee</w:t>
      </w:r>
    </w:p>
    <w:p>
      <w:pPr>
        <w:spacing w:after="0" w:line="126" w:lineRule="exact"/>
        <w:rPr>
          <w:sz w:val="20"/>
          <w:szCs w:val="20"/>
          <w:color w:val="auto"/>
        </w:rPr>
      </w:pPr>
    </w:p>
    <w:p>
      <w:pPr>
        <w:jc w:val="both"/>
        <w:ind w:left="220" w:right="140"/>
        <w:spacing w:after="0" w:line="257" w:lineRule="auto"/>
        <w:rPr>
          <w:sz w:val="20"/>
          <w:szCs w:val="20"/>
          <w:color w:val="auto"/>
        </w:rPr>
      </w:pPr>
      <w:r>
        <w:rPr>
          <w:rFonts w:ascii="Arial" w:cs="Arial" w:eastAsia="Arial" w:hAnsi="Arial"/>
          <w:sz w:val="17"/>
          <w:szCs w:val="17"/>
          <w:color w:val="auto"/>
        </w:rPr>
        <w:t>The Compensation Committee is responsible for overseeing the policies and programs relating to the compensation of the Chief Executive Officer, and other senior executives, including policies governing salaries, incentive compensation and terms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360"/>
        <w:spacing w:after="0"/>
        <w:rPr>
          <w:sz w:val="20"/>
          <w:szCs w:val="20"/>
          <w:color w:val="auto"/>
        </w:rPr>
      </w:pPr>
      <w:r>
        <w:rPr>
          <w:rFonts w:ascii="Arial" w:cs="Arial" w:eastAsia="Arial" w:hAnsi="Arial"/>
          <w:sz w:val="18"/>
          <w:szCs w:val="18"/>
          <w:color w:val="auto"/>
        </w:rPr>
        <w:t>conditions of employment. For a further discussion of the Compensation Committee, see “Compensation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-1199515</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33A0"/>
        </w:rPr>
        <w:t>Corporate Governance Committee</w:t>
      </w:r>
    </w:p>
    <w:p>
      <w:pPr>
        <w:spacing w:after="0" w:line="12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Corporate Governance Committee is responsible for identifying individuals qualified to become Board members consistent with criteria approved by the Board and recommending to the Board director nominees. The Corporate Governance Committee also oversees the corporate governance of the Company, including recommending to the Board the Governance Policies, and the annual evaluation of the Board’s performance. In addition, the Corporate Governance Committee recommends to the Board any changes in non-employee director compensation.</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33A0"/>
        </w:rPr>
        <w:t>Finance Committee</w:t>
      </w:r>
    </w:p>
    <w:p>
      <w:pPr>
        <w:spacing w:after="0" w:line="126"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The Finance Committee monitors the Company’s strategic direction, recommends to the Board dividend and other actions and policies regarding the financial affairs of the Company, and is responsible for oversight of the Company’s 401(k) Plan and the Frozen Pension Plan, and any similar plans that may be maintained from time to time by the Company. The Finance Committee has authority to adopt amendments to the Company’s 401(k) Plan and the Frozen Pension and Pension Equalization Plans.</w:t>
      </w:r>
    </w:p>
    <w:p>
      <w:pPr>
        <w:spacing w:after="0" w:line="200" w:lineRule="exact"/>
        <w:rPr>
          <w:sz w:val="20"/>
          <w:szCs w:val="20"/>
          <w:color w:val="auto"/>
        </w:rPr>
      </w:pPr>
    </w:p>
    <w:p>
      <w:pPr>
        <w:sectPr>
          <w:pgSz w:w="11900" w:h="16838" w:orient="portrait"/>
          <w:cols w:equalWidth="0" w:num="2">
            <w:col w:w="5460" w:space="360"/>
            <w:col w:w="5380"/>
          </w:cols>
          <w:pgMar w:left="240" w:top="459" w:right="459" w:bottom="1440" w:gutter="0" w:footer="0" w:header="0"/>
        </w:sectPr>
      </w:pPr>
    </w:p>
    <w:p>
      <w:pPr>
        <w:spacing w:after="0" w:line="141"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auto"/>
        </w:rPr>
        <w:t>Director Nominating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68580</wp:posOffset>
            </wp:positionV>
            <wp:extent cx="6997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00"/>
          </w:cols>
          <w:pgMar w:left="240" w:top="459" w:right="459" w:bottom="1440" w:gutter="0" w:footer="0" w:header="0"/>
          <w:type w:val="continuous"/>
        </w:sectPr>
      </w:pPr>
    </w:p>
    <w:p>
      <w:pPr>
        <w:spacing w:after="0" w:line="336" w:lineRule="exact"/>
        <w:rPr>
          <w:sz w:val="20"/>
          <w:szCs w:val="20"/>
          <w:color w:val="auto"/>
        </w:rPr>
      </w:pPr>
    </w:p>
    <w:p>
      <w:pPr>
        <w:ind w:left="200" w:right="100"/>
        <w:spacing w:after="0" w:line="236" w:lineRule="auto"/>
        <w:rPr>
          <w:sz w:val="20"/>
          <w:szCs w:val="20"/>
          <w:color w:val="auto"/>
        </w:rPr>
      </w:pPr>
      <w:r>
        <w:rPr>
          <w:rFonts w:ascii="Arial" w:cs="Arial" w:eastAsia="Arial" w:hAnsi="Arial"/>
          <w:sz w:val="18"/>
          <w:szCs w:val="18"/>
          <w:color w:val="auto"/>
        </w:rPr>
        <w:t>The Corporate Governance Committee regularly engages in succession planning for the Board. In accordance with the Governance Policies and the Corporate Governance Committee charter, the Corporate Governance Committee periodically assesses whether any vacancies on the Board are expected due to retirement or other factors and considers possible director candidates. The Corporate Governance Committee has used professional search firms to identify candidates based upon the director membership criteria described in the Governance Policies.</w:t>
      </w:r>
    </w:p>
    <w:p>
      <w:pPr>
        <w:spacing w:after="0" w:line="98"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The Corporate Governance Committee’s charter provides that the Corporate Governance Committee will consider director candidate recommendations by shareholders. Shareholders should submit any such recommendations to the Corporate Governance Committee through the method described below under “Communications with Non-Management Members of the Board of Directors.” In accordance with the Company’s bylaws, any shareholder of</w:t>
      </w:r>
    </w:p>
    <w:p>
      <w:pPr>
        <w:spacing w:after="0" w:line="277" w:lineRule="exact"/>
        <w:rPr>
          <w:sz w:val="20"/>
          <w:szCs w:val="20"/>
          <w:color w:val="auto"/>
        </w:rPr>
      </w:pPr>
    </w:p>
    <w:tbl>
      <w:tblPr>
        <w:tblLayout w:type="fixed"/>
        <w:tblInd w:w="200" w:type="dxa"/>
        <w:tblCellMar>
          <w:top w:w="0" w:type="dxa"/>
          <w:left w:w="0" w:type="dxa"/>
          <w:bottom w:w="0" w:type="dxa"/>
          <w:right w:w="0" w:type="dxa"/>
        </w:tblCellMar>
      </w:tblPr>
      <w:tr>
        <w:trPr>
          <w:trHeight w:val="297"/>
        </w:trPr>
        <w:tc>
          <w:tcPr>
            <w:tcW w:w="360" w:type="dxa"/>
            <w:vAlign w:val="bottom"/>
            <w:tcBorders>
              <w:right w:val="single" w:sz="8" w:color="0033A0"/>
            </w:tcBorders>
          </w:tcPr>
          <w:p>
            <w:pPr>
              <w:jc w:val="right"/>
              <w:ind w:right="70"/>
              <w:spacing w:after="0"/>
              <w:rPr>
                <w:sz w:val="20"/>
                <w:szCs w:val="20"/>
                <w:color w:val="auto"/>
              </w:rPr>
            </w:pPr>
            <w:r>
              <w:rPr>
                <w:rFonts w:ascii="Arial" w:cs="Arial" w:eastAsia="Arial" w:hAnsi="Arial"/>
                <w:sz w:val="18"/>
                <w:szCs w:val="18"/>
                <w:b w:val="1"/>
                <w:bCs w:val="1"/>
                <w:color w:val="auto"/>
                <w:w w:val="89"/>
              </w:rPr>
              <w:t>12</w:t>
            </w:r>
          </w:p>
        </w:tc>
        <w:tc>
          <w:tcPr>
            <w:tcW w:w="3380" w:type="dxa"/>
            <w:vAlign w:val="bottom"/>
          </w:tcPr>
          <w:p>
            <w:pPr>
              <w:ind w:left="1600"/>
              <w:spacing w:after="0"/>
              <w:rPr>
                <w:sz w:val="20"/>
                <w:szCs w:val="20"/>
                <w:color w:val="auto"/>
              </w:rPr>
            </w:pPr>
            <w:r>
              <w:rPr>
                <w:rFonts w:ascii="Arial" w:cs="Arial" w:eastAsia="Arial" w:hAnsi="Arial"/>
                <w:sz w:val="18"/>
                <w:szCs w:val="18"/>
                <w:i w:val="1"/>
                <w:iCs w:val="1"/>
                <w:color w:val="auto"/>
                <w:w w:val="98"/>
              </w:rPr>
              <w:t>2019 Proxy Statement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-170815</wp:posOffset>
            </wp:positionV>
            <wp:extent cx="720090" cy="1289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009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record entitled to vote for the election of directors at a meeting of shareholders may nominate persons for election to the Board, if the shareholder complies with the notice procedures set forth in the bylaws and summarized in the section of this proxy statement entitled “Other Information—Shareholder Proposals and Director Nominations” on page 77.</w:t>
      </w:r>
    </w:p>
    <w:p>
      <w:pPr>
        <w:spacing w:after="0" w:line="9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Corporate Governance Committee evaluates all director candidates in accordance with the director membership criteria described in the Governance Policies. The Corporate Governance Committee evaluates any candidate’s qualifications to serve as a member of the Board based on the skills and characteristics of individual Board members as well as the composition of the Board as a whole, the balance of management and independent directors, and the need for particular expertise. In addition, while there is not specific weight given to any one factor, the Corporate Governance Committee will evaluate a candidate’s business experience, diversity, international background or experience, the number of</w:t>
      </w:r>
    </w:p>
    <w:p>
      <w:pPr>
        <w:sectPr>
          <w:pgSz w:w="11900" w:h="16838" w:orient="portrait"/>
          <w:cols w:equalWidth="0" w:num="2">
            <w:col w:w="5460" w:space="360"/>
            <w:col w:w="5380"/>
          </w:cols>
          <w:pgMar w:left="240" w:top="459" w:right="45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00" w:right="300"/>
        <w:spacing w:after="0"/>
        <w:rPr>
          <w:sz w:val="20"/>
          <w:szCs w:val="20"/>
          <w:color w:val="auto"/>
        </w:rPr>
      </w:pPr>
      <w:r>
        <w:rPr>
          <w:rFonts w:ascii="Arial" w:cs="Arial" w:eastAsia="Arial" w:hAnsi="Arial"/>
          <w:sz w:val="18"/>
          <w:szCs w:val="18"/>
          <w:color w:val="auto"/>
        </w:rPr>
        <w:t>other directorships held, leadership capabilities, and any other skills or experience that would contribute to the overall effectiveness of the Board of Directors.</w:t>
      </w:r>
    </w:p>
    <w:p>
      <w:pPr>
        <w:spacing w:after="0" w:line="95" w:lineRule="exact"/>
        <w:rPr>
          <w:sz w:val="20"/>
          <w:szCs w:val="20"/>
          <w:color w:val="auto"/>
        </w:rPr>
      </w:pPr>
    </w:p>
    <w:p>
      <w:pPr>
        <w:ind w:left="200"/>
        <w:spacing w:after="0" w:line="253" w:lineRule="auto"/>
        <w:rPr>
          <w:sz w:val="20"/>
          <w:szCs w:val="20"/>
          <w:color w:val="auto"/>
        </w:rPr>
      </w:pPr>
      <w:r>
        <w:rPr>
          <w:rFonts w:ascii="Arial" w:cs="Arial" w:eastAsia="Arial" w:hAnsi="Arial"/>
          <w:sz w:val="17"/>
          <w:szCs w:val="17"/>
          <w:color w:val="auto"/>
        </w:rPr>
        <w:t>When considering a director standing for re-election as a nominee, in addition to the attributes described above, the Corporate Governance Committee considers that individual’s past contribution and future commitment to the Company. The Corporate Governance Committee evaluates the totality of the merits of each prospective nominee that it considers and does not restrict itself by establishing minimum qualifications or attributes.</w:t>
      </w:r>
    </w:p>
    <w:p>
      <w:pPr>
        <w:spacing w:after="0" w:line="84" w:lineRule="exact"/>
        <w:rPr>
          <w:sz w:val="20"/>
          <w:szCs w:val="20"/>
          <w:color w:val="auto"/>
        </w:rPr>
      </w:pPr>
    </w:p>
    <w:p>
      <w:pPr>
        <w:ind w:left="200" w:right="240"/>
        <w:spacing w:after="0" w:line="246" w:lineRule="auto"/>
        <w:rPr>
          <w:sz w:val="20"/>
          <w:szCs w:val="20"/>
          <w:color w:val="auto"/>
        </w:rPr>
      </w:pPr>
      <w:r>
        <w:rPr>
          <w:rFonts w:ascii="Arial" w:cs="Arial" w:eastAsia="Arial" w:hAnsi="Arial"/>
          <w:sz w:val="18"/>
          <w:szCs w:val="18"/>
          <w:color w:val="auto"/>
        </w:rPr>
        <w:t>After evaluating any potential director nominees, the Corporate Governance Committee makes 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ind w:left="2680"/>
        <w:spacing w:after="0"/>
        <w:rPr>
          <w:sz w:val="20"/>
          <w:szCs w:val="20"/>
          <w:color w:val="auto"/>
        </w:rPr>
      </w:pPr>
      <w:r>
        <w:rPr>
          <w:rFonts w:ascii="Arial" w:cs="Arial" w:eastAsia="Arial" w:hAnsi="Arial"/>
          <w:sz w:val="19"/>
          <w:szCs w:val="19"/>
          <w:b w:val="1"/>
          <w:bCs w:val="1"/>
          <w:color w:val="0033A0"/>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-661035</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7"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recommendation to the full Board, and the Board determines the nominees. The evaluation process of prospective director nominees is the same for all nominees, regardless of the source from which the nominee was first identified.</w:t>
      </w:r>
    </w:p>
    <w:p>
      <w:pPr>
        <w:spacing w:after="0" w:line="94"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The Company did not receive any notice of a director candidate recommended by a shareholder or group of shareholders owning more than 5% of the Company’s voting common stock for at least one year as of the date of recommendation on or prior to November 23, 2018, the date that is 120 days before the anniversary date of the release of the prior year’s proxy statement to shareholders.</w:t>
      </w:r>
    </w:p>
    <w:p>
      <w:pPr>
        <w:spacing w:after="0" w:line="517" w:lineRule="exact"/>
        <w:rPr>
          <w:sz w:val="20"/>
          <w:szCs w:val="20"/>
          <w:color w:val="auto"/>
        </w:rPr>
      </w:pPr>
    </w:p>
    <w:p>
      <w:pPr>
        <w:sectPr>
          <w:pgSz w:w="11900" w:h="16838" w:orient="portrait"/>
          <w:cols w:equalWidth="0" w:num="2">
            <w:col w:w="5440" w:space="380"/>
            <w:col w:w="5400"/>
          </w:cols>
          <w:pgMar w:left="240" w:top="459" w:right="439" w:bottom="1440" w:gutter="0" w:footer="0" w:header="0"/>
        </w:sectPr>
      </w:pPr>
    </w:p>
    <w:p>
      <w:pPr>
        <w:spacing w:after="0" w:line="143"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auto"/>
        </w:rPr>
        <w:t>Board Evaluations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68580</wp:posOffset>
            </wp:positionV>
            <wp:extent cx="6997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type w:val="continuous"/>
        </w:sectPr>
      </w:pPr>
    </w:p>
    <w:p>
      <w:pPr>
        <w:spacing w:after="0" w:line="33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Board annually assesses the effectiveness of the full Board and the performance of its committees. The Corporate Governance Committee is charged</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ind w:right="480"/>
        <w:spacing w:after="0"/>
        <w:rPr>
          <w:sz w:val="20"/>
          <w:szCs w:val="20"/>
          <w:color w:val="auto"/>
        </w:rPr>
      </w:pPr>
      <w:r>
        <w:rPr>
          <w:rFonts w:ascii="Arial" w:cs="Arial" w:eastAsia="Arial" w:hAnsi="Arial"/>
          <w:sz w:val="18"/>
          <w:szCs w:val="18"/>
          <w:color w:val="auto"/>
        </w:rPr>
        <w:t>with overseeing this process. In 2016, the Board implemented periodic evaluations by a third party and individual director assessments.</w:t>
      </w:r>
    </w:p>
    <w:p>
      <w:pPr>
        <w:spacing w:after="0" w:line="200" w:lineRule="exact"/>
        <w:rPr>
          <w:sz w:val="20"/>
          <w:szCs w:val="20"/>
          <w:color w:val="auto"/>
        </w:rPr>
      </w:pPr>
    </w:p>
    <w:p>
      <w:pPr>
        <w:sectPr>
          <w:pgSz w:w="11900" w:h="16838" w:orient="portrait"/>
          <w:cols w:equalWidth="0" w:num="2">
            <w:col w:w="5280" w:space="540"/>
            <w:col w:w="5400"/>
          </w:cols>
          <w:pgMar w:left="240" w:top="459" w:right="439" w:bottom="1440" w:gutter="0" w:footer="0" w:header="0"/>
          <w:type w:val="continuous"/>
        </w:sectPr>
      </w:pPr>
    </w:p>
    <w:p>
      <w:pPr>
        <w:spacing w:after="0" w:line="135"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auto"/>
        </w:rPr>
        <w:t>Board Role in 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68580</wp:posOffset>
            </wp:positionV>
            <wp:extent cx="6997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type w:val="continuous"/>
        </w:sectPr>
      </w:pPr>
    </w:p>
    <w:p>
      <w:pPr>
        <w:spacing w:after="0" w:line="336" w:lineRule="exact"/>
        <w:rPr>
          <w:sz w:val="20"/>
          <w:szCs w:val="20"/>
          <w:color w:val="auto"/>
        </w:rPr>
      </w:pPr>
    </w:p>
    <w:p>
      <w:pPr>
        <w:ind w:left="220"/>
        <w:spacing w:after="0" w:line="236" w:lineRule="auto"/>
        <w:rPr>
          <w:sz w:val="20"/>
          <w:szCs w:val="20"/>
          <w:color w:val="auto"/>
        </w:rPr>
      </w:pPr>
      <w:r>
        <w:rPr>
          <w:rFonts w:ascii="Arial" w:cs="Arial" w:eastAsia="Arial" w:hAnsi="Arial"/>
          <w:sz w:val="18"/>
          <w:szCs w:val="18"/>
          <w:color w:val="auto"/>
        </w:rPr>
        <w:t>The Board is responsible for the Company’s overall risk oversight and receives regular reports from management on the Company’s risk management program (described below) and from the Board’s Audit, Compensation, Corporate Governance, and Finance Committees, each of which is responsible for risk oversight within its area of responsibility. Management is responsible for the Company’s risk management. Through the Company’s enterprise risk management (“ERM”) program, management identifies and addresses significant risks facing the Company. Under the ERM program, a team of senior executives identifies and prioritizes risks, and assigns an executive to address each major identified risk area, including by monitoring relevant mitigation plans and processes.</w:t>
      </w:r>
    </w:p>
    <w:p>
      <w:pPr>
        <w:spacing w:after="0" w:line="96" w:lineRule="exact"/>
        <w:rPr>
          <w:sz w:val="20"/>
          <w:szCs w:val="20"/>
          <w:color w:val="auto"/>
        </w:rPr>
      </w:pPr>
    </w:p>
    <w:p>
      <w:pPr>
        <w:ind w:left="220" w:right="60"/>
        <w:spacing w:after="0" w:line="252" w:lineRule="auto"/>
        <w:rPr>
          <w:sz w:val="20"/>
          <w:szCs w:val="20"/>
          <w:color w:val="auto"/>
        </w:rPr>
      </w:pPr>
      <w:r>
        <w:rPr>
          <w:rFonts w:ascii="Arial" w:cs="Arial" w:eastAsia="Arial" w:hAnsi="Arial"/>
          <w:sz w:val="17"/>
          <w:szCs w:val="17"/>
          <w:color w:val="auto"/>
        </w:rPr>
        <w:t>The Audit Committee is responsible for discussing with management the Company’s major financial risk exposures and the steps management has taken to monitor and control such exposures, including the Company’s risk assessment and risk management policies. As part of its responsibilities, the Audit Committee oversees the Company’s financial policies, including financial risk management. Management holds regular meetings that identify, discuss and assess financial risk from current macro-</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economic, industry and company-specific perspectives. As part of its regular reporting process, management reports and reviews with the Audit Committee the Company’s material financial risks, proposed risk factors and other public disclosures, mitigation strategies, and the Company’s internal controls over financial reporting. The Audit Committee also engages in periodic discussions with the Chief Financial Officer, the Vice President, Internal Audit and other members of management regarding risks.</w:t>
      </w:r>
    </w:p>
    <w:p>
      <w:pPr>
        <w:spacing w:after="0" w:line="100"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Each of the other committees of the Board considers risks within its respective areas of responsibility and regularly reports to the Board on issues related to the Company’s risk profile. The Compensation Committee considers any risks related to the Company’s executive compensation programs and has oversight responsibility for the Company’s review of all compensation policies and procedures to determine whether they present significant risks. The Corporate Governance Committee considers risks relating to governance and succession planning. The Finance Committee reviews risks related to strategic transactions and oversees risks related to the Company’s liquidity, credit ratings, and pension and savings plans.</w:t>
      </w:r>
    </w:p>
    <w:p>
      <w:pPr>
        <w:spacing w:after="0" w:line="615" w:lineRule="exact"/>
        <w:rPr>
          <w:sz w:val="20"/>
          <w:szCs w:val="20"/>
          <w:color w:val="auto"/>
        </w:rPr>
      </w:pPr>
    </w:p>
    <w:p>
      <w:pPr>
        <w:sectPr>
          <w:pgSz w:w="11900" w:h="16838" w:orient="portrait"/>
          <w:cols w:equalWidth="0" w:num="2">
            <w:col w:w="5500" w:space="320"/>
            <w:col w:w="5400"/>
          </w:cols>
          <w:pgMar w:left="240" w:top="459" w:right="439" w:bottom="1440" w:gutter="0" w:footer="0" w:header="0"/>
          <w:type w:val="continuous"/>
        </w:sectPr>
      </w:pPr>
    </w:p>
    <w:p>
      <w:pPr>
        <w:spacing w:after="0" w:line="77" w:lineRule="exact"/>
        <w:rPr>
          <w:sz w:val="20"/>
          <w:szCs w:val="20"/>
          <w:color w:val="auto"/>
        </w:rPr>
      </w:pPr>
    </w:p>
    <w:tbl>
      <w:tblPr>
        <w:tblLayout w:type="fixed"/>
        <w:tblInd w:w="8820" w:type="dxa"/>
        <w:tblCellMar>
          <w:top w:w="0" w:type="dxa"/>
          <w:left w:w="0" w:type="dxa"/>
          <w:bottom w:w="0" w:type="dxa"/>
          <w:right w:w="0" w:type="dxa"/>
        </w:tblCellMar>
      </w:tblPr>
      <w:tr>
        <w:trPr>
          <w:trHeight w:val="297"/>
        </w:trPr>
        <w:tc>
          <w:tcPr>
            <w:tcW w:w="1900" w:type="dxa"/>
            <w:vAlign w:val="bottom"/>
            <w:tcBorders>
              <w:right w:val="single" w:sz="8" w:color="0033A0"/>
            </w:tcBorders>
          </w:tcPr>
          <w:p>
            <w:pPr>
              <w:spacing w:after="0"/>
              <w:rPr>
                <w:sz w:val="20"/>
                <w:szCs w:val="20"/>
                <w:color w:val="auto"/>
              </w:rPr>
            </w:pPr>
            <w:r>
              <w:rPr>
                <w:rFonts w:ascii="Arial" w:cs="Arial" w:eastAsia="Arial" w:hAnsi="Arial"/>
                <w:sz w:val="18"/>
                <w:szCs w:val="18"/>
                <w:i w:val="1"/>
                <w:iCs w:val="1"/>
                <w:color w:val="auto"/>
              </w:rPr>
              <w:t>2019 Proxy Statement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-170815</wp:posOffset>
            </wp:positionV>
            <wp:extent cx="720090" cy="1289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0090" cy="12890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0033A0"/>
        </w:rPr>
        <w:t>The Brink’s Company</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auto"/>
        </w:rPr>
        <w:t>Compensation Risk Assessment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68580</wp:posOffset>
            </wp:positionV>
            <wp:extent cx="6997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180"/>
          </w:cols>
          <w:pgMar w:left="240" w:top="459" w:right="479" w:bottom="1440" w:gutter="0" w:footer="0" w:header="0"/>
        </w:sectPr>
      </w:pPr>
    </w:p>
    <w:p>
      <w:pPr>
        <w:spacing w:after="0" w:line="336" w:lineRule="exact"/>
        <w:rPr>
          <w:sz w:val="20"/>
          <w:szCs w:val="20"/>
          <w:color w:val="auto"/>
        </w:rPr>
      </w:pPr>
    </w:p>
    <w:p>
      <w:pPr>
        <w:ind w:left="220" w:right="60"/>
        <w:spacing w:after="0" w:line="236" w:lineRule="auto"/>
        <w:rPr>
          <w:sz w:val="20"/>
          <w:szCs w:val="20"/>
          <w:color w:val="auto"/>
        </w:rPr>
      </w:pPr>
      <w:r>
        <w:rPr>
          <w:rFonts w:ascii="Arial" w:cs="Arial" w:eastAsia="Arial" w:hAnsi="Arial"/>
          <w:sz w:val="18"/>
          <w:szCs w:val="18"/>
          <w:color w:val="auto"/>
        </w:rPr>
        <w:t>As part of its oversight of the Company’s executive compensation program, the Compensation Committee reviews and considers any potential risk implications created by compensation awards. The Compensation Committee believes that the executive compensation program is designed with the appropriate balance of risk and reward in relation to the Company’s overall business strategy and that the balance of compensation elements does not encourage excessive risk taking. The Compensation Committee will continue to consider compensation risk implications, as appropriate, in designing any new executive compensation components. In connection with its ongoing risk assessment, the Compensation Committee notes the following attributes of the executive compensation program:</w:t>
      </w:r>
    </w:p>
    <w:p>
      <w:pPr>
        <w:spacing w:after="0" w:line="109" w:lineRule="exact"/>
        <w:rPr>
          <w:sz w:val="20"/>
          <w:szCs w:val="20"/>
          <w:color w:val="auto"/>
        </w:rPr>
      </w:pPr>
    </w:p>
    <w:p>
      <w:pPr>
        <w:ind w:left="980" w:hanging="317"/>
        <w:spacing w:after="0"/>
        <w:tabs>
          <w:tab w:leader="none" w:pos="980" w:val="left"/>
        </w:tabs>
        <w:numPr>
          <w:ilvl w:val="0"/>
          <w:numId w:val="24"/>
        </w:numPr>
        <w:rPr>
          <w:rFonts w:ascii="Arial" w:cs="Arial" w:eastAsia="Arial" w:hAnsi="Arial"/>
          <w:sz w:val="18"/>
          <w:szCs w:val="18"/>
          <w:color w:val="0033A0"/>
        </w:rPr>
      </w:pPr>
      <w:r>
        <w:rPr>
          <w:rFonts w:ascii="Arial" w:cs="Arial" w:eastAsia="Arial" w:hAnsi="Arial"/>
          <w:sz w:val="18"/>
          <w:szCs w:val="18"/>
          <w:color w:val="auto"/>
        </w:rPr>
        <w:t>the balance between fixed and variable compensation, short- and long-term compensation, and cash and equity payouts;</w:t>
      </w:r>
    </w:p>
    <w:p>
      <w:pPr>
        <w:spacing w:after="0" w:line="108" w:lineRule="exact"/>
        <w:rPr>
          <w:rFonts w:ascii="Arial" w:cs="Arial" w:eastAsia="Arial" w:hAnsi="Arial"/>
          <w:sz w:val="18"/>
          <w:szCs w:val="18"/>
          <w:color w:val="0033A0"/>
        </w:rPr>
      </w:pPr>
    </w:p>
    <w:p>
      <w:pPr>
        <w:ind w:left="980" w:right="20" w:hanging="317"/>
        <w:spacing w:after="0"/>
        <w:tabs>
          <w:tab w:leader="none" w:pos="980" w:val="left"/>
        </w:tabs>
        <w:numPr>
          <w:ilvl w:val="0"/>
          <w:numId w:val="24"/>
        </w:numPr>
        <w:rPr>
          <w:rFonts w:ascii="Arial" w:cs="Arial" w:eastAsia="Arial" w:hAnsi="Arial"/>
          <w:sz w:val="18"/>
          <w:szCs w:val="18"/>
          <w:color w:val="0033A0"/>
        </w:rPr>
      </w:pPr>
      <w:r>
        <w:rPr>
          <w:rFonts w:ascii="Arial" w:cs="Arial" w:eastAsia="Arial" w:hAnsi="Arial"/>
          <w:sz w:val="18"/>
          <w:szCs w:val="18"/>
          <w:color w:val="auto"/>
        </w:rPr>
        <w:t>the alignment of LTI with selected performance measures that reflect the Company’s business plan, and its financial and operational goals;</w:t>
      </w:r>
    </w:p>
    <w:p>
      <w:pPr>
        <w:spacing w:after="0" w:line="108" w:lineRule="exact"/>
        <w:rPr>
          <w:rFonts w:ascii="Arial" w:cs="Arial" w:eastAsia="Arial" w:hAnsi="Arial"/>
          <w:sz w:val="18"/>
          <w:szCs w:val="18"/>
          <w:color w:val="0033A0"/>
        </w:rPr>
      </w:pPr>
    </w:p>
    <w:p>
      <w:pPr>
        <w:ind w:left="980" w:right="240" w:hanging="317"/>
        <w:spacing w:after="0" w:line="238" w:lineRule="auto"/>
        <w:tabs>
          <w:tab w:leader="none" w:pos="980" w:val="left"/>
        </w:tabs>
        <w:numPr>
          <w:ilvl w:val="0"/>
          <w:numId w:val="24"/>
        </w:numPr>
        <w:rPr>
          <w:rFonts w:ascii="Arial" w:cs="Arial" w:eastAsia="Arial" w:hAnsi="Arial"/>
          <w:sz w:val="18"/>
          <w:szCs w:val="18"/>
          <w:color w:val="0033A0"/>
        </w:rPr>
      </w:pPr>
      <w:r>
        <w:rPr>
          <w:rFonts w:ascii="Arial" w:cs="Arial" w:eastAsia="Arial" w:hAnsi="Arial"/>
          <w:sz w:val="18"/>
          <w:szCs w:val="18"/>
          <w:color w:val="auto"/>
        </w:rPr>
        <w:t>the Compensation Committee’s authority to apply negative discretion to annual incentive plan payouts if the Compensation Committee believes that such payouts do not appropriately reflect performance of a particular executive, the Company or a business unit;</w:t>
      </w:r>
    </w:p>
    <w:p>
      <w:pPr>
        <w:spacing w:after="0" w:line="108" w:lineRule="exact"/>
        <w:rPr>
          <w:rFonts w:ascii="Arial" w:cs="Arial" w:eastAsia="Arial" w:hAnsi="Arial"/>
          <w:sz w:val="18"/>
          <w:szCs w:val="18"/>
          <w:color w:val="0033A0"/>
        </w:rPr>
      </w:pPr>
    </w:p>
    <w:p>
      <w:pPr>
        <w:ind w:left="980" w:right="220" w:hanging="317"/>
        <w:spacing w:after="0" w:line="238" w:lineRule="auto"/>
        <w:tabs>
          <w:tab w:leader="none" w:pos="980" w:val="left"/>
        </w:tabs>
        <w:numPr>
          <w:ilvl w:val="0"/>
          <w:numId w:val="24"/>
        </w:numPr>
        <w:rPr>
          <w:rFonts w:ascii="Arial" w:cs="Arial" w:eastAsia="Arial" w:hAnsi="Arial"/>
          <w:sz w:val="18"/>
          <w:szCs w:val="18"/>
          <w:color w:val="0033A0"/>
        </w:rPr>
      </w:pPr>
      <w:r>
        <w:rPr>
          <w:rFonts w:ascii="Arial" w:cs="Arial" w:eastAsia="Arial" w:hAnsi="Arial"/>
          <w:sz w:val="18"/>
          <w:szCs w:val="18"/>
          <w:color w:val="auto"/>
        </w:rPr>
        <w:t>the placement of a significant portion of executive pay “at risk” and dependent upon the achievement of specific corporate performance goals with verifiable results, with pre-established threshold, target and maximum payment levels;</w:t>
      </w:r>
    </w:p>
    <w:p>
      <w:pPr>
        <w:spacing w:after="0" w:line="285" w:lineRule="exact"/>
        <w:rPr>
          <w:sz w:val="20"/>
          <w:szCs w:val="20"/>
          <w:color w:val="auto"/>
        </w:rPr>
      </w:pPr>
    </w:p>
    <w:tbl>
      <w:tblPr>
        <w:tblLayout w:type="fixed"/>
        <w:tblInd w:w="200" w:type="dxa"/>
        <w:tblCellMar>
          <w:top w:w="0" w:type="dxa"/>
          <w:left w:w="0" w:type="dxa"/>
          <w:bottom w:w="0" w:type="dxa"/>
          <w:right w:w="0" w:type="dxa"/>
        </w:tblCellMar>
      </w:tblPr>
      <w:tr>
        <w:trPr>
          <w:trHeight w:val="297"/>
        </w:trPr>
        <w:tc>
          <w:tcPr>
            <w:tcW w:w="360" w:type="dxa"/>
            <w:vAlign w:val="bottom"/>
            <w:tcBorders>
              <w:right w:val="single" w:sz="8" w:color="0033A0"/>
            </w:tcBorders>
          </w:tcPr>
          <w:p>
            <w:pPr>
              <w:jc w:val="right"/>
              <w:ind w:right="70"/>
              <w:spacing w:after="0"/>
              <w:rPr>
                <w:sz w:val="20"/>
                <w:szCs w:val="20"/>
                <w:color w:val="auto"/>
              </w:rPr>
            </w:pPr>
            <w:r>
              <w:rPr>
                <w:rFonts w:ascii="Arial" w:cs="Arial" w:eastAsia="Arial" w:hAnsi="Arial"/>
                <w:sz w:val="18"/>
                <w:szCs w:val="18"/>
                <w:b w:val="1"/>
                <w:bCs w:val="1"/>
                <w:color w:val="auto"/>
                <w:w w:val="89"/>
              </w:rPr>
              <w:t>14</w:t>
            </w:r>
          </w:p>
        </w:tc>
        <w:tc>
          <w:tcPr>
            <w:tcW w:w="3380" w:type="dxa"/>
            <w:vAlign w:val="bottom"/>
          </w:tcPr>
          <w:p>
            <w:pPr>
              <w:ind w:left="1600"/>
              <w:spacing w:after="0"/>
              <w:rPr>
                <w:sz w:val="20"/>
                <w:szCs w:val="20"/>
                <w:color w:val="auto"/>
              </w:rPr>
            </w:pPr>
            <w:r>
              <w:rPr>
                <w:rFonts w:ascii="Arial" w:cs="Arial" w:eastAsia="Arial" w:hAnsi="Arial"/>
                <w:sz w:val="18"/>
                <w:szCs w:val="18"/>
                <w:i w:val="1"/>
                <w:iCs w:val="1"/>
                <w:color w:val="auto"/>
                <w:w w:val="98"/>
              </w:rPr>
              <w:t>2019 Proxy Statement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-170815</wp:posOffset>
            </wp:positionV>
            <wp:extent cx="720090" cy="1289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009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ind w:left="780" w:right="200" w:hanging="317"/>
        <w:spacing w:after="0" w:line="246" w:lineRule="auto"/>
        <w:tabs>
          <w:tab w:leader="none" w:pos="780" w:val="left"/>
        </w:tabs>
        <w:numPr>
          <w:ilvl w:val="0"/>
          <w:numId w:val="25"/>
        </w:numPr>
        <w:rPr>
          <w:rFonts w:ascii="Arial" w:cs="Arial" w:eastAsia="Arial" w:hAnsi="Arial"/>
          <w:sz w:val="18"/>
          <w:szCs w:val="18"/>
          <w:color w:val="0033A0"/>
        </w:rPr>
      </w:pPr>
      <w:r>
        <w:rPr>
          <w:rFonts w:ascii="Arial" w:cs="Arial" w:eastAsia="Arial" w:hAnsi="Arial"/>
          <w:sz w:val="18"/>
          <w:szCs w:val="18"/>
          <w:color w:val="auto"/>
        </w:rPr>
        <w:t>the use of relative shareholder return as a performance metric for LTI awards;</w:t>
      </w:r>
    </w:p>
    <w:p>
      <w:pPr>
        <w:spacing w:after="0" w:line="102" w:lineRule="exact"/>
        <w:rPr>
          <w:rFonts w:ascii="Arial" w:cs="Arial" w:eastAsia="Arial" w:hAnsi="Arial"/>
          <w:sz w:val="18"/>
          <w:szCs w:val="18"/>
          <w:color w:val="0033A0"/>
        </w:rPr>
      </w:pPr>
    </w:p>
    <w:p>
      <w:pPr>
        <w:ind w:left="780" w:right="140" w:hanging="317"/>
        <w:spacing w:after="0" w:line="239" w:lineRule="auto"/>
        <w:tabs>
          <w:tab w:leader="none" w:pos="780" w:val="left"/>
        </w:tabs>
        <w:numPr>
          <w:ilvl w:val="0"/>
          <w:numId w:val="25"/>
        </w:numPr>
        <w:rPr>
          <w:rFonts w:ascii="Arial" w:cs="Arial" w:eastAsia="Arial" w:hAnsi="Arial"/>
          <w:sz w:val="18"/>
          <w:szCs w:val="18"/>
          <w:color w:val="0033A0"/>
        </w:rPr>
      </w:pPr>
      <w:r>
        <w:rPr>
          <w:rFonts w:ascii="Arial" w:cs="Arial" w:eastAsia="Arial" w:hAnsi="Arial"/>
          <w:sz w:val="18"/>
          <w:szCs w:val="18"/>
          <w:color w:val="auto"/>
        </w:rPr>
        <w:t>the Company’s compensation recoupment policy, which applies to performance-based cash and performance-based incentive compensation paid to executive officers and other recipients;</w:t>
      </w:r>
    </w:p>
    <w:p>
      <w:pPr>
        <w:spacing w:after="0" w:line="107" w:lineRule="exact"/>
        <w:rPr>
          <w:rFonts w:ascii="Arial" w:cs="Arial" w:eastAsia="Arial" w:hAnsi="Arial"/>
          <w:sz w:val="18"/>
          <w:szCs w:val="18"/>
          <w:color w:val="0033A0"/>
        </w:rPr>
      </w:pPr>
    </w:p>
    <w:p>
      <w:pPr>
        <w:ind w:left="780" w:hanging="317"/>
        <w:spacing w:after="0"/>
        <w:tabs>
          <w:tab w:leader="none" w:pos="780" w:val="left"/>
        </w:tabs>
        <w:numPr>
          <w:ilvl w:val="0"/>
          <w:numId w:val="25"/>
        </w:numPr>
        <w:rPr>
          <w:rFonts w:ascii="Arial" w:cs="Arial" w:eastAsia="Arial" w:hAnsi="Arial"/>
          <w:sz w:val="18"/>
          <w:szCs w:val="18"/>
          <w:color w:val="0033A0"/>
        </w:rPr>
      </w:pPr>
      <w:r>
        <w:rPr>
          <w:rFonts w:ascii="Arial" w:cs="Arial" w:eastAsia="Arial" w:hAnsi="Arial"/>
          <w:sz w:val="18"/>
          <w:szCs w:val="18"/>
          <w:color w:val="auto"/>
        </w:rPr>
        <w:t>the balance between risks and benefits of compensation as related to attracting and retaining executives and other senior leaders;</w:t>
      </w:r>
    </w:p>
    <w:p>
      <w:pPr>
        <w:spacing w:after="0" w:line="108" w:lineRule="exact"/>
        <w:rPr>
          <w:rFonts w:ascii="Arial" w:cs="Arial" w:eastAsia="Arial" w:hAnsi="Arial"/>
          <w:sz w:val="18"/>
          <w:szCs w:val="18"/>
          <w:color w:val="0033A0"/>
        </w:rPr>
      </w:pPr>
    </w:p>
    <w:p>
      <w:pPr>
        <w:jc w:val="both"/>
        <w:ind w:left="780" w:right="320" w:hanging="317"/>
        <w:spacing w:after="0" w:line="261" w:lineRule="auto"/>
        <w:tabs>
          <w:tab w:leader="none" w:pos="780" w:val="left"/>
        </w:tabs>
        <w:numPr>
          <w:ilvl w:val="0"/>
          <w:numId w:val="25"/>
        </w:numPr>
        <w:rPr>
          <w:rFonts w:ascii="Arial" w:cs="Arial" w:eastAsia="Arial" w:hAnsi="Arial"/>
          <w:sz w:val="17"/>
          <w:szCs w:val="17"/>
          <w:color w:val="0033A0"/>
        </w:rPr>
      </w:pPr>
      <w:r>
        <w:rPr>
          <w:rFonts w:ascii="Arial" w:cs="Arial" w:eastAsia="Arial" w:hAnsi="Arial"/>
          <w:sz w:val="17"/>
          <w:szCs w:val="17"/>
          <w:color w:val="auto"/>
        </w:rPr>
        <w:t>the Company’s executive stock ownership guidelines, which align the interests of the executive officers with those of the Company’s shareholders; and</w:t>
      </w:r>
    </w:p>
    <w:p>
      <w:pPr>
        <w:spacing w:after="0" w:line="91" w:lineRule="exact"/>
        <w:rPr>
          <w:rFonts w:ascii="Arial" w:cs="Arial" w:eastAsia="Arial" w:hAnsi="Arial"/>
          <w:sz w:val="17"/>
          <w:szCs w:val="17"/>
          <w:color w:val="0033A0"/>
        </w:rPr>
      </w:pPr>
    </w:p>
    <w:p>
      <w:pPr>
        <w:ind w:left="780" w:right="20" w:hanging="317"/>
        <w:spacing w:after="0" w:line="246" w:lineRule="auto"/>
        <w:tabs>
          <w:tab w:leader="none" w:pos="780" w:val="left"/>
        </w:tabs>
        <w:numPr>
          <w:ilvl w:val="0"/>
          <w:numId w:val="25"/>
        </w:numPr>
        <w:rPr>
          <w:rFonts w:ascii="Arial" w:cs="Arial" w:eastAsia="Arial" w:hAnsi="Arial"/>
          <w:sz w:val="18"/>
          <w:szCs w:val="18"/>
          <w:color w:val="0033A0"/>
        </w:rPr>
      </w:pPr>
      <w:r>
        <w:rPr>
          <w:rFonts w:ascii="Arial" w:cs="Arial" w:eastAsia="Arial" w:hAnsi="Arial"/>
          <w:sz w:val="18"/>
          <w:szCs w:val="18"/>
          <w:color w:val="auto"/>
        </w:rPr>
        <w:t>regular review of the executive compensation program by an independent compensation consultant.</w:t>
      </w:r>
    </w:p>
    <w:p>
      <w:pPr>
        <w:spacing w:after="0" w:line="89"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The Compensation Committee also has oversight over the Company’s responsibility to review all Company compensation policies and procedures, including the incentives that they create, to assess risk. At the Compensation Committee’s direction, the Company’s Human Resources Department in partnership with the Internal Audit Department, conducted a risk assessment of the Company’s compensation programs during 2018. Based on its assessment, management concluded that the compensation policies and practices of the Company and its subsidiaries for employees do not create risks that are reasonably likely to have a material adverse effect on the Company, and management presented the results of its assessment to the Compensation Committee.</w:t>
      </w:r>
    </w:p>
    <w:p>
      <w:pPr>
        <w:sectPr>
          <w:pgSz w:w="11900" w:h="16838" w:orient="portrait"/>
          <w:cols w:equalWidth="0" w:num="2">
            <w:col w:w="5480" w:space="340"/>
            <w:col w:w="5360"/>
          </w:cols>
          <w:pgMar w:left="240" w:top="459" w:right="47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0033A0"/>
        </w:rPr>
        <w:t>CORPORATE GOVERNANCE</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auto"/>
        </w:rPr>
        <w:t>Policy and Process for Approval of 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68580</wp:posOffset>
            </wp:positionV>
            <wp:extent cx="6997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336" w:lineRule="exact"/>
        <w:rPr>
          <w:sz w:val="20"/>
          <w:szCs w:val="20"/>
          <w:color w:val="auto"/>
        </w:rPr>
      </w:pPr>
    </w:p>
    <w:p>
      <w:pPr>
        <w:ind w:left="220"/>
        <w:spacing w:after="0" w:line="236" w:lineRule="auto"/>
        <w:rPr>
          <w:sz w:val="20"/>
          <w:szCs w:val="20"/>
          <w:color w:val="auto"/>
        </w:rPr>
      </w:pPr>
      <w:r>
        <w:rPr>
          <w:rFonts w:ascii="Arial" w:cs="Arial" w:eastAsia="Arial" w:hAnsi="Arial"/>
          <w:sz w:val="18"/>
          <w:szCs w:val="18"/>
          <w:color w:val="auto"/>
        </w:rPr>
        <w:t>The Company has adopted a policy in the Audit Committee’s charter regarding the review and approval of related person transactions. In the event that the Company proposes to enter into such a transaction, it must be referred to the Audit Committee. The Audit Committee is required to review and approve each related person transaction and any disclosures required by Item 404 of Regulation S-K. The Audit Committee reviews any related person transactions on a case-by-case basis.</w:t>
      </w:r>
    </w:p>
    <w:p>
      <w:pPr>
        <w:spacing w:after="0" w:line="100" w:lineRule="exact"/>
        <w:rPr>
          <w:sz w:val="20"/>
          <w:szCs w:val="20"/>
          <w:color w:val="auto"/>
        </w:rPr>
      </w:pPr>
    </w:p>
    <w:p>
      <w:pPr>
        <w:ind w:left="220" w:right="60"/>
        <w:spacing w:after="0" w:line="238" w:lineRule="auto"/>
        <w:rPr>
          <w:sz w:val="20"/>
          <w:szCs w:val="20"/>
          <w:color w:val="auto"/>
        </w:rPr>
      </w:pPr>
      <w:r>
        <w:rPr>
          <w:rFonts w:ascii="Arial" w:cs="Arial" w:eastAsia="Arial" w:hAnsi="Arial"/>
          <w:sz w:val="18"/>
          <w:szCs w:val="18"/>
          <w:color w:val="auto"/>
        </w:rPr>
        <w:t>For purposes of this policy, a “related person transaction” has the same meaning as in Item 404 of Regulation S-K: a transaction, arrangement or relationship (or any series of related transactions, arrangements or relationships) in which the Company is, was or will be a participant and the amount</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involved exceeds $120,000 and in which any “related person” has, had or will have a direct or indirect material interest.</w:t>
      </w:r>
    </w:p>
    <w:p>
      <w:pPr>
        <w:spacing w:after="0" w:line="89"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For purposes of this policy, a “related person” has the same meaning as in Item 404 of Regulation S-K: any person who was a director, a nominee for director or an executive officer of the Company during the preceding fiscal year (or an immediate family member of such a director, nominee for director or executive officer) or a beneficial owner of more than 5% of the outstanding Brink’s Common Stock (or an immediate family member of such owner).</w:t>
      </w:r>
    </w:p>
    <w:p>
      <w:pPr>
        <w:spacing w:after="0" w:line="84"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During 2018, there were no related person transactions under the relevant standards.</w:t>
      </w:r>
    </w:p>
    <w:p>
      <w:pPr>
        <w:spacing w:after="0" w:line="491" w:lineRule="exact"/>
        <w:rPr>
          <w:sz w:val="20"/>
          <w:szCs w:val="20"/>
          <w:color w:val="auto"/>
        </w:rPr>
      </w:pPr>
    </w:p>
    <w:p>
      <w:pPr>
        <w:sectPr>
          <w:pgSz w:w="11900" w:h="16838" w:orient="portrait"/>
          <w:cols w:equalWidth="0" w:num="2">
            <w:col w:w="5480" w:space="340"/>
            <w:col w:w="5400"/>
          </w:cols>
          <w:pgMar w:left="240" w:top="459" w:right="439" w:bottom="1440" w:gutter="0" w:footer="0" w:header="0"/>
          <w:type w:val="continuous"/>
        </w:sectPr>
      </w:pPr>
    </w:p>
    <w:p>
      <w:pPr>
        <w:spacing w:after="0" w:line="149"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auto"/>
        </w:rPr>
        <w:t>Communications with Non-Management Members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68580</wp:posOffset>
            </wp:positionV>
            <wp:extent cx="6997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type w:val="continuous"/>
        </w:sectPr>
      </w:pPr>
    </w:p>
    <w:p>
      <w:pPr>
        <w:spacing w:after="0" w:line="323" w:lineRule="exact"/>
        <w:rPr>
          <w:sz w:val="20"/>
          <w:szCs w:val="20"/>
          <w:color w:val="auto"/>
        </w:rPr>
      </w:pPr>
    </w:p>
    <w:p>
      <w:pPr>
        <w:ind w:left="200"/>
        <w:spacing w:after="0" w:line="238" w:lineRule="auto"/>
        <w:rPr>
          <w:sz w:val="20"/>
          <w:szCs w:val="20"/>
          <w:color w:val="auto"/>
        </w:rPr>
      </w:pPr>
      <w:r>
        <w:rPr>
          <w:rFonts w:ascii="Arial" w:cs="Arial" w:eastAsia="Arial" w:hAnsi="Arial"/>
          <w:sz w:val="18"/>
          <w:szCs w:val="18"/>
          <w:color w:val="auto"/>
        </w:rPr>
        <w:t>The Company’s Governance Policies set forth a process by which shareholders and other interested third parties can send communications to the non-management members of the Board. When interested third parties have concerns, they may make them known to the non-management directors</w:t>
      </w:r>
    </w:p>
    <w:p>
      <w:pPr>
        <w:spacing w:after="0" w:line="20" w:lineRule="exact"/>
        <w:rPr>
          <w:sz w:val="20"/>
          <w:szCs w:val="20"/>
          <w:color w:val="auto"/>
        </w:rPr>
      </w:pPr>
      <w:r>
        <w:rPr>
          <w:sz w:val="20"/>
          <w:szCs w:val="20"/>
          <w:color w:val="auto"/>
        </w:rPr>
        <w:br w:type="column"/>
      </w:r>
    </w:p>
    <w:p>
      <w:pPr>
        <w:spacing w:after="0" w:line="303"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by communicating via written correspondence sent by U.S. mail to “Chairman” at the Company’s Richmond, Virginia address. All such correspondence is provided to the Chairman of the Board at, or prior to, the next executive session held at a regular Board meeting.</w:t>
      </w:r>
    </w:p>
    <w:p>
      <w:pPr>
        <w:spacing w:after="0" w:line="401" w:lineRule="exact"/>
        <w:rPr>
          <w:sz w:val="20"/>
          <w:szCs w:val="20"/>
          <w:color w:val="auto"/>
        </w:rPr>
      </w:pPr>
    </w:p>
    <w:p>
      <w:pPr>
        <w:sectPr>
          <w:pgSz w:w="11900" w:h="16838" w:orient="portrait"/>
          <w:cols w:equalWidth="0" w:num="2">
            <w:col w:w="5440" w:space="380"/>
            <w:col w:w="5400"/>
          </w:cols>
          <w:pgMar w:left="240" w:top="459" w:right="439" w:bottom="1440" w:gutter="0" w:footer="0" w:header="0"/>
          <w:type w:val="continuous"/>
        </w:sectPr>
      </w:pPr>
    </w:p>
    <w:p>
      <w:pPr>
        <w:spacing w:after="0" w:line="149"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auto"/>
        </w:rPr>
        <w:t>Succession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68580</wp:posOffset>
            </wp:positionV>
            <wp:extent cx="6997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type w:val="continuous"/>
        </w:sectPr>
      </w:pPr>
    </w:p>
    <w:p>
      <w:pPr>
        <w:spacing w:after="0" w:line="336" w:lineRule="exact"/>
        <w:rPr>
          <w:sz w:val="20"/>
          <w:szCs w:val="20"/>
          <w:color w:val="auto"/>
        </w:rPr>
      </w:pPr>
    </w:p>
    <w:p>
      <w:pPr>
        <w:ind w:left="200"/>
        <w:spacing w:after="0" w:line="238" w:lineRule="auto"/>
        <w:rPr>
          <w:sz w:val="20"/>
          <w:szCs w:val="20"/>
          <w:color w:val="auto"/>
        </w:rPr>
      </w:pPr>
      <w:r>
        <w:rPr>
          <w:rFonts w:ascii="Arial" w:cs="Arial" w:eastAsia="Arial" w:hAnsi="Arial"/>
          <w:sz w:val="18"/>
          <w:szCs w:val="18"/>
          <w:color w:val="auto"/>
        </w:rPr>
        <w:t>The Board regularly engages in succession planning for the Chief Executive Officer role. Members of the Board (with oversight from the Corporate Governance Committee) annually review and discuss an evaluation of potential Chief Executive Officer successors. The Board ensures that meeting</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agendas for the Board and its committees provide directors with exposure to and opportunities to assess potential successors. The Board annually reviews the emergency succession plan for the Chief Executive Officer.</w:t>
      </w:r>
    </w:p>
    <w:p>
      <w:pPr>
        <w:spacing w:after="0" w:line="401" w:lineRule="exact"/>
        <w:rPr>
          <w:sz w:val="20"/>
          <w:szCs w:val="20"/>
          <w:color w:val="auto"/>
        </w:rPr>
      </w:pPr>
    </w:p>
    <w:p>
      <w:pPr>
        <w:sectPr>
          <w:pgSz w:w="11900" w:h="16838" w:orient="portrait"/>
          <w:cols w:equalWidth="0" w:num="2">
            <w:col w:w="5420" w:space="400"/>
            <w:col w:w="5400"/>
          </w:cols>
          <w:pgMar w:left="240" w:top="459" w:right="439" w:bottom="1440" w:gutter="0" w:footer="0" w:header="0"/>
          <w:type w:val="continuous"/>
        </w:sectPr>
      </w:pPr>
    </w:p>
    <w:p>
      <w:pPr>
        <w:spacing w:after="0" w:line="135"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auto"/>
        </w:rPr>
        <w:t>Political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68580</wp:posOffset>
            </wp:positionV>
            <wp:extent cx="6997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type w:val="continuous"/>
        </w:sectPr>
      </w:pPr>
    </w:p>
    <w:p>
      <w:pPr>
        <w:spacing w:after="0" w:line="336" w:lineRule="exact"/>
        <w:rPr>
          <w:sz w:val="20"/>
          <w:szCs w:val="20"/>
          <w:color w:val="auto"/>
        </w:rPr>
      </w:pPr>
    </w:p>
    <w:p>
      <w:pPr>
        <w:ind w:left="200"/>
        <w:spacing w:after="0" w:line="238" w:lineRule="auto"/>
        <w:rPr>
          <w:sz w:val="20"/>
          <w:szCs w:val="20"/>
          <w:color w:val="auto"/>
        </w:rPr>
      </w:pPr>
      <w:r>
        <w:rPr>
          <w:rFonts w:ascii="Arial" w:cs="Arial" w:eastAsia="Arial" w:hAnsi="Arial"/>
          <w:sz w:val="18"/>
          <w:szCs w:val="18"/>
          <w:color w:val="auto"/>
        </w:rPr>
        <w:t>In general, it is not the Company’s practice to make financial or in-kind political contributions with corporate assets, even when permitted by applicable law. The Company complies with all applicable state and federal laws related to the disclosure of lobbying activities.</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Company administers, under federal and state election laws, The Brink’s Company Political Action Committee, which is a non-partisan political action committee comprised of the Company’s managerial and professional U.S. employees who voluntarily pool their financial resources to support the Company’s efforts to promote the business interests of the Company through the legislative process.</w:t>
      </w:r>
    </w:p>
    <w:p>
      <w:pPr>
        <w:spacing w:after="0" w:line="200" w:lineRule="exact"/>
        <w:rPr>
          <w:sz w:val="20"/>
          <w:szCs w:val="20"/>
          <w:color w:val="auto"/>
        </w:rPr>
      </w:pPr>
    </w:p>
    <w:p>
      <w:pPr>
        <w:sectPr>
          <w:pgSz w:w="11900" w:h="16838" w:orient="portrait"/>
          <w:cols w:equalWidth="0" w:num="2">
            <w:col w:w="5220" w:space="600"/>
            <w:col w:w="5400"/>
          </w:cols>
          <w:pgMar w:left="240" w:top="459" w:right="439" w:bottom="1440" w:gutter="0" w:footer="0" w:header="0"/>
          <w:type w:val="continuous"/>
        </w:sectPr>
      </w:pPr>
    </w:p>
    <w:p>
      <w:pPr>
        <w:spacing w:after="0" w:line="85" w:lineRule="exact"/>
        <w:rPr>
          <w:sz w:val="20"/>
          <w:szCs w:val="20"/>
          <w:color w:val="auto"/>
        </w:rPr>
      </w:pPr>
    </w:p>
    <w:tbl>
      <w:tblPr>
        <w:tblLayout w:type="fixed"/>
        <w:tblInd w:w="8820" w:type="dxa"/>
        <w:tblCellMar>
          <w:top w:w="0" w:type="dxa"/>
          <w:left w:w="0" w:type="dxa"/>
          <w:bottom w:w="0" w:type="dxa"/>
          <w:right w:w="0" w:type="dxa"/>
        </w:tblCellMar>
      </w:tblPr>
      <w:tr>
        <w:trPr>
          <w:trHeight w:val="297"/>
        </w:trPr>
        <w:tc>
          <w:tcPr>
            <w:tcW w:w="1900" w:type="dxa"/>
            <w:vAlign w:val="bottom"/>
            <w:tcBorders>
              <w:right w:val="single" w:sz="8" w:color="0033A0"/>
            </w:tcBorders>
          </w:tcPr>
          <w:p>
            <w:pPr>
              <w:spacing w:after="0"/>
              <w:rPr>
                <w:sz w:val="20"/>
                <w:szCs w:val="20"/>
                <w:color w:val="auto"/>
              </w:rPr>
            </w:pPr>
            <w:r>
              <w:rPr>
                <w:rFonts w:ascii="Arial" w:cs="Arial" w:eastAsia="Arial" w:hAnsi="Arial"/>
                <w:sz w:val="18"/>
                <w:szCs w:val="18"/>
                <w:i w:val="1"/>
                <w:iCs w:val="1"/>
                <w:color w:val="auto"/>
              </w:rPr>
              <w:t>2019 Proxy Statement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-170815</wp:posOffset>
            </wp:positionV>
            <wp:extent cx="720090" cy="1289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0090" cy="12890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0033A0"/>
        </w:rPr>
        <w:t>The Brink’s Company</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auto"/>
        </w:rPr>
        <w:t>Resignation and Retirement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68580</wp:posOffset>
            </wp:positionV>
            <wp:extent cx="6997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140"/>
          </w:cols>
          <w:pgMar w:left="240" w:top="459" w:right="519" w:bottom="1440" w:gutter="0" w:footer="0" w:header="0"/>
        </w:sectPr>
      </w:pPr>
    </w:p>
    <w:p>
      <w:pPr>
        <w:spacing w:after="0" w:line="336" w:lineRule="exact"/>
        <w:rPr>
          <w:sz w:val="20"/>
          <w:szCs w:val="20"/>
          <w:color w:val="auto"/>
        </w:rPr>
      </w:pPr>
    </w:p>
    <w:p>
      <w:pPr>
        <w:ind w:left="220"/>
        <w:spacing w:after="0" w:line="236" w:lineRule="auto"/>
        <w:rPr>
          <w:sz w:val="20"/>
          <w:szCs w:val="20"/>
          <w:color w:val="auto"/>
        </w:rPr>
      </w:pPr>
      <w:r>
        <w:rPr>
          <w:rFonts w:ascii="Arial" w:cs="Arial" w:eastAsia="Arial" w:hAnsi="Arial"/>
          <w:sz w:val="18"/>
          <w:szCs w:val="18"/>
          <w:color w:val="auto"/>
        </w:rPr>
        <w:t>Under the Company’s Governance Policies, a director who retires or whose job responsibilities change materially from those in effect at the time the director was last elected to the Board should submit his or her resignation to the Board. The Corporate Governance Committee will then review and consider the director’s resignation and make a recommendation to the Board whether to accept or decline the resignation. In addition, the Board maintains a policy that a director may not stand for election to the Board for any term during which his or her 72</w:t>
      </w:r>
      <w:r>
        <w:rPr>
          <w:rFonts w:ascii="Arial" w:cs="Arial" w:eastAsia="Arial" w:hAnsi="Arial"/>
          <w:sz w:val="15"/>
          <w:szCs w:val="15"/>
          <w:color w:val="auto"/>
        </w:rPr>
        <w:t>nd</w:t>
      </w:r>
      <w:r>
        <w:rPr>
          <w:rFonts w:ascii="Arial" w:cs="Arial" w:eastAsia="Arial" w:hAnsi="Arial"/>
          <w:sz w:val="18"/>
          <w:szCs w:val="18"/>
          <w:color w:val="auto"/>
        </w:rPr>
        <w:t xml:space="preserve"> birthday would fall more than six months prior to the expiration of that term.</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Company’s Governance Policies also provide that any nominee for director in an uncontested election who receives a greater number of shareholder votes “against” his or her election than votes “for” his or her election must promptly tender his or her resignation to the Board. The Corporate Governance Committee will then evaluate the best interests of the Company and will recommend to the Board whether to accept or reject the tendered resignation. Following the Board’s determination, the Company will disclose the Board’s decision of whether or not to accept the resignation and an explanation of how the decision was reached.</w:t>
      </w:r>
    </w:p>
    <w:p>
      <w:pPr>
        <w:spacing w:after="0" w:line="200" w:lineRule="exact"/>
        <w:rPr>
          <w:sz w:val="20"/>
          <w:szCs w:val="20"/>
          <w:color w:val="auto"/>
        </w:rPr>
      </w:pPr>
    </w:p>
    <w:p>
      <w:pPr>
        <w:sectPr>
          <w:pgSz w:w="11900" w:h="16838" w:orient="portrait"/>
          <w:cols w:equalWidth="0" w:num="2">
            <w:col w:w="5500" w:space="320"/>
            <w:col w:w="5320"/>
          </w:cols>
          <w:pgMar w:left="240" w:top="459" w:right="519" w:bottom="1440" w:gutter="0" w:footer="0" w:header="0"/>
          <w:type w:val="continuous"/>
        </w:sectPr>
      </w:pPr>
    </w:p>
    <w:p>
      <w:pPr>
        <w:spacing w:after="0" w:line="210" w:lineRule="exact"/>
        <w:rPr>
          <w:sz w:val="20"/>
          <w:szCs w:val="20"/>
          <w:color w:val="auto"/>
        </w:rPr>
      </w:pPr>
    </w:p>
    <w:tbl>
      <w:tblPr>
        <w:tblLayout w:type="fixed"/>
        <w:tblInd w:w="200" w:type="dxa"/>
        <w:tblCellMar>
          <w:top w:w="0" w:type="dxa"/>
          <w:left w:w="0" w:type="dxa"/>
          <w:bottom w:w="0" w:type="dxa"/>
          <w:right w:w="0" w:type="dxa"/>
        </w:tblCellMar>
      </w:tblPr>
      <w:tr>
        <w:trPr>
          <w:trHeight w:val="297"/>
        </w:trPr>
        <w:tc>
          <w:tcPr>
            <w:tcW w:w="360" w:type="dxa"/>
            <w:vAlign w:val="bottom"/>
            <w:tcBorders>
              <w:right w:val="single" w:sz="8" w:color="0033A0"/>
            </w:tcBorders>
          </w:tcPr>
          <w:p>
            <w:pPr>
              <w:jc w:val="right"/>
              <w:ind w:right="70"/>
              <w:spacing w:after="0"/>
              <w:rPr>
                <w:sz w:val="20"/>
                <w:szCs w:val="20"/>
                <w:color w:val="auto"/>
              </w:rPr>
            </w:pPr>
            <w:r>
              <w:rPr>
                <w:rFonts w:ascii="Arial" w:cs="Arial" w:eastAsia="Arial" w:hAnsi="Arial"/>
                <w:sz w:val="18"/>
                <w:szCs w:val="18"/>
                <w:b w:val="1"/>
                <w:bCs w:val="1"/>
                <w:color w:val="auto"/>
                <w:w w:val="89"/>
              </w:rPr>
              <w:t>16</w:t>
            </w:r>
          </w:p>
        </w:tc>
        <w:tc>
          <w:tcPr>
            <w:tcW w:w="3380" w:type="dxa"/>
            <w:vAlign w:val="bottom"/>
          </w:tcPr>
          <w:p>
            <w:pPr>
              <w:ind w:left="1600"/>
              <w:spacing w:after="0"/>
              <w:rPr>
                <w:sz w:val="20"/>
                <w:szCs w:val="20"/>
                <w:color w:val="auto"/>
              </w:rPr>
            </w:pPr>
            <w:r>
              <w:rPr>
                <w:rFonts w:ascii="Arial" w:cs="Arial" w:eastAsia="Arial" w:hAnsi="Arial"/>
                <w:sz w:val="18"/>
                <w:szCs w:val="18"/>
                <w:i w:val="1"/>
                <w:iCs w:val="1"/>
                <w:color w:val="auto"/>
                <w:w w:val="98"/>
              </w:rPr>
              <w:t>2019 Proxy Statement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-170815</wp:posOffset>
            </wp:positionV>
            <wp:extent cx="720090" cy="1289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0090" cy="128905"/>
                    </a:xfrm>
                    <a:prstGeom prst="rect">
                      <a:avLst/>
                    </a:prstGeom>
                    <a:noFill/>
                  </pic:spPr>
                </pic:pic>
              </a:graphicData>
            </a:graphic>
          </wp:anchor>
        </w:drawing>
      </w:r>
    </w:p>
    <w:p>
      <w:pPr>
        <w:sectPr>
          <w:pgSz w:w="11900" w:h="16838" w:orient="portrait"/>
          <w:cols w:equalWidth="0" w:num="1">
            <w:col w:w="11140"/>
          </w:cols>
          <w:pgMar w:left="240" w:top="459" w:right="51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0033A0"/>
        </w:rPr>
        <w:t>The Brink’s Company</w:t>
      </w:r>
    </w:p>
    <w:p>
      <w:pPr>
        <w:spacing w:after="0" w:line="161" w:lineRule="exact"/>
        <w:rPr>
          <w:sz w:val="20"/>
          <w:szCs w:val="20"/>
          <w:color w:val="auto"/>
        </w:rPr>
      </w:pPr>
    </w:p>
    <w:p>
      <w:pPr>
        <w:ind w:left="200"/>
        <w:spacing w:after="0"/>
        <w:rPr>
          <w:sz w:val="20"/>
          <w:szCs w:val="20"/>
          <w:color w:val="auto"/>
        </w:rPr>
      </w:pPr>
      <w:r>
        <w:rPr>
          <w:rFonts w:ascii="Arial" w:cs="Arial" w:eastAsia="Arial" w:hAnsi="Arial"/>
          <w:sz w:val="43"/>
          <w:szCs w:val="43"/>
          <w:color w:val="0033A0"/>
        </w:rPr>
        <w:t>PROPOSAL NO. 1—ELECTION OF DIRECTORS</w:t>
      </w:r>
    </w:p>
    <w:p>
      <w:pPr>
        <w:sectPr>
          <w:pgSz w:w="11900" w:h="16838" w:orient="portrait"/>
          <w:cols w:equalWidth="0" w:num="1">
            <w:col w:w="11220"/>
          </w:cols>
          <w:pgMar w:left="240" w:top="459" w:right="439" w:bottom="1440" w:gutter="0" w:footer="0" w:header="0"/>
        </w:sectPr>
      </w:pPr>
    </w:p>
    <w:p>
      <w:pPr>
        <w:spacing w:after="0" w:line="303" w:lineRule="exact"/>
        <w:rPr>
          <w:sz w:val="20"/>
          <w:szCs w:val="20"/>
          <w:color w:val="auto"/>
        </w:rPr>
      </w:pPr>
    </w:p>
    <w:p>
      <w:pPr>
        <w:ind w:left="200"/>
        <w:spacing w:after="0" w:line="239" w:lineRule="auto"/>
        <w:rPr>
          <w:sz w:val="20"/>
          <w:szCs w:val="20"/>
          <w:color w:val="auto"/>
        </w:rPr>
      </w:pPr>
      <w:r>
        <w:rPr>
          <w:rFonts w:ascii="Arial" w:cs="Arial" w:eastAsia="Arial" w:hAnsi="Arial"/>
          <w:sz w:val="18"/>
          <w:szCs w:val="18"/>
          <w:color w:val="auto"/>
        </w:rPr>
        <w:t>In accordance with the Company’s Amended and Restated Articles of Incorporation and bylaws, directors are nominated for election (or re-election) to one-year terms. Each of the Company’s directors is serving a term that expires in May 2019.</w:t>
      </w:r>
    </w:p>
    <w:p>
      <w:pPr>
        <w:spacing w:after="0" w:line="94" w:lineRule="exact"/>
        <w:rPr>
          <w:sz w:val="20"/>
          <w:szCs w:val="20"/>
          <w:color w:val="auto"/>
        </w:rPr>
      </w:pPr>
    </w:p>
    <w:p>
      <w:pPr>
        <w:ind w:left="200"/>
        <w:spacing w:after="0" w:line="252" w:lineRule="auto"/>
        <w:rPr>
          <w:sz w:val="20"/>
          <w:szCs w:val="20"/>
          <w:color w:val="auto"/>
        </w:rPr>
      </w:pPr>
      <w:r>
        <w:rPr>
          <w:rFonts w:ascii="Arial" w:cs="Arial" w:eastAsia="Arial" w:hAnsi="Arial"/>
          <w:sz w:val="17"/>
          <w:szCs w:val="17"/>
          <w:color w:val="auto"/>
        </w:rPr>
        <w:t>The Corporate Governance Committee has recommended, and the Board has approved Ms. Docherty and Messrs. Boynton, Clough, Hedgebeth, Henry, Herling, Pertz and Stoeckert each as nominees for election to a one-year term expiring in 2020. Proxies cannot be voted for a greater number of persons than the number of nominees named in this proxy statement. Unless otherwise specified, all proxies will be voted in favor of Ms. Docherty and Messrs. Boynton, Clough, Hedgebeth, Henry, Herling, Pertz and Stoeckert for election as directors of the Company. The Board has</w:t>
      </w:r>
    </w:p>
    <w:p>
      <w:pPr>
        <w:spacing w:after="0" w:line="20" w:lineRule="exact"/>
        <w:rPr>
          <w:sz w:val="20"/>
          <w:szCs w:val="20"/>
          <w:color w:val="auto"/>
        </w:rPr>
      </w:pPr>
      <w:r>
        <w:rPr>
          <w:sz w:val="20"/>
          <w:szCs w:val="20"/>
          <w:color w:val="auto"/>
        </w:rPr>
        <w:br w:type="column"/>
      </w:r>
    </w:p>
    <w:p>
      <w:pPr>
        <w:spacing w:after="0" w:line="28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no reason to believe that any of the nominees is not available or will not serve if elected. If any of them should become unavailable to serve as a director, full discretion is reserved to the persons named as proxies to vote for such other persons as may be properly nominated.</w:t>
      </w:r>
    </w:p>
    <w:p>
      <w:pPr>
        <w:spacing w:after="0" w:line="95"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Set forth below for each director nominee is information concerning the nominee’s age, principal occupation, employment (including other positions with the Company), directorships during the past five years, and the year in which he or she first became a director of the Company. Also set forth below is a brief discussion of the specific experience, qualifications, attributes or skills that led to the conclusion that each nominee should serve as a director, in light of the Company’s business and structure.</w:t>
      </w:r>
    </w:p>
    <w:p>
      <w:pPr>
        <w:spacing w:after="0" w:line="216" w:lineRule="exact"/>
        <w:rPr>
          <w:sz w:val="20"/>
          <w:szCs w:val="20"/>
          <w:color w:val="auto"/>
        </w:rPr>
      </w:pPr>
    </w:p>
    <w:p>
      <w:pPr>
        <w:sectPr>
          <w:pgSz w:w="11900" w:h="16838" w:orient="portrait"/>
          <w:cols w:equalWidth="0" w:num="2">
            <w:col w:w="5460" w:space="360"/>
            <w:col w:w="5400"/>
          </w:cols>
          <w:pgMar w:left="240" w:top="459" w:right="439" w:bottom="1440" w:gutter="0" w:footer="0" w:header="0"/>
          <w:type w:val="continuous"/>
        </w:sectPr>
      </w:pPr>
    </w:p>
    <w:p>
      <w:pPr>
        <w:spacing w:after="0" w:line="74" w:lineRule="exact"/>
        <w:rPr>
          <w:sz w:val="20"/>
          <w:szCs w:val="20"/>
          <w:color w:val="auto"/>
        </w:rPr>
      </w:pPr>
    </w:p>
    <w:tbl>
      <w:tblPr>
        <w:tblLayout w:type="fixed"/>
        <w:tblInd w:w="8820" w:type="dxa"/>
        <w:tblCellMar>
          <w:top w:w="0" w:type="dxa"/>
          <w:left w:w="0" w:type="dxa"/>
          <w:bottom w:w="0" w:type="dxa"/>
          <w:right w:w="0" w:type="dxa"/>
        </w:tblCellMar>
      </w:tblPr>
      <w:tr>
        <w:trPr>
          <w:trHeight w:val="297"/>
        </w:trPr>
        <w:tc>
          <w:tcPr>
            <w:tcW w:w="1900" w:type="dxa"/>
            <w:vAlign w:val="bottom"/>
            <w:tcBorders>
              <w:right w:val="single" w:sz="8" w:color="0033A0"/>
            </w:tcBorders>
          </w:tcPr>
          <w:p>
            <w:pPr>
              <w:spacing w:after="0"/>
              <w:rPr>
                <w:sz w:val="20"/>
                <w:szCs w:val="20"/>
                <w:color w:val="auto"/>
              </w:rPr>
            </w:pPr>
            <w:r>
              <w:rPr>
                <w:rFonts w:ascii="Arial" w:cs="Arial" w:eastAsia="Arial" w:hAnsi="Arial"/>
                <w:sz w:val="18"/>
                <w:szCs w:val="18"/>
                <w:i w:val="1"/>
                <w:iCs w:val="1"/>
                <w:color w:val="auto"/>
              </w:rPr>
              <w:t>2019 Proxy Statement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-170815</wp:posOffset>
            </wp:positionV>
            <wp:extent cx="720090" cy="1289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0090" cy="12890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0033A0"/>
        </w:rPr>
        <w:t>The Brink’s Company</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auto"/>
        </w:rPr>
        <w:t>Criteria for Board Membership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68580</wp:posOffset>
            </wp:positionV>
            <wp:extent cx="6997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Company’s Corporate Governance Policies set forth the criteria for director membership, which include:</w:t>
      </w:r>
    </w:p>
    <w:p>
      <w:pPr>
        <w:spacing w:after="0" w:line="117" w:lineRule="exact"/>
        <w:rPr>
          <w:sz w:val="20"/>
          <w:szCs w:val="20"/>
          <w:color w:val="auto"/>
        </w:rPr>
      </w:pPr>
    </w:p>
    <w:p>
      <w:pPr>
        <w:ind w:left="1060" w:hanging="316"/>
        <w:spacing w:after="0"/>
        <w:tabs>
          <w:tab w:leader="none" w:pos="1060" w:val="left"/>
        </w:tabs>
        <w:numPr>
          <w:ilvl w:val="0"/>
          <w:numId w:val="26"/>
        </w:numPr>
        <w:rPr>
          <w:rFonts w:ascii="Arial" w:cs="Arial" w:eastAsia="Arial" w:hAnsi="Arial"/>
          <w:sz w:val="18"/>
          <w:szCs w:val="18"/>
          <w:color w:val="0033A0"/>
        </w:rPr>
      </w:pPr>
      <w:r>
        <w:rPr>
          <w:rFonts w:ascii="Arial" w:cs="Arial" w:eastAsia="Arial" w:hAnsi="Arial"/>
          <w:sz w:val="18"/>
          <w:szCs w:val="18"/>
          <w:color w:val="auto"/>
        </w:rPr>
        <w:t>business experience,</w:t>
      </w:r>
    </w:p>
    <w:p>
      <w:pPr>
        <w:spacing w:after="0" w:line="117" w:lineRule="exact"/>
        <w:rPr>
          <w:rFonts w:ascii="Arial" w:cs="Arial" w:eastAsia="Arial" w:hAnsi="Arial"/>
          <w:sz w:val="18"/>
          <w:szCs w:val="18"/>
          <w:color w:val="0033A0"/>
        </w:rPr>
      </w:pPr>
    </w:p>
    <w:p>
      <w:pPr>
        <w:ind w:left="1060" w:hanging="316"/>
        <w:spacing w:after="0"/>
        <w:tabs>
          <w:tab w:leader="none" w:pos="1060" w:val="left"/>
        </w:tabs>
        <w:numPr>
          <w:ilvl w:val="0"/>
          <w:numId w:val="26"/>
        </w:numPr>
        <w:rPr>
          <w:rFonts w:ascii="Arial" w:cs="Arial" w:eastAsia="Arial" w:hAnsi="Arial"/>
          <w:sz w:val="18"/>
          <w:szCs w:val="18"/>
          <w:color w:val="0033A0"/>
        </w:rPr>
      </w:pPr>
      <w:r>
        <w:rPr>
          <w:rFonts w:ascii="Arial" w:cs="Arial" w:eastAsia="Arial" w:hAnsi="Arial"/>
          <w:sz w:val="18"/>
          <w:szCs w:val="18"/>
          <w:color w:val="auto"/>
        </w:rPr>
        <w:t>diversity,</w:t>
      </w:r>
    </w:p>
    <w:p>
      <w:pPr>
        <w:spacing w:after="0" w:line="117" w:lineRule="exact"/>
        <w:rPr>
          <w:rFonts w:ascii="Arial" w:cs="Arial" w:eastAsia="Arial" w:hAnsi="Arial"/>
          <w:sz w:val="18"/>
          <w:szCs w:val="18"/>
          <w:color w:val="0033A0"/>
        </w:rPr>
      </w:pPr>
    </w:p>
    <w:p>
      <w:pPr>
        <w:ind w:left="1060" w:hanging="316"/>
        <w:spacing w:after="0"/>
        <w:tabs>
          <w:tab w:leader="none" w:pos="1060" w:val="left"/>
        </w:tabs>
        <w:numPr>
          <w:ilvl w:val="0"/>
          <w:numId w:val="26"/>
        </w:numPr>
        <w:rPr>
          <w:rFonts w:ascii="Arial" w:cs="Arial" w:eastAsia="Arial" w:hAnsi="Arial"/>
          <w:sz w:val="18"/>
          <w:szCs w:val="18"/>
          <w:color w:val="0033A0"/>
        </w:rPr>
      </w:pPr>
      <w:r>
        <w:rPr>
          <w:rFonts w:ascii="Arial" w:cs="Arial" w:eastAsia="Arial" w:hAnsi="Arial"/>
          <w:sz w:val="18"/>
          <w:szCs w:val="18"/>
          <w:color w:val="auto"/>
        </w:rPr>
        <w:t>international background,</w:t>
      </w:r>
    </w:p>
    <w:p>
      <w:pPr>
        <w:spacing w:after="0" w:line="117" w:lineRule="exact"/>
        <w:rPr>
          <w:rFonts w:ascii="Arial" w:cs="Arial" w:eastAsia="Arial" w:hAnsi="Arial"/>
          <w:sz w:val="18"/>
          <w:szCs w:val="18"/>
          <w:color w:val="0033A0"/>
        </w:rPr>
      </w:pPr>
    </w:p>
    <w:p>
      <w:pPr>
        <w:ind w:left="1060" w:hanging="316"/>
        <w:spacing w:after="0"/>
        <w:tabs>
          <w:tab w:leader="none" w:pos="1060" w:val="left"/>
        </w:tabs>
        <w:numPr>
          <w:ilvl w:val="0"/>
          <w:numId w:val="26"/>
        </w:numPr>
        <w:rPr>
          <w:rFonts w:ascii="Arial" w:cs="Arial" w:eastAsia="Arial" w:hAnsi="Arial"/>
          <w:sz w:val="18"/>
          <w:szCs w:val="18"/>
          <w:color w:val="0033A0"/>
        </w:rPr>
      </w:pPr>
      <w:r>
        <w:rPr>
          <w:rFonts w:ascii="Arial" w:cs="Arial" w:eastAsia="Arial" w:hAnsi="Arial"/>
          <w:sz w:val="18"/>
          <w:szCs w:val="18"/>
          <w:color w:val="auto"/>
        </w:rPr>
        <w:t>the number of other directorships held,</w:t>
      </w:r>
    </w:p>
    <w:p>
      <w:pPr>
        <w:spacing w:after="0" w:line="117" w:lineRule="exact"/>
        <w:rPr>
          <w:rFonts w:ascii="Arial" w:cs="Arial" w:eastAsia="Arial" w:hAnsi="Arial"/>
          <w:sz w:val="18"/>
          <w:szCs w:val="18"/>
          <w:color w:val="0033A0"/>
        </w:rPr>
      </w:pPr>
    </w:p>
    <w:p>
      <w:pPr>
        <w:ind w:left="1060" w:hanging="316"/>
        <w:spacing w:after="0"/>
        <w:tabs>
          <w:tab w:leader="none" w:pos="1060" w:val="left"/>
        </w:tabs>
        <w:numPr>
          <w:ilvl w:val="0"/>
          <w:numId w:val="26"/>
        </w:numPr>
        <w:rPr>
          <w:rFonts w:ascii="Arial" w:cs="Arial" w:eastAsia="Arial" w:hAnsi="Arial"/>
          <w:sz w:val="18"/>
          <w:szCs w:val="18"/>
          <w:color w:val="0033A0"/>
        </w:rPr>
      </w:pPr>
      <w:r>
        <w:rPr>
          <w:rFonts w:ascii="Arial" w:cs="Arial" w:eastAsia="Arial" w:hAnsi="Arial"/>
          <w:sz w:val="18"/>
          <w:szCs w:val="18"/>
          <w:color w:val="auto"/>
        </w:rPr>
        <w:t>leadership capabilities, and</w:t>
      </w:r>
    </w:p>
    <w:p>
      <w:pPr>
        <w:spacing w:after="0" w:line="117" w:lineRule="exact"/>
        <w:rPr>
          <w:rFonts w:ascii="Arial" w:cs="Arial" w:eastAsia="Arial" w:hAnsi="Arial"/>
          <w:sz w:val="18"/>
          <w:szCs w:val="18"/>
          <w:color w:val="0033A0"/>
        </w:rPr>
      </w:pPr>
    </w:p>
    <w:p>
      <w:pPr>
        <w:ind w:left="1060" w:hanging="316"/>
        <w:spacing w:after="0"/>
        <w:tabs>
          <w:tab w:leader="none" w:pos="1060" w:val="left"/>
        </w:tabs>
        <w:numPr>
          <w:ilvl w:val="0"/>
          <w:numId w:val="26"/>
        </w:numPr>
        <w:rPr>
          <w:rFonts w:ascii="Arial" w:cs="Arial" w:eastAsia="Arial" w:hAnsi="Arial"/>
          <w:sz w:val="18"/>
          <w:szCs w:val="18"/>
          <w:color w:val="0033A0"/>
        </w:rPr>
      </w:pPr>
      <w:r>
        <w:rPr>
          <w:rFonts w:ascii="Arial" w:cs="Arial" w:eastAsia="Arial" w:hAnsi="Arial"/>
          <w:sz w:val="18"/>
          <w:szCs w:val="18"/>
          <w:color w:val="auto"/>
        </w:rPr>
        <w:t>any other skills or experience which would be of assistance to management in operating the Company’s business.</w:t>
      </w:r>
    </w:p>
    <w:p>
      <w:pPr>
        <w:spacing w:after="0" w:line="104" w:lineRule="exact"/>
        <w:rPr>
          <w:sz w:val="20"/>
          <w:szCs w:val="20"/>
          <w:color w:val="auto"/>
        </w:rPr>
      </w:pPr>
    </w:p>
    <w:p>
      <w:pPr>
        <w:ind w:left="200" w:right="520"/>
        <w:spacing w:after="0" w:line="246" w:lineRule="auto"/>
        <w:rPr>
          <w:sz w:val="20"/>
          <w:szCs w:val="20"/>
          <w:color w:val="auto"/>
        </w:rPr>
      </w:pPr>
      <w:r>
        <w:rPr>
          <w:rFonts w:ascii="Arial" w:cs="Arial" w:eastAsia="Arial" w:hAnsi="Arial"/>
          <w:sz w:val="18"/>
          <w:szCs w:val="18"/>
          <w:color w:val="auto"/>
        </w:rPr>
        <w:t>With respect to business and other experience, the Committee considers, on an ongoing basis, those skills and experiences that are important to the Company’s current and future business needs, including, among others:</w:t>
      </w:r>
    </w:p>
    <w:p>
      <w:pPr>
        <w:spacing w:after="0" w:line="225" w:lineRule="exact"/>
        <w:rPr>
          <w:sz w:val="20"/>
          <w:szCs w:val="20"/>
          <w:color w:val="auto"/>
        </w:rPr>
      </w:pPr>
    </w:p>
    <w:tbl>
      <w:tblPr>
        <w:tblLayout w:type="fixed"/>
        <w:tblInd w:w="220" w:type="dxa"/>
        <w:tblCellMar>
          <w:top w:w="0" w:type="dxa"/>
          <w:left w:w="0" w:type="dxa"/>
          <w:bottom w:w="0" w:type="dxa"/>
          <w:right w:w="0" w:type="dxa"/>
        </w:tblCellMar>
      </w:tblPr>
      <w:tr>
        <w:trPr>
          <w:trHeight w:val="432"/>
        </w:trPr>
        <w:tc>
          <w:tcPr>
            <w:tcW w:w="5960" w:type="dxa"/>
            <w:vAlign w:val="bottom"/>
            <w:shd w:val="clear" w:color="auto" w:fill="E5EAF5"/>
          </w:tcPr>
          <w:p>
            <w:pPr>
              <w:ind w:left="880"/>
              <w:spacing w:after="0"/>
              <w:rPr>
                <w:sz w:val="20"/>
                <w:szCs w:val="20"/>
                <w:color w:val="auto"/>
              </w:rPr>
            </w:pPr>
            <w:r>
              <w:rPr>
                <w:rFonts w:ascii="Arial" w:cs="Arial" w:eastAsia="Arial" w:hAnsi="Arial"/>
                <w:sz w:val="18"/>
                <w:szCs w:val="18"/>
                <w:color w:val="auto"/>
              </w:rPr>
              <w:t>finance</w:t>
            </w:r>
          </w:p>
        </w:tc>
        <w:tc>
          <w:tcPr>
            <w:tcW w:w="5060" w:type="dxa"/>
            <w:vAlign w:val="bottom"/>
            <w:shd w:val="clear" w:color="auto" w:fill="E5EAF5"/>
          </w:tcPr>
          <w:p>
            <w:pPr>
              <w:ind w:left="540"/>
              <w:spacing w:after="0"/>
              <w:rPr>
                <w:sz w:val="20"/>
                <w:szCs w:val="20"/>
                <w:color w:val="auto"/>
              </w:rPr>
            </w:pPr>
            <w:r>
              <w:rPr>
                <w:rFonts w:ascii="Arial" w:cs="Arial" w:eastAsia="Arial" w:hAnsi="Arial"/>
                <w:sz w:val="18"/>
                <w:szCs w:val="18"/>
                <w:color w:val="auto"/>
              </w:rPr>
              <w:t>technology</w:t>
            </w:r>
          </w:p>
        </w:tc>
      </w:tr>
      <w:tr>
        <w:trPr>
          <w:trHeight w:val="662"/>
        </w:trPr>
        <w:tc>
          <w:tcPr>
            <w:tcW w:w="5960" w:type="dxa"/>
            <w:vAlign w:val="bottom"/>
            <w:shd w:val="clear" w:color="auto" w:fill="E5EAF5"/>
          </w:tcPr>
          <w:p>
            <w:pPr>
              <w:ind w:left="880"/>
              <w:spacing w:after="0"/>
              <w:rPr>
                <w:sz w:val="20"/>
                <w:szCs w:val="20"/>
                <w:color w:val="auto"/>
              </w:rPr>
            </w:pPr>
            <w:r>
              <w:rPr>
                <w:rFonts w:ascii="Arial" w:cs="Arial" w:eastAsia="Arial" w:hAnsi="Arial"/>
                <w:sz w:val="18"/>
                <w:szCs w:val="18"/>
                <w:color w:val="auto"/>
              </w:rPr>
              <w:t>risk management</w:t>
            </w:r>
          </w:p>
        </w:tc>
        <w:tc>
          <w:tcPr>
            <w:tcW w:w="5060" w:type="dxa"/>
            <w:vAlign w:val="bottom"/>
            <w:shd w:val="clear" w:color="auto" w:fill="E5EAF5"/>
          </w:tcPr>
          <w:p>
            <w:pPr>
              <w:ind w:left="540"/>
              <w:spacing w:after="0"/>
              <w:rPr>
                <w:sz w:val="20"/>
                <w:szCs w:val="20"/>
                <w:color w:val="auto"/>
              </w:rPr>
            </w:pPr>
            <w:r>
              <w:rPr>
                <w:rFonts w:ascii="Arial" w:cs="Arial" w:eastAsia="Arial" w:hAnsi="Arial"/>
                <w:sz w:val="18"/>
                <w:szCs w:val="18"/>
                <w:color w:val="auto"/>
              </w:rPr>
              <w:t>regulatory matters</w:t>
            </w:r>
          </w:p>
        </w:tc>
      </w:tr>
      <w:tr>
        <w:trPr>
          <w:trHeight w:val="621"/>
        </w:trPr>
        <w:tc>
          <w:tcPr>
            <w:tcW w:w="5960" w:type="dxa"/>
            <w:vAlign w:val="bottom"/>
            <w:shd w:val="clear" w:color="auto" w:fill="E5EAF5"/>
          </w:tcPr>
          <w:p>
            <w:pPr>
              <w:ind w:left="880"/>
              <w:spacing w:after="0"/>
              <w:rPr>
                <w:sz w:val="20"/>
                <w:szCs w:val="20"/>
                <w:color w:val="auto"/>
              </w:rPr>
            </w:pPr>
            <w:r>
              <w:rPr>
                <w:rFonts w:ascii="Arial" w:cs="Arial" w:eastAsia="Arial" w:hAnsi="Arial"/>
                <w:sz w:val="18"/>
                <w:szCs w:val="18"/>
                <w:color w:val="auto"/>
              </w:rPr>
              <w:t>international business operations</w:t>
            </w:r>
          </w:p>
        </w:tc>
        <w:tc>
          <w:tcPr>
            <w:tcW w:w="5060" w:type="dxa"/>
            <w:vAlign w:val="bottom"/>
            <w:shd w:val="clear" w:color="auto" w:fill="E5EAF5"/>
          </w:tcPr>
          <w:p>
            <w:pPr>
              <w:ind w:left="540"/>
              <w:spacing w:after="0"/>
              <w:rPr>
                <w:sz w:val="20"/>
                <w:szCs w:val="20"/>
                <w:color w:val="auto"/>
              </w:rPr>
            </w:pPr>
            <w:r>
              <w:rPr>
                <w:rFonts w:ascii="Arial" w:cs="Arial" w:eastAsia="Arial" w:hAnsi="Arial"/>
                <w:sz w:val="18"/>
                <w:szCs w:val="18"/>
                <w:color w:val="auto"/>
              </w:rPr>
              <w:t>talent management and succession planning</w:t>
            </w:r>
          </w:p>
        </w:tc>
      </w:tr>
      <w:tr>
        <w:trPr>
          <w:trHeight w:val="581"/>
        </w:trPr>
        <w:tc>
          <w:tcPr>
            <w:tcW w:w="5960" w:type="dxa"/>
            <w:vAlign w:val="bottom"/>
            <w:shd w:val="clear" w:color="auto" w:fill="E5EAF5"/>
          </w:tcPr>
          <w:p>
            <w:pPr>
              <w:ind w:left="880"/>
              <w:spacing w:after="0"/>
              <w:rPr>
                <w:sz w:val="20"/>
                <w:szCs w:val="20"/>
                <w:color w:val="auto"/>
              </w:rPr>
            </w:pPr>
            <w:r>
              <w:rPr>
                <w:rFonts w:ascii="Arial" w:cs="Arial" w:eastAsia="Arial" w:hAnsi="Arial"/>
                <w:sz w:val="18"/>
                <w:szCs w:val="18"/>
                <w:color w:val="auto"/>
              </w:rPr>
              <w:t>strategic business development</w:t>
            </w:r>
          </w:p>
        </w:tc>
        <w:tc>
          <w:tcPr>
            <w:tcW w:w="5060" w:type="dxa"/>
            <w:vAlign w:val="bottom"/>
            <w:shd w:val="clear" w:color="auto" w:fill="E5EAF5"/>
          </w:tcPr>
          <w:p>
            <w:pPr>
              <w:ind w:left="540"/>
              <w:spacing w:after="0"/>
              <w:rPr>
                <w:sz w:val="20"/>
                <w:szCs w:val="20"/>
                <w:color w:val="auto"/>
              </w:rPr>
            </w:pPr>
            <w:r>
              <w:rPr>
                <w:rFonts w:ascii="Arial" w:cs="Arial" w:eastAsia="Arial" w:hAnsi="Arial"/>
                <w:sz w:val="18"/>
                <w:szCs w:val="18"/>
                <w:color w:val="auto"/>
              </w:rPr>
              <w:t>government relations</w:t>
            </w:r>
          </w:p>
        </w:tc>
      </w:tr>
      <w:tr>
        <w:trPr>
          <w:trHeight w:val="581"/>
        </w:trPr>
        <w:tc>
          <w:tcPr>
            <w:tcW w:w="5960" w:type="dxa"/>
            <w:vAlign w:val="bottom"/>
            <w:shd w:val="clear" w:color="auto" w:fill="E5EAF5"/>
          </w:tcPr>
          <w:p>
            <w:pPr>
              <w:ind w:left="880"/>
              <w:spacing w:after="0"/>
              <w:rPr>
                <w:sz w:val="20"/>
                <w:szCs w:val="20"/>
                <w:color w:val="auto"/>
              </w:rPr>
            </w:pPr>
            <w:r>
              <w:rPr>
                <w:rFonts w:ascii="Arial" w:cs="Arial" w:eastAsia="Arial" w:hAnsi="Arial"/>
                <w:sz w:val="18"/>
                <w:szCs w:val="18"/>
                <w:color w:val="auto"/>
              </w:rPr>
              <w:t>sales and marketing</w:t>
            </w:r>
          </w:p>
        </w:tc>
        <w:tc>
          <w:tcPr>
            <w:tcW w:w="5060" w:type="dxa"/>
            <w:vAlign w:val="bottom"/>
            <w:shd w:val="clear" w:color="auto" w:fill="E5EAF5"/>
          </w:tcPr>
          <w:p>
            <w:pPr>
              <w:ind w:left="540"/>
              <w:spacing w:after="0"/>
              <w:rPr>
                <w:sz w:val="20"/>
                <w:szCs w:val="20"/>
                <w:color w:val="auto"/>
              </w:rPr>
            </w:pPr>
            <w:r>
              <w:rPr>
                <w:rFonts w:ascii="Arial" w:cs="Arial" w:eastAsia="Arial" w:hAnsi="Arial"/>
                <w:sz w:val="18"/>
                <w:szCs w:val="18"/>
                <w:color w:val="auto"/>
              </w:rPr>
              <w:t>legal and compliance</w:t>
            </w:r>
          </w:p>
        </w:tc>
      </w:tr>
      <w:tr>
        <w:trPr>
          <w:trHeight w:val="581"/>
        </w:trPr>
        <w:tc>
          <w:tcPr>
            <w:tcW w:w="5960" w:type="dxa"/>
            <w:vAlign w:val="bottom"/>
            <w:shd w:val="clear" w:color="auto" w:fill="E5EAF5"/>
          </w:tcPr>
          <w:p>
            <w:pPr>
              <w:ind w:left="880"/>
              <w:spacing w:after="0"/>
              <w:rPr>
                <w:sz w:val="20"/>
                <w:szCs w:val="20"/>
                <w:color w:val="auto"/>
              </w:rPr>
            </w:pPr>
            <w:r>
              <w:rPr>
                <w:rFonts w:ascii="Arial" w:cs="Arial" w:eastAsia="Arial" w:hAnsi="Arial"/>
                <w:sz w:val="18"/>
                <w:szCs w:val="18"/>
                <w:color w:val="auto"/>
              </w:rPr>
              <w:t>customer relations</w:t>
            </w:r>
          </w:p>
        </w:tc>
        <w:tc>
          <w:tcPr>
            <w:tcW w:w="5060" w:type="dxa"/>
            <w:vAlign w:val="bottom"/>
            <w:shd w:val="clear" w:color="auto" w:fill="E5EAF5"/>
          </w:tcPr>
          <w:p>
            <w:pPr>
              <w:ind w:left="540"/>
              <w:spacing w:after="0"/>
              <w:rPr>
                <w:sz w:val="20"/>
                <w:szCs w:val="20"/>
                <w:color w:val="auto"/>
              </w:rPr>
            </w:pPr>
            <w:r>
              <w:rPr>
                <w:rFonts w:ascii="Arial" w:cs="Arial" w:eastAsia="Arial" w:hAnsi="Arial"/>
                <w:sz w:val="18"/>
                <w:szCs w:val="18"/>
                <w:color w:val="auto"/>
              </w:rPr>
              <w:t>internal controls</w:t>
            </w:r>
          </w:p>
        </w:tc>
      </w:tr>
      <w:tr>
        <w:trPr>
          <w:trHeight w:val="581"/>
        </w:trPr>
        <w:tc>
          <w:tcPr>
            <w:tcW w:w="5960" w:type="dxa"/>
            <w:vAlign w:val="bottom"/>
            <w:shd w:val="clear" w:color="auto" w:fill="E5EAF5"/>
          </w:tcPr>
          <w:p>
            <w:pPr>
              <w:ind w:left="880"/>
              <w:spacing w:after="0"/>
              <w:rPr>
                <w:sz w:val="20"/>
                <w:szCs w:val="20"/>
                <w:color w:val="auto"/>
              </w:rPr>
            </w:pPr>
            <w:r>
              <w:rPr>
                <w:rFonts w:ascii="Arial" w:cs="Arial" w:eastAsia="Arial" w:hAnsi="Arial"/>
                <w:sz w:val="18"/>
                <w:szCs w:val="18"/>
                <w:color w:val="auto"/>
              </w:rPr>
              <w:t>business turnarounds</w:t>
            </w:r>
          </w:p>
        </w:tc>
        <w:tc>
          <w:tcPr>
            <w:tcW w:w="5060" w:type="dxa"/>
            <w:vAlign w:val="bottom"/>
            <w:shd w:val="clear" w:color="auto" w:fill="E5EAF5"/>
          </w:tcPr>
          <w:p>
            <w:pPr>
              <w:ind w:left="540"/>
              <w:spacing w:after="0"/>
              <w:rPr>
                <w:sz w:val="20"/>
                <w:szCs w:val="20"/>
                <w:color w:val="auto"/>
              </w:rPr>
            </w:pPr>
            <w:r>
              <w:rPr>
                <w:rFonts w:ascii="Arial" w:cs="Arial" w:eastAsia="Arial" w:hAnsi="Arial"/>
                <w:sz w:val="18"/>
                <w:szCs w:val="18"/>
                <w:color w:val="auto"/>
              </w:rPr>
              <w:t>supply chain and procurement</w:t>
            </w:r>
          </w:p>
        </w:tc>
      </w:tr>
      <w:tr>
        <w:trPr>
          <w:trHeight w:val="581"/>
        </w:trPr>
        <w:tc>
          <w:tcPr>
            <w:tcW w:w="5960" w:type="dxa"/>
            <w:vAlign w:val="bottom"/>
            <w:shd w:val="clear" w:color="auto" w:fill="E5EAF5"/>
          </w:tcPr>
          <w:p>
            <w:pPr>
              <w:ind w:left="880"/>
              <w:spacing w:after="0"/>
              <w:rPr>
                <w:sz w:val="20"/>
                <w:szCs w:val="20"/>
                <w:color w:val="auto"/>
              </w:rPr>
            </w:pPr>
            <w:r>
              <w:rPr>
                <w:rFonts w:ascii="Arial" w:cs="Arial" w:eastAsia="Arial" w:hAnsi="Arial"/>
                <w:sz w:val="18"/>
                <w:szCs w:val="18"/>
                <w:color w:val="auto"/>
              </w:rPr>
              <w:t>financial services industry experience</w:t>
            </w:r>
          </w:p>
        </w:tc>
        <w:tc>
          <w:tcPr>
            <w:tcW w:w="5060" w:type="dxa"/>
            <w:vAlign w:val="bottom"/>
            <w:shd w:val="clear" w:color="auto" w:fill="E5EAF5"/>
          </w:tcPr>
          <w:p>
            <w:pPr>
              <w:ind w:left="540"/>
              <w:spacing w:after="0"/>
              <w:rPr>
                <w:sz w:val="20"/>
                <w:szCs w:val="20"/>
                <w:color w:val="auto"/>
              </w:rPr>
            </w:pPr>
            <w:r>
              <w:rPr>
                <w:rFonts w:ascii="Arial" w:cs="Arial" w:eastAsia="Arial" w:hAnsi="Arial"/>
                <w:sz w:val="18"/>
                <w:szCs w:val="18"/>
                <w:color w:val="auto"/>
              </w:rPr>
              <w:t>entrepreneurial experience</w:t>
            </w:r>
          </w:p>
        </w:tc>
      </w:tr>
      <w:tr>
        <w:trPr>
          <w:trHeight w:val="635"/>
        </w:trPr>
        <w:tc>
          <w:tcPr>
            <w:tcW w:w="5960" w:type="dxa"/>
            <w:vAlign w:val="bottom"/>
            <w:shd w:val="clear" w:color="auto" w:fill="E5EAF5"/>
          </w:tcPr>
          <w:p>
            <w:pPr>
              <w:ind w:left="880"/>
              <w:spacing w:after="0"/>
              <w:rPr>
                <w:sz w:val="20"/>
                <w:szCs w:val="20"/>
                <w:color w:val="auto"/>
              </w:rPr>
            </w:pPr>
            <w:r>
              <w:rPr>
                <w:rFonts w:ascii="Arial" w:cs="Arial" w:eastAsia="Arial" w:hAnsi="Arial"/>
                <w:sz w:val="18"/>
                <w:szCs w:val="18"/>
                <w:color w:val="auto"/>
              </w:rPr>
              <w:t>logistics services industry experience</w:t>
            </w:r>
          </w:p>
        </w:tc>
        <w:tc>
          <w:tcPr>
            <w:tcW w:w="5060" w:type="dxa"/>
            <w:vAlign w:val="bottom"/>
            <w:shd w:val="clear" w:color="auto" w:fill="E5EAF5"/>
          </w:tcPr>
          <w:p>
            <w:pPr>
              <w:ind w:left="540"/>
              <w:spacing w:after="0"/>
              <w:rPr>
                <w:sz w:val="20"/>
                <w:szCs w:val="20"/>
                <w:color w:val="auto"/>
              </w:rPr>
            </w:pPr>
            <w:r>
              <w:rPr>
                <w:rFonts w:ascii="Arial" w:cs="Arial" w:eastAsia="Arial" w:hAnsi="Arial"/>
                <w:sz w:val="18"/>
                <w:szCs w:val="18"/>
                <w:color w:val="auto"/>
              </w:rPr>
              <w:t>mergers and acquisitions</w:t>
            </w:r>
          </w:p>
        </w:tc>
      </w:tr>
      <w:tr>
        <w:trPr>
          <w:trHeight w:val="230"/>
        </w:trPr>
        <w:tc>
          <w:tcPr>
            <w:tcW w:w="5960" w:type="dxa"/>
            <w:vAlign w:val="bottom"/>
            <w:shd w:val="clear" w:color="auto" w:fill="E5EAF5"/>
          </w:tcPr>
          <w:p>
            <w:pPr>
              <w:spacing w:after="0"/>
              <w:rPr>
                <w:sz w:val="19"/>
                <w:szCs w:val="19"/>
                <w:color w:val="auto"/>
              </w:rPr>
            </w:pPr>
          </w:p>
        </w:tc>
        <w:tc>
          <w:tcPr>
            <w:tcW w:w="5060" w:type="dxa"/>
            <w:vAlign w:val="bottom"/>
            <w:shd w:val="clear" w:color="auto" w:fill="E5EAF5"/>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-3421380</wp:posOffset>
            </wp:positionV>
            <wp:extent cx="283210" cy="2832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83210" cy="283210"/>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-3421380</wp:posOffset>
            </wp:positionV>
            <wp:extent cx="283210" cy="2832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83210" cy="28321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-2992120</wp:posOffset>
            </wp:positionV>
            <wp:extent cx="283210" cy="2832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83210" cy="283210"/>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-3043555</wp:posOffset>
            </wp:positionV>
            <wp:extent cx="283210" cy="2832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83210" cy="28321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-2614930</wp:posOffset>
            </wp:positionV>
            <wp:extent cx="283210" cy="2832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83210" cy="283210"/>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-2614930</wp:posOffset>
            </wp:positionV>
            <wp:extent cx="283210" cy="2832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83210" cy="28321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-2245995</wp:posOffset>
            </wp:positionV>
            <wp:extent cx="283210" cy="2832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83210" cy="283210"/>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-2245995</wp:posOffset>
            </wp:positionV>
            <wp:extent cx="283210" cy="2832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83210" cy="28321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-1877695</wp:posOffset>
            </wp:positionV>
            <wp:extent cx="283210" cy="2832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83210" cy="283210"/>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-1877695</wp:posOffset>
            </wp:positionV>
            <wp:extent cx="283210" cy="2832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83210" cy="28321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-1508760</wp:posOffset>
            </wp:positionV>
            <wp:extent cx="283210" cy="2832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83210" cy="283210"/>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-1508760</wp:posOffset>
            </wp:positionV>
            <wp:extent cx="283210" cy="2832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83210" cy="28321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-1139825</wp:posOffset>
            </wp:positionV>
            <wp:extent cx="283210" cy="2832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83210" cy="283210"/>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-1139825</wp:posOffset>
            </wp:positionV>
            <wp:extent cx="283210" cy="2832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83210" cy="28321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-770890</wp:posOffset>
            </wp:positionV>
            <wp:extent cx="283210" cy="2832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83210" cy="283210"/>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-770890</wp:posOffset>
            </wp:positionV>
            <wp:extent cx="283210" cy="2832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83210" cy="28321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-351155</wp:posOffset>
            </wp:positionV>
            <wp:extent cx="283210" cy="2832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83210" cy="283210"/>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-402590</wp:posOffset>
            </wp:positionV>
            <wp:extent cx="283210" cy="2832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83210" cy="283210"/>
                    </a:xfrm>
                    <a:prstGeom prst="rect">
                      <a:avLst/>
                    </a:prstGeom>
                    <a:noFill/>
                  </pic:spPr>
                </pic:pic>
              </a:graphicData>
            </a:graphic>
          </wp:anchor>
        </w:drawing>
      </w:r>
    </w:p>
    <w:p>
      <w:pPr>
        <w:spacing w:after="0" w:line="87" w:lineRule="exact"/>
        <w:rPr>
          <w:sz w:val="20"/>
          <w:szCs w:val="20"/>
          <w:color w:val="auto"/>
        </w:rPr>
      </w:pPr>
    </w:p>
    <w:p>
      <w:pPr>
        <w:ind w:left="200" w:right="180"/>
        <w:spacing w:after="0" w:line="239" w:lineRule="auto"/>
        <w:rPr>
          <w:sz w:val="20"/>
          <w:szCs w:val="20"/>
          <w:color w:val="auto"/>
        </w:rPr>
      </w:pPr>
      <w:r>
        <w:rPr>
          <w:rFonts w:ascii="Arial" w:cs="Arial" w:eastAsia="Arial" w:hAnsi="Arial"/>
          <w:sz w:val="18"/>
          <w:szCs w:val="18"/>
          <w:color w:val="auto"/>
        </w:rPr>
        <w:t>When considering a director standing for re-election as a nominee, in addition to the attributes described above, the Corporate Governance Committee considers that individual’s past contribution and future commitment to the Company. The Corporate Governance Committee evaluates the totality of the merits of each prospective nominee that it considers and does not restrict itself by establishing minimum qualifications or attributes.</w:t>
      </w:r>
    </w:p>
    <w:p>
      <w:pPr>
        <w:spacing w:after="0" w:line="135" w:lineRule="exact"/>
        <w:rPr>
          <w:sz w:val="20"/>
          <w:szCs w:val="20"/>
          <w:color w:val="auto"/>
        </w:rPr>
      </w:pPr>
    </w:p>
    <w:tbl>
      <w:tblPr>
        <w:tblLayout w:type="fixed"/>
        <w:tblInd w:w="200" w:type="dxa"/>
        <w:tblCellMar>
          <w:top w:w="0" w:type="dxa"/>
          <w:left w:w="0" w:type="dxa"/>
          <w:bottom w:w="0" w:type="dxa"/>
          <w:right w:w="0" w:type="dxa"/>
        </w:tblCellMar>
      </w:tblPr>
      <w:tr>
        <w:trPr>
          <w:trHeight w:val="297"/>
        </w:trPr>
        <w:tc>
          <w:tcPr>
            <w:tcW w:w="360" w:type="dxa"/>
            <w:vAlign w:val="bottom"/>
            <w:tcBorders>
              <w:right w:val="single" w:sz="8" w:color="0033A0"/>
            </w:tcBorders>
          </w:tcPr>
          <w:p>
            <w:pPr>
              <w:jc w:val="right"/>
              <w:ind w:right="70"/>
              <w:spacing w:after="0"/>
              <w:rPr>
                <w:sz w:val="20"/>
                <w:szCs w:val="20"/>
                <w:color w:val="auto"/>
              </w:rPr>
            </w:pPr>
            <w:r>
              <w:rPr>
                <w:rFonts w:ascii="Arial" w:cs="Arial" w:eastAsia="Arial" w:hAnsi="Arial"/>
                <w:sz w:val="18"/>
                <w:szCs w:val="18"/>
                <w:b w:val="1"/>
                <w:bCs w:val="1"/>
                <w:color w:val="auto"/>
                <w:w w:val="89"/>
              </w:rPr>
              <w:t>18</w:t>
            </w:r>
          </w:p>
        </w:tc>
        <w:tc>
          <w:tcPr>
            <w:tcW w:w="3380" w:type="dxa"/>
            <w:vAlign w:val="bottom"/>
          </w:tcPr>
          <w:p>
            <w:pPr>
              <w:ind w:left="1600"/>
              <w:spacing w:after="0"/>
              <w:rPr>
                <w:sz w:val="20"/>
                <w:szCs w:val="20"/>
                <w:color w:val="auto"/>
              </w:rPr>
            </w:pPr>
            <w:r>
              <w:rPr>
                <w:rFonts w:ascii="Arial" w:cs="Arial" w:eastAsia="Arial" w:hAnsi="Arial"/>
                <w:sz w:val="18"/>
                <w:szCs w:val="18"/>
                <w:i w:val="1"/>
                <w:iCs w:val="1"/>
                <w:color w:val="auto"/>
                <w:w w:val="98"/>
              </w:rPr>
              <w:t>2019 Proxy Statement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-170815</wp:posOffset>
            </wp:positionV>
            <wp:extent cx="720090" cy="1289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0090" cy="12890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6800"/>
        <w:spacing w:after="0"/>
        <w:rPr>
          <w:sz w:val="20"/>
          <w:szCs w:val="20"/>
          <w:color w:val="auto"/>
        </w:rPr>
      </w:pPr>
      <w:r>
        <w:rPr>
          <w:rFonts w:ascii="Arial" w:cs="Arial" w:eastAsia="Arial" w:hAnsi="Arial"/>
          <w:sz w:val="19"/>
          <w:szCs w:val="19"/>
          <w:b w:val="1"/>
          <w:bCs w:val="1"/>
          <w:color w:val="0033A0"/>
        </w:rPr>
        <w:t>PROPOSAL NO. 1—ELECTION OF DIRECTORS</w:t>
      </w:r>
    </w:p>
    <w:p>
      <w:pPr>
        <w:spacing w:after="0" w:line="151"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NOMINEES FOR ELECTION AS DIRECTORS FOR A ONE-YEAR TERM EXPIRING IN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166370</wp:posOffset>
            </wp:positionV>
            <wp:extent cx="969010" cy="10293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969010" cy="102933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0033A0"/>
        </w:rPr>
        <w:t>PAUL G. BOYNTON Age: 54</w:t>
      </w:r>
    </w:p>
    <w:p>
      <w:pPr>
        <w:spacing w:after="0" w:line="32"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Director since: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1539875</wp:posOffset>
            </wp:positionH>
            <wp:positionV relativeFrom="paragraph">
              <wp:posOffset>-130810</wp:posOffset>
            </wp:positionV>
            <wp:extent cx="559117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591175" cy="8890"/>
                    </a:xfrm>
                    <a:prstGeom prst="rect">
                      <a:avLst/>
                    </a:prstGeom>
                    <a:noFill/>
                  </pic:spPr>
                </pic:pic>
              </a:graphicData>
            </a:graphic>
          </wp:anchor>
        </w:drawing>
      </w:r>
    </w:p>
    <w:p>
      <w:pPr>
        <w:spacing w:after="0" w:line="88"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Audit Committee</w:t>
      </w:r>
    </w:p>
    <w:p>
      <w:pPr>
        <w:spacing w:after="0" w:line="18"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Finance Committee (Chair)</w:t>
      </w:r>
    </w:p>
    <w:p>
      <w:pPr>
        <w:spacing w:after="0" w:line="200" w:lineRule="exact"/>
        <w:rPr>
          <w:sz w:val="20"/>
          <w:szCs w:val="20"/>
          <w:color w:val="auto"/>
        </w:rPr>
      </w:pPr>
    </w:p>
    <w:p>
      <w:pPr>
        <w:spacing w:after="0" w:line="363"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Mr. Boynton has served as the Chairman, President and Chief Executive Officer of Rayonier Advanced Materials Inc. (a global producer of high-value cellulose fibers, packaging materials and forest products) since June 2014. Mr. Boynton previously served as President and Chief Executive Officer of Rayonier Inc. from January 2012 through June 2014, Chairman from May 2012 through June 2014, and President and Chief Operating Officer from 2010 to 2011. Mr. Boynton is also a member of the Board of Governors and its Executive Committee of the National Council for Air and Stream Improvement, a member of the Board of Directors of the National Association of Manufacturers and a member of the Board of Directors of the Federal Reserve Bank of Atlanta’s Jacksonville Branch. During the past five years, Mr. Boynton has also served as a director of Rayonier Inc. Mr. Boynton brings to the Board executive-level experience in the areas of international business operations, strategic business development and planning and finance, developed through his roles at Rayonier Advanced Materials Inc. and Rayonier Inc. He also contributes his significant expertise in risk management, sales and marketing, consumer sales and service and customer relations.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174625</wp:posOffset>
            </wp:positionV>
            <wp:extent cx="6997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354965</wp:posOffset>
            </wp:positionV>
            <wp:extent cx="969010" cy="10293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969010" cy="1029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0033A0"/>
        </w:rPr>
        <w:t>IAN D. CLOUGH Age: 52</w:t>
      </w:r>
    </w:p>
    <w:p>
      <w:pPr>
        <w:spacing w:after="0" w:line="32"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Director Since: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1539875</wp:posOffset>
            </wp:positionH>
            <wp:positionV relativeFrom="paragraph">
              <wp:posOffset>-130810</wp:posOffset>
            </wp:positionV>
            <wp:extent cx="559117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591175" cy="8890"/>
                    </a:xfrm>
                    <a:prstGeom prst="rect">
                      <a:avLst/>
                    </a:prstGeom>
                    <a:noFill/>
                  </pic:spPr>
                </pic:pic>
              </a:graphicData>
            </a:graphic>
          </wp:anchor>
        </w:drawing>
      </w:r>
    </w:p>
    <w:p>
      <w:pPr>
        <w:spacing w:after="0" w:line="88"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Audit Committee</w:t>
      </w:r>
    </w:p>
    <w:p>
      <w:pPr>
        <w:spacing w:after="0" w:line="18"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Finance Committee</w:t>
      </w:r>
    </w:p>
    <w:p>
      <w:pPr>
        <w:spacing w:after="0" w:line="200" w:lineRule="exact"/>
        <w:rPr>
          <w:sz w:val="20"/>
          <w:szCs w:val="20"/>
          <w:color w:val="auto"/>
        </w:rPr>
      </w:pPr>
    </w:p>
    <w:p>
      <w:pPr>
        <w:spacing w:after="0" w:line="363" w:lineRule="exact"/>
        <w:rPr>
          <w:sz w:val="20"/>
          <w:szCs w:val="20"/>
          <w:color w:val="auto"/>
        </w:rPr>
      </w:pPr>
    </w:p>
    <w:p>
      <w:pPr>
        <w:ind w:left="200" w:right="20"/>
        <w:spacing w:after="0" w:line="237" w:lineRule="auto"/>
        <w:rPr>
          <w:sz w:val="20"/>
          <w:szCs w:val="20"/>
          <w:color w:val="auto"/>
        </w:rPr>
      </w:pPr>
      <w:r>
        <w:rPr>
          <w:rFonts w:ascii="Arial" w:cs="Arial" w:eastAsia="Arial" w:hAnsi="Arial"/>
          <w:sz w:val="18"/>
          <w:szCs w:val="18"/>
          <w:color w:val="auto"/>
        </w:rPr>
        <w:t>Mr. Clough has served as the Managing Director, Network, Logistics and Transport at DHL Supply Chain since June 2018. From May 2016 to June 2018, he was an independent management consultant. He previously served as Managing Director of International Europe for TNT Express N.V. (a Netherlands-based international courier delivery services company) from April 2014 to May 2016 and also served as a Member of the company’s Management Board during that time. Previously, Mr. Clough served as Chief Executive Officer of DHL Express (USA), part of the Deutsche Post DHL Group from 2009 to 2014. Mr. Clough has experience in general management as well as in leading business turnarounds. He also brings to the Board deep transportation and logistics industry insight and knowledge as well as experience in leading international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172720</wp:posOffset>
            </wp:positionV>
            <wp:extent cx="6997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tbl>
      <w:tblPr>
        <w:tblLayout w:type="fixed"/>
        <w:tblInd w:w="8820" w:type="dxa"/>
        <w:tblCellMar>
          <w:top w:w="0" w:type="dxa"/>
          <w:left w:w="0" w:type="dxa"/>
          <w:bottom w:w="0" w:type="dxa"/>
          <w:right w:w="0" w:type="dxa"/>
        </w:tblCellMar>
      </w:tblPr>
      <w:tr>
        <w:trPr>
          <w:trHeight w:val="297"/>
        </w:trPr>
        <w:tc>
          <w:tcPr>
            <w:tcW w:w="1900" w:type="dxa"/>
            <w:vAlign w:val="bottom"/>
            <w:tcBorders>
              <w:right w:val="single" w:sz="8" w:color="0033A0"/>
            </w:tcBorders>
          </w:tcPr>
          <w:p>
            <w:pPr>
              <w:spacing w:after="0"/>
              <w:rPr>
                <w:sz w:val="20"/>
                <w:szCs w:val="20"/>
                <w:color w:val="auto"/>
              </w:rPr>
            </w:pPr>
            <w:r>
              <w:rPr>
                <w:rFonts w:ascii="Arial" w:cs="Arial" w:eastAsia="Arial" w:hAnsi="Arial"/>
                <w:sz w:val="18"/>
                <w:szCs w:val="18"/>
                <w:i w:val="1"/>
                <w:iCs w:val="1"/>
                <w:color w:val="auto"/>
              </w:rPr>
              <w:t>2019 Proxy Statement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-170815</wp:posOffset>
            </wp:positionV>
            <wp:extent cx="720090" cy="1289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0090" cy="12890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0033A0"/>
        </w:rPr>
        <w:t>The Brink’s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257175</wp:posOffset>
            </wp:positionV>
            <wp:extent cx="969010" cy="10293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969010" cy="102933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0033A0"/>
        </w:rPr>
        <w:t>SUSAN E. DOCHERTY Age: 56</w:t>
      </w:r>
    </w:p>
    <w:p>
      <w:pPr>
        <w:spacing w:after="0" w:line="32"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Director since: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1539875</wp:posOffset>
            </wp:positionH>
            <wp:positionV relativeFrom="paragraph">
              <wp:posOffset>-130810</wp:posOffset>
            </wp:positionV>
            <wp:extent cx="559117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591175" cy="8890"/>
                    </a:xfrm>
                    <a:prstGeom prst="rect">
                      <a:avLst/>
                    </a:prstGeom>
                    <a:noFill/>
                  </pic:spPr>
                </pic:pic>
              </a:graphicData>
            </a:graphic>
          </wp:anchor>
        </w:drawing>
      </w:r>
    </w:p>
    <w:p>
      <w:pPr>
        <w:spacing w:after="0" w:line="88"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Compensation Committee (Chair)</w:t>
      </w:r>
    </w:p>
    <w:p>
      <w:pPr>
        <w:spacing w:after="0" w:line="18"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Finance Committee</w:t>
      </w:r>
    </w:p>
    <w:p>
      <w:pPr>
        <w:spacing w:after="0" w:line="200" w:lineRule="exact"/>
        <w:rPr>
          <w:sz w:val="20"/>
          <w:szCs w:val="20"/>
          <w:color w:val="auto"/>
        </w:rPr>
      </w:pPr>
    </w:p>
    <w:p>
      <w:pPr>
        <w:spacing w:after="0" w:line="363" w:lineRule="exact"/>
        <w:rPr>
          <w:sz w:val="20"/>
          <w:szCs w:val="20"/>
          <w:color w:val="auto"/>
        </w:rPr>
      </w:pPr>
    </w:p>
    <w:p>
      <w:pPr>
        <w:ind w:left="200" w:right="120"/>
        <w:spacing w:after="0" w:line="236" w:lineRule="auto"/>
        <w:rPr>
          <w:sz w:val="20"/>
          <w:szCs w:val="20"/>
          <w:color w:val="auto"/>
        </w:rPr>
      </w:pPr>
      <w:r>
        <w:rPr>
          <w:rFonts w:ascii="Arial" w:cs="Arial" w:eastAsia="Arial" w:hAnsi="Arial"/>
          <w:sz w:val="18"/>
          <w:szCs w:val="18"/>
          <w:color w:val="auto"/>
        </w:rPr>
        <w:t>Ms. Docherty has served as the Chief Executive Officer of Canyon Ranch, a company that promotes healthy living and provides luxury spa vacations on land and at sea, since May 2015. Previously, Ms. Docherty was the General Motors Vice President with profit and loss and operating responsibility as President and Managing Director for Chevrolet and Cadillac Europe, General Motors Company (an automobile manufacturing company), having served in this position from December 2011 through September 2013. Ms. Docherty previously served as General Motors Company’s Vice President of International Operations Sales, Marketing and Aftersales from 2010 to 2011 and Vice President U.S. Sales, Service and Marketing from 2009 to 2010. In these roles, Ms. Docherty developed executive-level experience in international business operations, technology, strategic planning, business transformation, regulatory matters and talent management, as well as significant experience in consumer sales and marketing, which benefit the Brink’s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175895</wp:posOffset>
            </wp:positionV>
            <wp:extent cx="6997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355600</wp:posOffset>
            </wp:positionV>
            <wp:extent cx="969010" cy="10293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969010" cy="1029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0033A0"/>
        </w:rPr>
        <w:t>REGINALD D. HEDGEBETH Age: 51</w:t>
      </w:r>
    </w:p>
    <w:p>
      <w:pPr>
        <w:spacing w:after="0" w:line="32"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Director since: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1539875</wp:posOffset>
            </wp:positionH>
            <wp:positionV relativeFrom="paragraph">
              <wp:posOffset>-130810</wp:posOffset>
            </wp:positionV>
            <wp:extent cx="559117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591175" cy="8890"/>
                    </a:xfrm>
                    <a:prstGeom prst="rect">
                      <a:avLst/>
                    </a:prstGeom>
                    <a:noFill/>
                  </pic:spPr>
                </pic:pic>
              </a:graphicData>
            </a:graphic>
          </wp:anchor>
        </w:drawing>
      </w:r>
    </w:p>
    <w:p>
      <w:pPr>
        <w:spacing w:after="0" w:line="88"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Audit Committee (Chair)</w:t>
      </w:r>
    </w:p>
    <w:p>
      <w:pPr>
        <w:spacing w:after="0" w:line="18"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Corporate Governance Committee</w:t>
      </w:r>
    </w:p>
    <w:p>
      <w:pPr>
        <w:spacing w:after="0" w:line="200" w:lineRule="exact"/>
        <w:rPr>
          <w:sz w:val="20"/>
          <w:szCs w:val="20"/>
          <w:color w:val="auto"/>
        </w:rPr>
      </w:pPr>
    </w:p>
    <w:p>
      <w:pPr>
        <w:spacing w:after="0" w:line="363" w:lineRule="exact"/>
        <w:rPr>
          <w:sz w:val="20"/>
          <w:szCs w:val="20"/>
          <w:color w:val="auto"/>
        </w:rPr>
      </w:pPr>
    </w:p>
    <w:p>
      <w:pPr>
        <w:ind w:left="200" w:right="120"/>
        <w:spacing w:after="0" w:line="234" w:lineRule="auto"/>
        <w:rPr>
          <w:sz w:val="20"/>
          <w:szCs w:val="20"/>
          <w:color w:val="auto"/>
        </w:rPr>
      </w:pPr>
      <w:r>
        <w:rPr>
          <w:rFonts w:ascii="Arial" w:cs="Arial" w:eastAsia="Arial" w:hAnsi="Arial"/>
          <w:sz w:val="18"/>
          <w:szCs w:val="18"/>
          <w:color w:val="auto"/>
        </w:rPr>
        <w:t>Mr. Hedgebeth has served as the Senior Vice President, General Counsel and Secretary of Marathon Oil Corporation (an independent global exploration and production company), since April 2017. Mr. Hedgebeth previously served as the General Counsel, Corporate Secretary and Chief Ethics &amp; Compliance Officer of Spectra Energy Corp (a natural gas, liquids and crude oil infrastructure company with gathering and processing, transmission, storage and distribution operations throughout North America) from 2009 to March 2017.</w:t>
      </w:r>
    </w:p>
    <w:p>
      <w:pPr>
        <w:spacing w:after="0" w:line="3"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Mr. Hedgebeth also served as General Counsel for Spectra Energy Partners, LP (a Delaware Master Limited Partnership formed by Spectra Energy Corp to own and operate natural gas, liquids and oil transportation and storage assets) from 2014 to March 2017. From 2005 to 2009, he served as Senior Vice President, General Counsel and Secretary of Circuit City Stores, Inc. Mr. Hedgebeth brings to the Board his extensive experience in legal and compliance matters, including securities, corporate governance, ethics, business development and financing, intellectual property and government regulatory matters. He also contributes executive-level experience in government relations and advocacy, internal controls, strategy, supply chain and procurement, risk management and corporate restructuring developed through his work for Marathon Oil Corporation, Spectra Energy Corp and Circuit City Stores,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172720</wp:posOffset>
            </wp:positionV>
            <wp:extent cx="6997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tbl>
      <w:tblPr>
        <w:tblLayout w:type="fixed"/>
        <w:tblInd w:w="200" w:type="dxa"/>
        <w:tblCellMar>
          <w:top w:w="0" w:type="dxa"/>
          <w:left w:w="0" w:type="dxa"/>
          <w:bottom w:w="0" w:type="dxa"/>
          <w:right w:w="0" w:type="dxa"/>
        </w:tblCellMar>
      </w:tblPr>
      <w:tr>
        <w:trPr>
          <w:trHeight w:val="297"/>
        </w:trPr>
        <w:tc>
          <w:tcPr>
            <w:tcW w:w="360" w:type="dxa"/>
            <w:vAlign w:val="bottom"/>
            <w:tcBorders>
              <w:right w:val="single" w:sz="8" w:color="0033A0"/>
            </w:tcBorders>
          </w:tcPr>
          <w:p>
            <w:pPr>
              <w:jc w:val="right"/>
              <w:ind w:right="70"/>
              <w:spacing w:after="0"/>
              <w:rPr>
                <w:sz w:val="20"/>
                <w:szCs w:val="20"/>
                <w:color w:val="auto"/>
              </w:rPr>
            </w:pPr>
            <w:r>
              <w:rPr>
                <w:rFonts w:ascii="Arial" w:cs="Arial" w:eastAsia="Arial" w:hAnsi="Arial"/>
                <w:sz w:val="18"/>
                <w:szCs w:val="18"/>
                <w:b w:val="1"/>
                <w:bCs w:val="1"/>
                <w:color w:val="auto"/>
                <w:w w:val="89"/>
              </w:rPr>
              <w:t>20</w:t>
            </w:r>
          </w:p>
        </w:tc>
        <w:tc>
          <w:tcPr>
            <w:tcW w:w="3380" w:type="dxa"/>
            <w:vAlign w:val="bottom"/>
          </w:tcPr>
          <w:p>
            <w:pPr>
              <w:ind w:left="1600"/>
              <w:spacing w:after="0"/>
              <w:rPr>
                <w:sz w:val="20"/>
                <w:szCs w:val="20"/>
                <w:color w:val="auto"/>
              </w:rPr>
            </w:pPr>
            <w:r>
              <w:rPr>
                <w:rFonts w:ascii="Arial" w:cs="Arial" w:eastAsia="Arial" w:hAnsi="Arial"/>
                <w:sz w:val="18"/>
                <w:szCs w:val="18"/>
                <w:i w:val="1"/>
                <w:iCs w:val="1"/>
                <w:color w:val="auto"/>
                <w:w w:val="98"/>
              </w:rPr>
              <w:t>2019 Proxy Statement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-170815</wp:posOffset>
            </wp:positionV>
            <wp:extent cx="720090" cy="1289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0090" cy="12890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0033A0"/>
        </w:rPr>
        <w:t>PROPOSAL NO. 1—ELECTION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257175</wp:posOffset>
            </wp:positionV>
            <wp:extent cx="969010" cy="10293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969010" cy="102933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0033A0"/>
        </w:rPr>
        <w:t>DAN R. HENRY Age: 53</w:t>
      </w:r>
    </w:p>
    <w:p>
      <w:pPr>
        <w:spacing w:after="0" w:line="32"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Director since: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1539875</wp:posOffset>
            </wp:positionH>
            <wp:positionV relativeFrom="paragraph">
              <wp:posOffset>-130810</wp:posOffset>
            </wp:positionV>
            <wp:extent cx="559117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591175" cy="8890"/>
                    </a:xfrm>
                    <a:prstGeom prst="rect">
                      <a:avLst/>
                    </a:prstGeom>
                    <a:noFill/>
                  </pic:spPr>
                </pic:pic>
              </a:graphicData>
            </a:graphic>
          </wp:anchor>
        </w:drawing>
      </w:r>
    </w:p>
    <w:p>
      <w:pPr>
        <w:spacing w:after="0" w:line="88"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Compensation Committee</w:t>
      </w:r>
    </w:p>
    <w:p>
      <w:pPr>
        <w:spacing w:after="0" w:line="18"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Finance Committee</w:t>
      </w:r>
    </w:p>
    <w:p>
      <w:pPr>
        <w:spacing w:after="0" w:line="200" w:lineRule="exact"/>
        <w:rPr>
          <w:sz w:val="20"/>
          <w:szCs w:val="20"/>
          <w:color w:val="auto"/>
        </w:rPr>
      </w:pPr>
    </w:p>
    <w:p>
      <w:pPr>
        <w:spacing w:after="0" w:line="363"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Mr. Henry has been a private investor and advisor since 2014 and previously served as Chief Executive Officer of NetSpend, a leading provider of prepaid debit cards for personal &amp; commercial use, from 2008 to 2014. Prior to that, he served as president and chief operating officer of Euronet, a global leader in processing secure electronic financial transactions from 1994 to 2006. He was also a co-founder of Euronet and served on its board until January 2008. Mr. Henry currently serves on the Board of Directors of 3PEA International (a payment solution provider) and is a member of the Board of Directors of a number of privately held companies, including Balance Innovations, Rx Savings Solutions, card.com, Dama Financial, and Align Income Share Funding, in the payments and technology industries. Mr. Henry is a seasoned financial services industry entrepreneur who brings valuable senior leadership experience and insight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175895</wp:posOffset>
            </wp:positionV>
            <wp:extent cx="6997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355600</wp:posOffset>
            </wp:positionV>
            <wp:extent cx="969010" cy="10293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969010" cy="1029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0033A0"/>
        </w:rPr>
        <w:t>MICHAEL J. HERLING Age: 61</w:t>
      </w:r>
    </w:p>
    <w:p>
      <w:pPr>
        <w:spacing w:after="0" w:line="32"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Director since: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1539875</wp:posOffset>
            </wp:positionH>
            <wp:positionV relativeFrom="paragraph">
              <wp:posOffset>-130810</wp:posOffset>
            </wp:positionV>
            <wp:extent cx="559117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591175" cy="8890"/>
                    </a:xfrm>
                    <a:prstGeom prst="rect">
                      <a:avLst/>
                    </a:prstGeom>
                    <a:noFill/>
                  </pic:spPr>
                </pic:pic>
              </a:graphicData>
            </a:graphic>
          </wp:anchor>
        </w:drawing>
      </w:r>
    </w:p>
    <w:p>
      <w:pPr>
        <w:ind w:left="2420"/>
        <w:spacing w:after="0"/>
        <w:rPr>
          <w:sz w:val="20"/>
          <w:szCs w:val="20"/>
          <w:color w:val="auto"/>
        </w:rPr>
      </w:pPr>
      <w:r>
        <w:rPr>
          <w:rFonts w:ascii="Arial" w:cs="Arial" w:eastAsia="Arial" w:hAnsi="Arial"/>
          <w:sz w:val="18"/>
          <w:szCs w:val="18"/>
          <w:b w:val="1"/>
          <w:bCs w:val="1"/>
          <w:color w:val="auto"/>
        </w:rPr>
        <w:t>Chairman of the Board</w:t>
      </w:r>
    </w:p>
    <w:p>
      <w:pPr>
        <w:spacing w:after="0" w:line="95"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Compensation Committee</w:t>
      </w:r>
    </w:p>
    <w:p>
      <w:pPr>
        <w:spacing w:after="0" w:line="18"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Corporate Governance Committee</w:t>
      </w:r>
    </w:p>
    <w:p>
      <w:pPr>
        <w:spacing w:after="0" w:line="360"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Mr. Herling is a founding partner of Finn Dixon &amp; Herling LLP (a law firm that provides corporate, transactional, securities, investment management, lending, tax, executive compensation and benefits and litigation counsel). He has held that position since 1987. He currently serves as a member of the Board of Directors of the Board of Trustees of Colgate University. During the past five years, he has served as a director of DynaVox Inc. The Board benefits from Mr. Herling’s entrepreneurial experience as a founding partner of Finn Dixon &amp; Herling and his extensive legal experience representing corporate and institutional clients and their boards of directors with a focus on strategic initiatives and complex transactions such as mergers and acquisitions, securities offerings and financings. Through his varied Board experience, Mr. Herling has gained experience and knowledge in corporate governance and compliance, risk oversight, audit, succession planning and executive compensation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175895</wp:posOffset>
            </wp:positionV>
            <wp:extent cx="6997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tbl>
      <w:tblPr>
        <w:tblLayout w:type="fixed"/>
        <w:tblInd w:w="8820" w:type="dxa"/>
        <w:tblCellMar>
          <w:top w:w="0" w:type="dxa"/>
          <w:left w:w="0" w:type="dxa"/>
          <w:bottom w:w="0" w:type="dxa"/>
          <w:right w:w="0" w:type="dxa"/>
        </w:tblCellMar>
      </w:tblPr>
      <w:tr>
        <w:trPr>
          <w:trHeight w:val="297"/>
        </w:trPr>
        <w:tc>
          <w:tcPr>
            <w:tcW w:w="1900" w:type="dxa"/>
            <w:vAlign w:val="bottom"/>
            <w:tcBorders>
              <w:right w:val="single" w:sz="8" w:color="0033A0"/>
            </w:tcBorders>
          </w:tcPr>
          <w:p>
            <w:pPr>
              <w:spacing w:after="0"/>
              <w:rPr>
                <w:sz w:val="20"/>
                <w:szCs w:val="20"/>
                <w:color w:val="auto"/>
              </w:rPr>
            </w:pPr>
            <w:r>
              <w:rPr>
                <w:rFonts w:ascii="Arial" w:cs="Arial" w:eastAsia="Arial" w:hAnsi="Arial"/>
                <w:sz w:val="18"/>
                <w:szCs w:val="18"/>
                <w:i w:val="1"/>
                <w:iCs w:val="1"/>
                <w:color w:val="auto"/>
              </w:rPr>
              <w:t>2019 Proxy Statement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-170815</wp:posOffset>
            </wp:positionV>
            <wp:extent cx="720090" cy="1289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0090" cy="12890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0033A0"/>
        </w:rPr>
        <w:t>The Brink’s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257175</wp:posOffset>
            </wp:positionV>
            <wp:extent cx="969010" cy="10293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969010" cy="102933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0033A0"/>
        </w:rPr>
        <w:t>DOUGLAS A. PERTZ Age: 64</w:t>
      </w:r>
    </w:p>
    <w:p>
      <w:pPr>
        <w:spacing w:after="0" w:line="32"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Director since: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1539875</wp:posOffset>
            </wp:positionH>
            <wp:positionV relativeFrom="paragraph">
              <wp:posOffset>-130810</wp:posOffset>
            </wp:positionV>
            <wp:extent cx="559117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5911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00" w:right="120"/>
        <w:spacing w:after="0" w:line="236" w:lineRule="auto"/>
        <w:rPr>
          <w:sz w:val="20"/>
          <w:szCs w:val="20"/>
          <w:color w:val="auto"/>
        </w:rPr>
      </w:pPr>
      <w:r>
        <w:rPr>
          <w:rFonts w:ascii="Arial" w:cs="Arial" w:eastAsia="Arial" w:hAnsi="Arial"/>
          <w:sz w:val="18"/>
          <w:szCs w:val="18"/>
          <w:color w:val="auto"/>
        </w:rPr>
        <w:t>Douglas A. Pertz has served as the President and Chief Executive Officer and a director of The Brink’s Company since June 2016. From April 2013 to May 2016, Mr. Pertz was the President and Chief Executive Officer and a director of Recall Holdings Limited (a global provider of digital and physical information management and security services) and from 2011 to 2013, was a partner with Bolder Capital, LLC (a private equity firm specializing in acquisitions and investments in middle market companies). Prior to 2011, Mr. Pertz also held positions of President, Chief Executive Officer and Chairman of the Board of IMC Global (now Mosaic Company) and Culligan Water Technologies. He currently serves as a member of the Boad of Directors of Advance Auto Parts, Inc. (an automotive aftermarket parts provider). During the past five years, Mr. Pertz served on the Board of Directors of Recall Holdings Limited. Mr. Pertz brings to the Board significant chief executive officer experience, including leadership of large, multinational companies and expertise in the areas of finance, mergers, acquisitions and divestitures, developed during his tenure at several investment firms and operating companies. His operational expertise in the areas of secure storage, business-to-business services and branch-based, route-based logistics companies are highly valuable to the Brink’s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173990</wp:posOffset>
            </wp:positionV>
            <wp:extent cx="6997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354330</wp:posOffset>
            </wp:positionV>
            <wp:extent cx="969010" cy="10293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969010" cy="1029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0033A0"/>
        </w:rPr>
        <w:t>GEORGE I. STOECKERT Age: 70</w:t>
      </w:r>
    </w:p>
    <w:p>
      <w:pPr>
        <w:spacing w:after="0" w:line="32"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Director Since: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1539875</wp:posOffset>
            </wp:positionH>
            <wp:positionV relativeFrom="paragraph">
              <wp:posOffset>-130810</wp:posOffset>
            </wp:positionV>
            <wp:extent cx="559117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591175" cy="8890"/>
                    </a:xfrm>
                    <a:prstGeom prst="rect">
                      <a:avLst/>
                    </a:prstGeom>
                    <a:noFill/>
                  </pic:spPr>
                </pic:pic>
              </a:graphicData>
            </a:graphic>
          </wp:anchor>
        </w:drawing>
      </w:r>
    </w:p>
    <w:p>
      <w:pPr>
        <w:spacing w:after="0" w:line="88"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Audit Committee</w:t>
      </w:r>
    </w:p>
    <w:p>
      <w:pPr>
        <w:spacing w:after="0" w:line="13"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Corporate Governance Committee (Chair)</w:t>
      </w:r>
    </w:p>
    <w:p>
      <w:pPr>
        <w:ind w:left="2420"/>
        <w:spacing w:after="0"/>
        <w:rPr>
          <w:sz w:val="20"/>
          <w:szCs w:val="20"/>
          <w:color w:val="auto"/>
        </w:rPr>
      </w:pPr>
      <w:r>
        <w:rPr>
          <w:rFonts w:ascii="Arial" w:cs="Arial" w:eastAsia="Arial" w:hAnsi="Arial"/>
          <w:sz w:val="18"/>
          <w:szCs w:val="18"/>
          <w:b w:val="1"/>
          <w:bCs w:val="1"/>
          <w:color w:val="auto"/>
        </w:rPr>
        <w:t>Finance Committee</w:t>
      </w:r>
    </w:p>
    <w:p>
      <w:pPr>
        <w:spacing w:after="0" w:line="360"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Mr. Stoeckert has been a private investor and advisor since 2011. He served as Interim President and Chief Executive Officer of The Brink’s Company from May 2016 to June 2016, and previously served as President of North America and Internet Solutions at Dun &amp; Bradstreet from 2009 to 2011. Prior to that, he held various senior leadership positions at Automatic Data Processing, Inc. (“ADP”), including President of Employer Services International and President of the Major Accounts Services Division. Before joining ADP, Mr. Stoeckert served as President of the Insurance Management Services Division at Ryder System, Inc. Mr. Stoeckert currently serves on the Board of Directors of Theragenics, Inc. (a medical device company) and as an advisor to Bridge Growth Partners LLC (a private equity firm). During the past five years, Mr. Stoeckert has also served as a director of Onvia, Inc. (a business intelligence company), and Capital Re Corporation (a financial guarantee company). Mr. Stoeckert has a broad domestic and international business background, including strategic planning, finance, technology and operational expertise, and brings to the Board significant related-industry experience from his leadership roles at ADP and Ryder System,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174625</wp:posOffset>
            </wp:positionV>
            <wp:extent cx="6997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1419860</wp:posOffset>
            </wp:positionH>
            <wp:positionV relativeFrom="paragraph">
              <wp:posOffset>594995</wp:posOffset>
            </wp:positionV>
            <wp:extent cx="441642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4164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0033A0"/>
        </w:rPr>
        <w:t>THE BOARD OF DIRECTORS RECOMMENDS THAT</w:t>
      </w:r>
    </w:p>
    <w:p>
      <w:pPr>
        <w:spacing w:after="0" w:line="1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0033A0"/>
        </w:rPr>
        <w:t>THE SHAREHOLDERS VOTE FOR THE EIGHT</w:t>
      </w:r>
    </w:p>
    <w:p>
      <w:pPr>
        <w:jc w:val="center"/>
        <w:ind w:right="-199"/>
        <w:spacing w:after="0" w:line="234" w:lineRule="auto"/>
        <w:rPr>
          <w:sz w:val="20"/>
          <w:szCs w:val="20"/>
          <w:color w:val="auto"/>
        </w:rPr>
      </w:pPr>
      <w:r>
        <w:rPr>
          <w:rFonts w:ascii="Arial" w:cs="Arial" w:eastAsia="Arial" w:hAnsi="Arial"/>
          <w:sz w:val="18"/>
          <w:szCs w:val="18"/>
          <w:b w:val="1"/>
          <w:bCs w:val="1"/>
          <w:color w:val="0033A0"/>
        </w:rPr>
        <w:t>NOMINEES NAMED IN THIS PROXY STATEMENT</w:t>
      </w:r>
    </w:p>
    <w:p>
      <w:pPr>
        <w:spacing w:after="0" w:line="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0033A0"/>
        </w:rPr>
        <w:t>FOR ELECTION AS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1419860</wp:posOffset>
            </wp:positionH>
            <wp:positionV relativeFrom="paragraph">
              <wp:posOffset>143510</wp:posOffset>
            </wp:positionV>
            <wp:extent cx="441642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416425"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tbl>
      <w:tblPr>
        <w:tblLayout w:type="fixed"/>
        <w:tblInd w:w="200" w:type="dxa"/>
        <w:tblCellMar>
          <w:top w:w="0" w:type="dxa"/>
          <w:left w:w="0" w:type="dxa"/>
          <w:bottom w:w="0" w:type="dxa"/>
          <w:right w:w="0" w:type="dxa"/>
        </w:tblCellMar>
      </w:tblPr>
      <w:tr>
        <w:trPr>
          <w:trHeight w:val="297"/>
        </w:trPr>
        <w:tc>
          <w:tcPr>
            <w:tcW w:w="360" w:type="dxa"/>
            <w:vAlign w:val="bottom"/>
            <w:tcBorders>
              <w:right w:val="single" w:sz="8" w:color="0033A0"/>
            </w:tcBorders>
          </w:tcPr>
          <w:p>
            <w:pPr>
              <w:jc w:val="right"/>
              <w:ind w:right="70"/>
              <w:spacing w:after="0"/>
              <w:rPr>
                <w:sz w:val="20"/>
                <w:szCs w:val="20"/>
                <w:color w:val="auto"/>
              </w:rPr>
            </w:pPr>
            <w:r>
              <w:rPr>
                <w:rFonts w:ascii="Arial" w:cs="Arial" w:eastAsia="Arial" w:hAnsi="Arial"/>
                <w:sz w:val="18"/>
                <w:szCs w:val="18"/>
                <w:b w:val="1"/>
                <w:bCs w:val="1"/>
                <w:color w:val="auto"/>
                <w:w w:val="89"/>
              </w:rPr>
              <w:t>22</w:t>
            </w:r>
          </w:p>
        </w:tc>
        <w:tc>
          <w:tcPr>
            <w:tcW w:w="3380" w:type="dxa"/>
            <w:vAlign w:val="bottom"/>
          </w:tcPr>
          <w:p>
            <w:pPr>
              <w:ind w:left="1600"/>
              <w:spacing w:after="0"/>
              <w:rPr>
                <w:sz w:val="20"/>
                <w:szCs w:val="20"/>
                <w:color w:val="auto"/>
              </w:rPr>
            </w:pPr>
            <w:r>
              <w:rPr>
                <w:rFonts w:ascii="Arial" w:cs="Arial" w:eastAsia="Arial" w:hAnsi="Arial"/>
                <w:sz w:val="18"/>
                <w:szCs w:val="18"/>
                <w:i w:val="1"/>
                <w:iCs w:val="1"/>
                <w:color w:val="auto"/>
                <w:w w:val="98"/>
              </w:rPr>
              <w:t>2019 Proxy Statement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-170815</wp:posOffset>
            </wp:positionV>
            <wp:extent cx="720090" cy="1289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0090" cy="12890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0033A0"/>
        </w:rPr>
        <w:t>The Brink’s Company</w:t>
      </w:r>
    </w:p>
    <w:p>
      <w:pPr>
        <w:spacing w:after="0" w:line="161" w:lineRule="exact"/>
        <w:rPr>
          <w:sz w:val="20"/>
          <w:szCs w:val="20"/>
          <w:color w:val="auto"/>
        </w:rPr>
      </w:pPr>
    </w:p>
    <w:p>
      <w:pPr>
        <w:ind w:left="200" w:right="500"/>
        <w:spacing w:after="0" w:line="256" w:lineRule="auto"/>
        <w:rPr>
          <w:sz w:val="20"/>
          <w:szCs w:val="20"/>
          <w:color w:val="auto"/>
        </w:rPr>
      </w:pPr>
      <w:r>
        <w:rPr>
          <w:rFonts w:ascii="Arial" w:cs="Arial" w:eastAsia="Arial" w:hAnsi="Arial"/>
          <w:sz w:val="43"/>
          <w:szCs w:val="43"/>
          <w:color w:val="0033A0"/>
        </w:rPr>
        <w:t>PROPOSAL NO. 2—ADVISORY VOTE TO APPROVE NAMED EXECUTIVE OFFICER COMPENSATION</w:t>
      </w:r>
    </w:p>
    <w:p>
      <w:pPr>
        <w:sectPr>
          <w:pgSz w:w="11900" w:h="16838" w:orient="portrait"/>
          <w:cols w:equalWidth="0" w:num="1">
            <w:col w:w="11200"/>
          </w:cols>
          <w:pgMar w:left="240" w:top="459" w:right="459" w:bottom="1440" w:gutter="0" w:footer="0" w:header="0"/>
        </w:sectPr>
      </w:pPr>
    </w:p>
    <w:p>
      <w:pPr>
        <w:spacing w:after="0" w:line="242" w:lineRule="exact"/>
        <w:rPr>
          <w:sz w:val="20"/>
          <w:szCs w:val="20"/>
          <w:color w:val="auto"/>
        </w:rPr>
      </w:pPr>
    </w:p>
    <w:p>
      <w:pPr>
        <w:ind w:left="200" w:right="163"/>
        <w:spacing w:after="0"/>
        <w:rPr>
          <w:sz w:val="20"/>
          <w:szCs w:val="20"/>
          <w:color w:val="auto"/>
        </w:rPr>
      </w:pPr>
      <w:r>
        <w:rPr>
          <w:rFonts w:ascii="Arial" w:cs="Arial" w:eastAsia="Arial" w:hAnsi="Arial"/>
          <w:sz w:val="18"/>
          <w:szCs w:val="18"/>
          <w:color w:val="auto"/>
        </w:rPr>
        <w:t>The Company is seeking shareholder approval of an advisory resolution to approve the compensation of the Company’s named executive officers as disclosed in this proxy statement.</w:t>
      </w:r>
    </w:p>
    <w:p>
      <w:pPr>
        <w:spacing w:after="0" w:line="95" w:lineRule="exact"/>
        <w:rPr>
          <w:sz w:val="20"/>
          <w:szCs w:val="20"/>
          <w:color w:val="auto"/>
        </w:rPr>
      </w:pPr>
    </w:p>
    <w:p>
      <w:pPr>
        <w:ind w:left="200" w:right="423"/>
        <w:spacing w:after="0"/>
        <w:rPr>
          <w:sz w:val="20"/>
          <w:szCs w:val="20"/>
          <w:color w:val="auto"/>
        </w:rPr>
      </w:pPr>
      <w:r>
        <w:rPr>
          <w:rFonts w:ascii="Arial" w:cs="Arial" w:eastAsia="Arial" w:hAnsi="Arial"/>
          <w:sz w:val="18"/>
          <w:szCs w:val="18"/>
          <w:color w:val="auto"/>
        </w:rPr>
        <w:t>The Company maintains a pay for performance compensation philosophy and an executive compensation program that is designed to:</w:t>
      </w:r>
    </w:p>
    <w:p>
      <w:pPr>
        <w:spacing w:after="0" w:line="108" w:lineRule="exact"/>
        <w:rPr>
          <w:sz w:val="20"/>
          <w:szCs w:val="20"/>
          <w:color w:val="auto"/>
        </w:rPr>
      </w:pPr>
    </w:p>
    <w:p>
      <w:pPr>
        <w:ind w:left="980" w:right="163" w:hanging="317"/>
        <w:spacing w:after="0" w:line="239" w:lineRule="auto"/>
        <w:tabs>
          <w:tab w:leader="none" w:pos="980" w:val="left"/>
        </w:tabs>
        <w:numPr>
          <w:ilvl w:val="0"/>
          <w:numId w:val="27"/>
        </w:numPr>
        <w:rPr>
          <w:rFonts w:ascii="Arial" w:cs="Arial" w:eastAsia="Arial" w:hAnsi="Arial"/>
          <w:sz w:val="18"/>
          <w:szCs w:val="18"/>
          <w:color w:val="0033A0"/>
        </w:rPr>
      </w:pPr>
      <w:r>
        <w:rPr>
          <w:rFonts w:ascii="Arial" w:cs="Arial" w:eastAsia="Arial" w:hAnsi="Arial"/>
          <w:sz w:val="18"/>
          <w:szCs w:val="18"/>
          <w:color w:val="auto"/>
        </w:rPr>
        <w:t>incentivize and reward executives who contribute to the achievement of the Company’s business objectives and the creation of long-term shareholder value, without encouraging unnecessary and excessive risks;</w:t>
      </w:r>
    </w:p>
    <w:p>
      <w:pPr>
        <w:spacing w:after="0" w:line="107" w:lineRule="exact"/>
        <w:rPr>
          <w:rFonts w:ascii="Arial" w:cs="Arial" w:eastAsia="Arial" w:hAnsi="Arial"/>
          <w:sz w:val="18"/>
          <w:szCs w:val="18"/>
          <w:color w:val="0033A0"/>
        </w:rPr>
      </w:pPr>
    </w:p>
    <w:p>
      <w:pPr>
        <w:ind w:left="980" w:right="243" w:hanging="317"/>
        <w:spacing w:after="0"/>
        <w:tabs>
          <w:tab w:leader="none" w:pos="980" w:val="left"/>
        </w:tabs>
        <w:numPr>
          <w:ilvl w:val="0"/>
          <w:numId w:val="27"/>
        </w:numPr>
        <w:rPr>
          <w:rFonts w:ascii="Arial" w:cs="Arial" w:eastAsia="Arial" w:hAnsi="Arial"/>
          <w:sz w:val="18"/>
          <w:szCs w:val="18"/>
          <w:color w:val="0033A0"/>
        </w:rPr>
      </w:pPr>
      <w:r>
        <w:rPr>
          <w:rFonts w:ascii="Arial" w:cs="Arial" w:eastAsia="Arial" w:hAnsi="Arial"/>
          <w:sz w:val="18"/>
          <w:szCs w:val="18"/>
          <w:color w:val="auto"/>
        </w:rPr>
        <w:t>attract, retain and motivate talented executives to perform at the highest level and contribute significantly to the Company’s success;</w:t>
      </w:r>
    </w:p>
    <w:p>
      <w:pPr>
        <w:spacing w:after="0" w:line="108" w:lineRule="exact"/>
        <w:rPr>
          <w:rFonts w:ascii="Arial" w:cs="Arial" w:eastAsia="Arial" w:hAnsi="Arial"/>
          <w:sz w:val="18"/>
          <w:szCs w:val="18"/>
          <w:color w:val="0033A0"/>
        </w:rPr>
      </w:pPr>
    </w:p>
    <w:p>
      <w:pPr>
        <w:ind w:left="980" w:right="183" w:hanging="317"/>
        <w:spacing w:after="0"/>
        <w:tabs>
          <w:tab w:leader="none" w:pos="980" w:val="left"/>
        </w:tabs>
        <w:numPr>
          <w:ilvl w:val="0"/>
          <w:numId w:val="27"/>
        </w:numPr>
        <w:rPr>
          <w:rFonts w:ascii="Arial" w:cs="Arial" w:eastAsia="Arial" w:hAnsi="Arial"/>
          <w:sz w:val="18"/>
          <w:szCs w:val="18"/>
          <w:color w:val="0033A0"/>
        </w:rPr>
      </w:pPr>
      <w:r>
        <w:rPr>
          <w:rFonts w:ascii="Arial" w:cs="Arial" w:eastAsia="Arial" w:hAnsi="Arial"/>
          <w:sz w:val="18"/>
          <w:szCs w:val="18"/>
          <w:color w:val="auto"/>
        </w:rPr>
        <w:t>align the interests of the named executive officers with those of shareholders through equity-based LTI awards and robust stock ownership guidelines; and</w:t>
      </w:r>
    </w:p>
    <w:p>
      <w:pPr>
        <w:spacing w:after="0" w:line="108" w:lineRule="exact"/>
        <w:rPr>
          <w:rFonts w:ascii="Arial" w:cs="Arial" w:eastAsia="Arial" w:hAnsi="Arial"/>
          <w:sz w:val="18"/>
          <w:szCs w:val="18"/>
          <w:color w:val="0033A0"/>
        </w:rPr>
      </w:pPr>
    </w:p>
    <w:p>
      <w:pPr>
        <w:ind w:left="980" w:right="263" w:hanging="317"/>
        <w:spacing w:after="0" w:line="246" w:lineRule="auto"/>
        <w:tabs>
          <w:tab w:leader="none" w:pos="980" w:val="left"/>
        </w:tabs>
        <w:numPr>
          <w:ilvl w:val="0"/>
          <w:numId w:val="27"/>
        </w:numPr>
        <w:rPr>
          <w:rFonts w:ascii="Arial" w:cs="Arial" w:eastAsia="Arial" w:hAnsi="Arial"/>
          <w:sz w:val="18"/>
          <w:szCs w:val="18"/>
          <w:color w:val="0033A0"/>
        </w:rPr>
      </w:pPr>
      <w:r>
        <w:rPr>
          <w:rFonts w:ascii="Arial" w:cs="Arial" w:eastAsia="Arial" w:hAnsi="Arial"/>
          <w:sz w:val="18"/>
          <w:szCs w:val="18"/>
          <w:color w:val="auto"/>
        </w:rPr>
        <w:t>provide an appropriate and balanced mix of short-term and long-term compensation elements.</w:t>
      </w:r>
    </w:p>
    <w:p>
      <w:pPr>
        <w:spacing w:after="0" w:line="89" w:lineRule="exact"/>
        <w:rPr>
          <w:sz w:val="20"/>
          <w:szCs w:val="20"/>
          <w:color w:val="auto"/>
        </w:rPr>
      </w:pPr>
    </w:p>
    <w:p>
      <w:pPr>
        <w:ind w:left="200" w:right="203"/>
        <w:spacing w:after="0"/>
        <w:rPr>
          <w:sz w:val="20"/>
          <w:szCs w:val="20"/>
          <w:color w:val="auto"/>
        </w:rPr>
      </w:pPr>
      <w:r>
        <w:rPr>
          <w:rFonts w:ascii="Arial" w:cs="Arial" w:eastAsia="Arial" w:hAnsi="Arial"/>
          <w:sz w:val="18"/>
          <w:szCs w:val="18"/>
          <w:color w:val="auto"/>
        </w:rPr>
        <w:t>In deciding how to vote on this proposal, the Board asks that you consider the following key points with respect to our executive compensation program:</w:t>
      </w:r>
    </w:p>
    <w:p>
      <w:pPr>
        <w:spacing w:after="0" w:line="90" w:lineRule="exact"/>
        <w:rPr>
          <w:sz w:val="20"/>
          <w:szCs w:val="20"/>
          <w:color w:val="auto"/>
        </w:rPr>
      </w:pPr>
    </w:p>
    <w:p>
      <w:pPr>
        <w:ind w:left="980" w:right="103" w:hanging="317"/>
        <w:spacing w:after="0" w:line="252" w:lineRule="auto"/>
        <w:tabs>
          <w:tab w:leader="none" w:pos="980" w:val="left"/>
        </w:tabs>
        <w:numPr>
          <w:ilvl w:val="0"/>
          <w:numId w:val="28"/>
        </w:numPr>
        <w:rPr>
          <w:rFonts w:ascii="Arial" w:cs="Arial" w:eastAsia="Arial" w:hAnsi="Arial"/>
          <w:sz w:val="17"/>
          <w:szCs w:val="17"/>
          <w:color w:val="0033A0"/>
        </w:rPr>
      </w:pPr>
      <w:r>
        <w:rPr>
          <w:rFonts w:ascii="Arial" w:cs="Arial" w:eastAsia="Arial" w:hAnsi="Arial"/>
          <w:sz w:val="17"/>
          <w:szCs w:val="17"/>
          <w:i w:val="1"/>
          <w:iCs w:val="1"/>
          <w:color w:val="auto"/>
        </w:rPr>
        <w:t>We pay for performance</w:t>
      </w:r>
      <w:r>
        <w:rPr>
          <w:rFonts w:ascii="Arial" w:cs="Arial" w:eastAsia="Arial" w:hAnsi="Arial"/>
          <w:sz w:val="17"/>
          <w:szCs w:val="17"/>
          <w:color w:val="auto"/>
        </w:rPr>
        <w:t>. The 2018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awarded to the named executive officers reflects the compensation principles listed above as well as the Company’s results for the year. Annual incentive awards were paid according to the Company’s achievement of non-GAAP operating profit and revenue results as well as individual performance. LTI awards consisted of Internal Metric PSU, Relative TSR PSU, Performance Stock Option and RSU awards to ensure continued alignment between executive officer compensation and long-term shareholder value. To further strengthen shareholder alignment for the Chief Executive Officer role, Mr. Pertz received only Performance Stock Options</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ind w:left="317"/>
        <w:spacing w:after="0"/>
        <w:rPr>
          <w:sz w:val="20"/>
          <w:szCs w:val="20"/>
          <w:color w:val="auto"/>
        </w:rPr>
      </w:pPr>
      <w:r>
        <w:rPr>
          <w:rFonts w:ascii="Arial" w:cs="Arial" w:eastAsia="Arial" w:hAnsi="Arial"/>
          <w:sz w:val="18"/>
          <w:szCs w:val="18"/>
          <w:color w:val="auto"/>
        </w:rPr>
        <w:t>and Relative TSR PSUs as part of his 2018 LTI award.</w:t>
      </w:r>
    </w:p>
    <w:p>
      <w:pPr>
        <w:spacing w:after="0" w:line="99" w:lineRule="exact"/>
        <w:rPr>
          <w:sz w:val="20"/>
          <w:szCs w:val="20"/>
          <w:color w:val="auto"/>
        </w:rPr>
      </w:pPr>
    </w:p>
    <w:p>
      <w:pPr>
        <w:ind w:left="317" w:right="460" w:hanging="317"/>
        <w:spacing w:after="0" w:line="258" w:lineRule="auto"/>
        <w:tabs>
          <w:tab w:leader="none" w:pos="317" w:val="left"/>
        </w:tabs>
        <w:numPr>
          <w:ilvl w:val="0"/>
          <w:numId w:val="29"/>
        </w:numPr>
        <w:rPr>
          <w:rFonts w:ascii="Arial" w:cs="Arial" w:eastAsia="Arial" w:hAnsi="Arial"/>
          <w:sz w:val="17"/>
          <w:szCs w:val="17"/>
          <w:color w:val="0033A0"/>
        </w:rPr>
      </w:pPr>
      <w:r>
        <w:rPr>
          <w:rFonts w:ascii="Arial" w:cs="Arial" w:eastAsia="Arial" w:hAnsi="Arial"/>
          <w:sz w:val="17"/>
          <w:szCs w:val="17"/>
          <w:i w:val="1"/>
          <w:iCs w:val="1"/>
          <w:color w:val="auto"/>
        </w:rPr>
        <w:t>The Compensation Committee regularly reviews the Company’s executive compensation program</w:t>
      </w:r>
      <w:r>
        <w:rPr>
          <w:rFonts w:ascii="Arial" w:cs="Arial" w:eastAsia="Arial" w:hAnsi="Arial"/>
          <w:sz w:val="17"/>
          <w:szCs w:val="17"/>
          <w:color w:val="auto"/>
        </w:rPr>
        <w:t>.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Committee reviews the Company’s executive compensation program to ensure that it is aligned with the competitive market and reflects the compensation principles listed above.</w:t>
      </w:r>
    </w:p>
    <w:p>
      <w:pPr>
        <w:spacing w:after="0" w:line="76" w:lineRule="exact"/>
        <w:rPr>
          <w:rFonts w:ascii="Arial" w:cs="Arial" w:eastAsia="Arial" w:hAnsi="Arial"/>
          <w:sz w:val="17"/>
          <w:szCs w:val="17"/>
          <w:color w:val="0033A0"/>
        </w:rPr>
      </w:pPr>
    </w:p>
    <w:p>
      <w:pPr>
        <w:ind w:left="317" w:hanging="317"/>
        <w:spacing w:after="0" w:line="238" w:lineRule="auto"/>
        <w:tabs>
          <w:tab w:leader="none" w:pos="317" w:val="left"/>
        </w:tabs>
        <w:numPr>
          <w:ilvl w:val="0"/>
          <w:numId w:val="29"/>
        </w:numPr>
        <w:rPr>
          <w:rFonts w:ascii="Arial" w:cs="Arial" w:eastAsia="Arial" w:hAnsi="Arial"/>
          <w:sz w:val="18"/>
          <w:szCs w:val="18"/>
          <w:color w:val="0033A0"/>
        </w:rPr>
      </w:pPr>
      <w:r>
        <w:rPr>
          <w:rFonts w:ascii="Arial" w:cs="Arial" w:eastAsia="Arial" w:hAnsi="Arial"/>
          <w:sz w:val="18"/>
          <w:szCs w:val="18"/>
          <w:i w:val="1"/>
          <w:iCs w:val="1"/>
          <w:color w:val="auto"/>
        </w:rPr>
        <w:t xml:space="preserve">The executive compensation program is designed to align the interests of executives and shareholders. </w:t>
      </w:r>
      <w:r>
        <w:rPr>
          <w:rFonts w:ascii="Arial" w:cs="Arial" w:eastAsia="Arial" w:hAnsi="Arial"/>
          <w:sz w:val="18"/>
          <w:szCs w:val="18"/>
          <w:color w:val="auto"/>
        </w:rPr>
        <w:t>The LTI</w:t>
      </w:r>
      <w:r>
        <w:rPr>
          <w:rFonts w:ascii="Arial" w:cs="Arial" w:eastAsia="Arial" w:hAnsi="Arial"/>
          <w:sz w:val="18"/>
          <w:szCs w:val="18"/>
          <w:i w:val="1"/>
          <w:iCs w:val="1"/>
          <w:color w:val="auto"/>
        </w:rPr>
        <w:t xml:space="preserve"> </w:t>
      </w:r>
      <w:r>
        <w:rPr>
          <w:rFonts w:ascii="Arial" w:cs="Arial" w:eastAsia="Arial" w:hAnsi="Arial"/>
          <w:sz w:val="18"/>
          <w:szCs w:val="18"/>
          <w:color w:val="auto"/>
        </w:rPr>
        <w:t>program is designed to ensure strong alignment with shareholder value through payment in shares of Brink’s Common Stock. The Compensation Committee uses a focused peer group that includes companies in similar industries, with similar characteristics to Brink’s as its reference point, as well as relevant survey data, as needed, for assessing executive officer compensation against the market.</w:t>
      </w:r>
    </w:p>
    <w:p>
      <w:pPr>
        <w:spacing w:after="0" w:line="94" w:lineRule="exact"/>
        <w:rPr>
          <w:rFonts w:ascii="Arial" w:cs="Arial" w:eastAsia="Arial" w:hAnsi="Arial"/>
          <w:sz w:val="18"/>
          <w:szCs w:val="18"/>
          <w:color w:val="0033A0"/>
        </w:rPr>
      </w:pPr>
    </w:p>
    <w:p>
      <w:pPr>
        <w:ind w:left="317" w:right="120" w:hanging="317"/>
        <w:spacing w:after="0" w:line="241" w:lineRule="auto"/>
        <w:tabs>
          <w:tab w:leader="none" w:pos="317" w:val="left"/>
        </w:tabs>
        <w:numPr>
          <w:ilvl w:val="0"/>
          <w:numId w:val="29"/>
        </w:numPr>
        <w:rPr>
          <w:rFonts w:ascii="Arial" w:cs="Arial" w:eastAsia="Arial" w:hAnsi="Arial"/>
          <w:sz w:val="18"/>
          <w:szCs w:val="18"/>
          <w:color w:val="0033A0"/>
        </w:rPr>
      </w:pPr>
      <w:r>
        <w:rPr>
          <w:rFonts w:ascii="Arial" w:cs="Arial" w:eastAsia="Arial" w:hAnsi="Arial"/>
          <w:sz w:val="18"/>
          <w:szCs w:val="18"/>
          <w:i w:val="1"/>
          <w:iCs w:val="1"/>
          <w:color w:val="auto"/>
        </w:rPr>
        <w:t>There are no tax gross-ups upon a change in control for executive officers and no excessive perquisites</w:t>
      </w:r>
      <w:r>
        <w:rPr>
          <w:rFonts w:ascii="Arial" w:cs="Arial" w:eastAsia="Arial" w:hAnsi="Arial"/>
          <w:sz w:val="18"/>
          <w:szCs w:val="18"/>
          <w:color w:val="auto"/>
        </w:rPr>
        <w:t>. None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Company’s executive officers is subject to any agreement or policy that provides excise tax gross-ups upon a change in control. We provide limited perquisites to our executive officers.</w:t>
      </w:r>
    </w:p>
    <w:p>
      <w:pPr>
        <w:spacing w:after="0" w:line="89" w:lineRule="exact"/>
        <w:rPr>
          <w:rFonts w:ascii="Arial" w:cs="Arial" w:eastAsia="Arial" w:hAnsi="Arial"/>
          <w:sz w:val="18"/>
          <w:szCs w:val="18"/>
          <w:color w:val="0033A0"/>
        </w:rPr>
      </w:pPr>
    </w:p>
    <w:p>
      <w:pPr>
        <w:ind w:left="317" w:right="80" w:hanging="317"/>
        <w:spacing w:after="0" w:line="258" w:lineRule="auto"/>
        <w:tabs>
          <w:tab w:leader="none" w:pos="317" w:val="left"/>
        </w:tabs>
        <w:numPr>
          <w:ilvl w:val="0"/>
          <w:numId w:val="29"/>
        </w:numPr>
        <w:rPr>
          <w:rFonts w:ascii="Arial" w:cs="Arial" w:eastAsia="Arial" w:hAnsi="Arial"/>
          <w:sz w:val="17"/>
          <w:szCs w:val="17"/>
          <w:color w:val="0033A0"/>
        </w:rPr>
      </w:pPr>
      <w:r>
        <w:rPr>
          <w:rFonts w:ascii="Arial" w:cs="Arial" w:eastAsia="Arial" w:hAnsi="Arial"/>
          <w:sz w:val="17"/>
          <w:szCs w:val="17"/>
          <w:i w:val="1"/>
          <w:iCs w:val="1"/>
          <w:color w:val="auto"/>
        </w:rPr>
        <w:t>The Compensation Committee uses an independent compensation consultant</w:t>
      </w:r>
      <w:r>
        <w:rPr>
          <w:rFonts w:ascii="Arial" w:cs="Arial" w:eastAsia="Arial" w:hAnsi="Arial"/>
          <w:sz w:val="17"/>
          <w:szCs w:val="17"/>
          <w:color w:val="auto"/>
        </w:rPr>
        <w:t>. The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Committee’s consultant reports directly to the Committee and does not perform any work for management. In performing its services, the consultant works closely with management at the Committee’s direction.</w:t>
      </w:r>
    </w:p>
    <w:p>
      <w:pPr>
        <w:spacing w:after="0" w:line="76" w:lineRule="exact"/>
        <w:rPr>
          <w:rFonts w:ascii="Arial" w:cs="Arial" w:eastAsia="Arial" w:hAnsi="Arial"/>
          <w:sz w:val="17"/>
          <w:szCs w:val="17"/>
          <w:color w:val="0033A0"/>
        </w:rPr>
      </w:pPr>
    </w:p>
    <w:p>
      <w:pPr>
        <w:ind w:left="317" w:right="80" w:hanging="317"/>
        <w:spacing w:after="0" w:line="242" w:lineRule="auto"/>
        <w:tabs>
          <w:tab w:leader="none" w:pos="317" w:val="left"/>
        </w:tabs>
        <w:numPr>
          <w:ilvl w:val="0"/>
          <w:numId w:val="29"/>
        </w:numPr>
        <w:rPr>
          <w:rFonts w:ascii="Arial" w:cs="Arial" w:eastAsia="Arial" w:hAnsi="Arial"/>
          <w:sz w:val="18"/>
          <w:szCs w:val="18"/>
          <w:color w:val="0033A0"/>
        </w:rPr>
      </w:pPr>
      <w:r>
        <w:rPr>
          <w:rFonts w:ascii="Arial" w:cs="Arial" w:eastAsia="Arial" w:hAnsi="Arial"/>
          <w:sz w:val="18"/>
          <w:szCs w:val="18"/>
          <w:i w:val="1"/>
          <w:iCs w:val="1"/>
          <w:color w:val="auto"/>
        </w:rPr>
        <w:t>We engage with our shareholders</w:t>
      </w:r>
      <w:r>
        <w:rPr>
          <w:rFonts w:ascii="Arial" w:cs="Arial" w:eastAsia="Arial" w:hAnsi="Arial"/>
          <w:sz w:val="18"/>
          <w:szCs w:val="18"/>
          <w:color w:val="auto"/>
        </w:rPr>
        <w:t>.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maintains a shareholder outreach program to connect with shareholders throughout the year to gain insight into shareholders’ perspectives on key governance and compensation 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2807335</wp:posOffset>
            </wp:positionH>
            <wp:positionV relativeFrom="paragraph">
              <wp:posOffset>318135</wp:posOffset>
            </wp:positionV>
            <wp:extent cx="8890" cy="3003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890" cy="30035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335280</wp:posOffset>
            </wp:positionV>
            <wp:extent cx="720090" cy="1289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0090" cy="128905"/>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left="2537"/>
        <w:spacing w:after="0"/>
        <w:rPr>
          <w:sz w:val="20"/>
          <w:szCs w:val="20"/>
          <w:color w:val="auto"/>
        </w:rPr>
      </w:pPr>
      <w:r>
        <w:rPr>
          <w:rFonts w:ascii="Arial" w:cs="Arial" w:eastAsia="Arial" w:hAnsi="Arial"/>
          <w:sz w:val="18"/>
          <w:szCs w:val="18"/>
          <w:i w:val="1"/>
          <w:iCs w:val="1"/>
          <w:color w:val="auto"/>
        </w:rPr>
        <w:t>2019 Proxy Statement</w:t>
      </w:r>
    </w:p>
    <w:p>
      <w:pPr>
        <w:ind w:left="4697"/>
        <w:spacing w:after="0"/>
        <w:rPr>
          <w:sz w:val="20"/>
          <w:szCs w:val="20"/>
          <w:color w:val="auto"/>
        </w:rPr>
      </w:pPr>
      <w:r>
        <w:rPr>
          <w:rFonts w:ascii="Arial" w:cs="Arial" w:eastAsia="Arial" w:hAnsi="Arial"/>
          <w:sz w:val="18"/>
          <w:szCs w:val="18"/>
          <w:b w:val="1"/>
          <w:bCs w:val="1"/>
          <w:color w:val="auto"/>
        </w:rPr>
        <w:t>23</w:t>
      </w:r>
    </w:p>
    <w:p>
      <w:pPr>
        <w:sectPr>
          <w:pgSz w:w="11900" w:h="16838" w:orient="portrait"/>
          <w:cols w:equalWidth="0" w:num="2">
            <w:col w:w="5563" w:space="720"/>
            <w:col w:w="4917"/>
          </w:cols>
          <w:pgMar w:left="240" w:top="459" w:right="45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0033A0"/>
        </w:rPr>
        <w:t>The Brink’s Company</w:t>
      </w:r>
    </w:p>
    <w:p>
      <w:pPr>
        <w:spacing w:after="0" w:line="319" w:lineRule="exact"/>
        <w:rPr>
          <w:sz w:val="20"/>
          <w:szCs w:val="20"/>
          <w:color w:val="auto"/>
        </w:rPr>
      </w:pPr>
    </w:p>
    <w:p>
      <w:pPr>
        <w:ind w:left="980" w:hanging="317"/>
        <w:spacing w:after="0" w:line="239" w:lineRule="auto"/>
        <w:tabs>
          <w:tab w:leader="none" w:pos="980" w:val="left"/>
        </w:tabs>
        <w:numPr>
          <w:ilvl w:val="0"/>
          <w:numId w:val="30"/>
        </w:numPr>
        <w:rPr>
          <w:rFonts w:ascii="Arial" w:cs="Arial" w:eastAsia="Arial" w:hAnsi="Arial"/>
          <w:sz w:val="18"/>
          <w:szCs w:val="18"/>
          <w:color w:val="0033A0"/>
        </w:rPr>
      </w:pPr>
      <w:r>
        <w:rPr>
          <w:rFonts w:ascii="Arial" w:cs="Arial" w:eastAsia="Arial" w:hAnsi="Arial"/>
          <w:sz w:val="18"/>
          <w:szCs w:val="18"/>
          <w:i w:val="1"/>
          <w:iCs w:val="1"/>
          <w:color w:val="auto"/>
        </w:rPr>
        <w:t>The Company may take advantage of tax deductibility for compensation of executives to the extent 162(m) Transition Relief is available</w:t>
      </w:r>
      <w:r>
        <w:rPr>
          <w:rFonts w:ascii="Arial" w:cs="Arial" w:eastAsia="Arial" w:hAnsi="Arial"/>
          <w:sz w:val="18"/>
          <w:szCs w:val="18"/>
          <w:color w:val="auto"/>
        </w:rPr>
        <w:t>. The Board and</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shareholders previously approved an LTI program that is intended to permit the Company, if appropriate and if permitted, to take tax deductions for payments under Section 162(m) of the Code where 162(m) Transition Relief remains available.</w:t>
      </w:r>
    </w:p>
    <w:p>
      <w:pPr>
        <w:spacing w:after="0" w:line="98" w:lineRule="exact"/>
        <w:rPr>
          <w:sz w:val="20"/>
          <w:szCs w:val="20"/>
          <w:color w:val="auto"/>
        </w:rPr>
      </w:pPr>
    </w:p>
    <w:p>
      <w:pPr>
        <w:ind w:left="200" w:right="40"/>
        <w:spacing w:after="0" w:line="255" w:lineRule="auto"/>
        <w:rPr>
          <w:sz w:val="20"/>
          <w:szCs w:val="20"/>
          <w:color w:val="auto"/>
        </w:rPr>
      </w:pPr>
      <w:r>
        <w:rPr>
          <w:rFonts w:ascii="Arial" w:cs="Arial" w:eastAsia="Arial" w:hAnsi="Arial"/>
          <w:sz w:val="17"/>
          <w:szCs w:val="17"/>
          <w:color w:val="auto"/>
        </w:rPr>
        <w:t>You are encouraged to review the Compensation Discussion and Analysis, the compensation tables and the accompanying narrative on pages 25 through 58 of this proxy statement, which provide a comprehensive review of the Company’s executive compensation program and its elements, objectives and rationale.</w:t>
      </w:r>
    </w:p>
    <w:p>
      <w:pPr>
        <w:spacing w:after="0" w:line="82" w:lineRule="exact"/>
        <w:rPr>
          <w:sz w:val="20"/>
          <w:szCs w:val="20"/>
          <w:color w:val="auto"/>
        </w:rPr>
      </w:pPr>
    </w:p>
    <w:p>
      <w:pPr>
        <w:ind w:left="200" w:right="460"/>
        <w:spacing w:after="0"/>
        <w:rPr>
          <w:sz w:val="20"/>
          <w:szCs w:val="20"/>
          <w:color w:val="auto"/>
        </w:rPr>
      </w:pPr>
      <w:r>
        <w:rPr>
          <w:rFonts w:ascii="Arial" w:cs="Arial" w:eastAsia="Arial" w:hAnsi="Arial"/>
          <w:sz w:val="18"/>
          <w:szCs w:val="18"/>
          <w:color w:val="auto"/>
        </w:rPr>
        <w:t>In accordance with Section 14A of the Exchange Act rules, shareholders are asked to approve the following non-binding resolution:</w:t>
      </w:r>
    </w:p>
    <w:p>
      <w:pPr>
        <w:spacing w:after="0" w:line="73" w:lineRule="exact"/>
        <w:rPr>
          <w:sz w:val="20"/>
          <w:szCs w:val="20"/>
          <w:color w:val="auto"/>
        </w:rPr>
      </w:pPr>
    </w:p>
    <w:p>
      <w:pPr>
        <w:ind w:left="560" w:right="100"/>
        <w:spacing w:after="0" w:line="253" w:lineRule="auto"/>
        <w:rPr>
          <w:sz w:val="20"/>
          <w:szCs w:val="20"/>
          <w:color w:val="auto"/>
        </w:rPr>
      </w:pPr>
      <w:r>
        <w:rPr>
          <w:rFonts w:ascii="Arial" w:cs="Arial" w:eastAsia="Arial" w:hAnsi="Arial"/>
          <w:sz w:val="18"/>
          <w:szCs w:val="18"/>
          <w:b w:val="1"/>
          <w:bCs w:val="1"/>
          <w:color w:val="auto"/>
        </w:rPr>
        <w:t>“RESOLVED, that the Company’s shareholders approve, on a non-binding advisory basis, the compensation of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60" w:right="80"/>
        <w:spacing w:after="0"/>
        <w:rPr>
          <w:sz w:val="20"/>
          <w:szCs w:val="20"/>
          <w:color w:val="auto"/>
        </w:rPr>
      </w:pPr>
      <w:r>
        <w:rPr>
          <w:rFonts w:ascii="Arial" w:cs="Arial" w:eastAsia="Arial" w:hAnsi="Arial"/>
          <w:sz w:val="18"/>
          <w:szCs w:val="18"/>
          <w:b w:val="1"/>
          <w:bCs w:val="1"/>
          <w:color w:val="auto"/>
        </w:rPr>
        <w:t>Company’s named executive officers, as disclosed in the Proxy Statement for the 2019 Annual Meeting of Shareholders pursuant to the compensation disclosure rules of the Securities and Exchange Commission, including the Compensation Discussion and Analysis, the 2018 Summary Compensation Table, the other related tables and the accompanying narrative on pages 25 through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-1919605</wp:posOffset>
            </wp:positionV>
            <wp:extent cx="72891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7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Company holds this non-binding advisory vote annually. The shareholder vote on this proposal will be non-binding on the Company and the Board and will not be construed as overruling a decision by the Company or the Board. However, the Board and the Compensation Committee value the opinions that shareholders express in their votes and will consider the outcome of the vote when making future executive compensation decisions as they deem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-2275205</wp:posOffset>
            </wp:positionH>
            <wp:positionV relativeFrom="paragraph">
              <wp:posOffset>998855</wp:posOffset>
            </wp:positionV>
            <wp:extent cx="441642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416425" cy="8890"/>
                    </a:xfrm>
                    <a:prstGeom prst="rect">
                      <a:avLst/>
                    </a:prstGeom>
                    <a:noFill/>
                  </pic:spPr>
                </pic:pic>
              </a:graphicData>
            </a:graphic>
          </wp:anchor>
        </w:drawing>
      </w:r>
    </w:p>
    <w:p>
      <w:pPr>
        <w:spacing w:after="0" w:line="1041" w:lineRule="exact"/>
        <w:rPr>
          <w:sz w:val="20"/>
          <w:szCs w:val="20"/>
          <w:color w:val="auto"/>
        </w:rPr>
      </w:pPr>
    </w:p>
    <w:p>
      <w:pPr>
        <w:sectPr>
          <w:pgSz w:w="11900" w:h="16838" w:orient="portrait"/>
          <w:cols w:equalWidth="0" w:num="2">
            <w:col w:w="5480" w:space="340"/>
            <w:col w:w="540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0033A0"/>
        </w:rPr>
        <w:t>THE BOARD OF DIRECTORS RECOMMENDS THAT</w:t>
      </w:r>
    </w:p>
    <w:p>
      <w:pPr>
        <w:spacing w:after="0" w:line="18" w:lineRule="exact"/>
        <w:rPr>
          <w:sz w:val="20"/>
          <w:szCs w:val="20"/>
          <w:color w:val="auto"/>
        </w:rPr>
      </w:pPr>
    </w:p>
    <w:p>
      <w:pPr>
        <w:jc w:val="center"/>
        <w:ind w:right="-219"/>
        <w:spacing w:after="0"/>
        <w:rPr>
          <w:sz w:val="20"/>
          <w:szCs w:val="20"/>
          <w:color w:val="auto"/>
        </w:rPr>
      </w:pPr>
      <w:r>
        <w:rPr>
          <w:rFonts w:ascii="Arial" w:cs="Arial" w:eastAsia="Arial" w:hAnsi="Arial"/>
          <w:sz w:val="17"/>
          <w:szCs w:val="17"/>
          <w:b w:val="1"/>
          <w:bCs w:val="1"/>
          <w:color w:val="0033A0"/>
        </w:rPr>
        <w:t>SHAREHOLDERS VOTE FOR THE APPROVAL OF THE</w:t>
      </w:r>
    </w:p>
    <w:p>
      <w:pPr>
        <w:spacing w:after="0" w:line="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0033A0"/>
        </w:rPr>
        <w:t>NON-BINDING RESOLUTION ON NAMED</w:t>
      </w:r>
    </w:p>
    <w:p>
      <w:pPr>
        <w:jc w:val="center"/>
        <w:ind w:right="-219"/>
        <w:spacing w:after="0"/>
        <w:rPr>
          <w:sz w:val="20"/>
          <w:szCs w:val="20"/>
          <w:color w:val="auto"/>
        </w:rPr>
      </w:pPr>
      <w:r>
        <w:rPr>
          <w:rFonts w:ascii="Arial" w:cs="Arial" w:eastAsia="Arial" w:hAnsi="Arial"/>
          <w:sz w:val="18"/>
          <w:szCs w:val="18"/>
          <w:b w:val="1"/>
          <w:bCs w:val="1"/>
          <w:color w:val="0033A0"/>
        </w:rPr>
        <w:t>EXECUTIVE OFFICER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1419860</wp:posOffset>
            </wp:positionH>
            <wp:positionV relativeFrom="paragraph">
              <wp:posOffset>152400</wp:posOffset>
            </wp:positionV>
            <wp:extent cx="441642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416425"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tbl>
      <w:tblPr>
        <w:tblLayout w:type="fixed"/>
        <w:tblInd w:w="200" w:type="dxa"/>
        <w:tblCellMar>
          <w:top w:w="0" w:type="dxa"/>
          <w:left w:w="0" w:type="dxa"/>
          <w:bottom w:w="0" w:type="dxa"/>
          <w:right w:w="0" w:type="dxa"/>
        </w:tblCellMar>
      </w:tblPr>
      <w:tr>
        <w:trPr>
          <w:trHeight w:val="297"/>
        </w:trPr>
        <w:tc>
          <w:tcPr>
            <w:tcW w:w="360" w:type="dxa"/>
            <w:vAlign w:val="bottom"/>
            <w:tcBorders>
              <w:right w:val="single" w:sz="8" w:color="0033A0"/>
            </w:tcBorders>
          </w:tcPr>
          <w:p>
            <w:pPr>
              <w:jc w:val="right"/>
              <w:ind w:right="70"/>
              <w:spacing w:after="0"/>
              <w:rPr>
                <w:sz w:val="20"/>
                <w:szCs w:val="20"/>
                <w:color w:val="auto"/>
              </w:rPr>
            </w:pPr>
            <w:r>
              <w:rPr>
                <w:rFonts w:ascii="Arial" w:cs="Arial" w:eastAsia="Arial" w:hAnsi="Arial"/>
                <w:sz w:val="18"/>
                <w:szCs w:val="18"/>
                <w:b w:val="1"/>
                <w:bCs w:val="1"/>
                <w:color w:val="auto"/>
                <w:w w:val="89"/>
              </w:rPr>
              <w:t>24</w:t>
            </w:r>
          </w:p>
        </w:tc>
        <w:tc>
          <w:tcPr>
            <w:tcW w:w="3380" w:type="dxa"/>
            <w:vAlign w:val="bottom"/>
          </w:tcPr>
          <w:p>
            <w:pPr>
              <w:ind w:left="1600"/>
              <w:spacing w:after="0"/>
              <w:rPr>
                <w:sz w:val="20"/>
                <w:szCs w:val="20"/>
                <w:color w:val="auto"/>
              </w:rPr>
            </w:pPr>
            <w:r>
              <w:rPr>
                <w:rFonts w:ascii="Arial" w:cs="Arial" w:eastAsia="Arial" w:hAnsi="Arial"/>
                <w:sz w:val="18"/>
                <w:szCs w:val="18"/>
                <w:i w:val="1"/>
                <w:iCs w:val="1"/>
                <w:color w:val="auto"/>
                <w:w w:val="98"/>
              </w:rPr>
              <w:t>2019 Proxy Statement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-170815</wp:posOffset>
            </wp:positionV>
            <wp:extent cx="720090" cy="1289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0090" cy="12890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0033A0"/>
        </w:rPr>
        <w:t>The Brink’s Company</w:t>
      </w:r>
    </w:p>
    <w:p>
      <w:pPr>
        <w:spacing w:after="0" w:line="161" w:lineRule="exact"/>
        <w:rPr>
          <w:sz w:val="20"/>
          <w:szCs w:val="20"/>
          <w:color w:val="auto"/>
        </w:rPr>
      </w:pPr>
    </w:p>
    <w:p>
      <w:pPr>
        <w:ind w:left="200"/>
        <w:spacing w:after="0"/>
        <w:rPr>
          <w:sz w:val="20"/>
          <w:szCs w:val="20"/>
          <w:color w:val="auto"/>
        </w:rPr>
      </w:pPr>
      <w:r>
        <w:rPr>
          <w:rFonts w:ascii="Arial" w:cs="Arial" w:eastAsia="Arial" w:hAnsi="Arial"/>
          <w:sz w:val="42"/>
          <w:szCs w:val="42"/>
          <w:color w:val="0033A0"/>
        </w:rPr>
        <w:t>COMPENSATION DISCUSSION AND ANALYSIS</w:t>
      </w:r>
    </w:p>
    <w:p>
      <w:pPr>
        <w:spacing w:after="0" w:line="204"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auto"/>
        </w:rPr>
        <w:t>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68580</wp:posOffset>
            </wp:positionV>
            <wp:extent cx="69977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180"/>
          </w:cols>
          <w:pgMar w:left="240" w:top="459" w:right="479" w:bottom="1440" w:gutter="0" w:footer="0" w:header="0"/>
        </w:sectPr>
      </w:pPr>
    </w:p>
    <w:p>
      <w:pPr>
        <w:spacing w:after="0" w:line="3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0033A0"/>
        </w:rPr>
        <w:t>2019 CD&amp;A</w:t>
      </w:r>
    </w:p>
    <w:p>
      <w:pPr>
        <w:spacing w:after="0" w:line="126" w:lineRule="exact"/>
        <w:rPr>
          <w:sz w:val="20"/>
          <w:szCs w:val="20"/>
          <w:color w:val="auto"/>
        </w:rPr>
      </w:pPr>
    </w:p>
    <w:p>
      <w:pPr>
        <w:ind w:left="220" w:right="280"/>
        <w:spacing w:after="0"/>
        <w:rPr>
          <w:sz w:val="20"/>
          <w:szCs w:val="20"/>
          <w:color w:val="auto"/>
        </w:rPr>
      </w:pPr>
      <w:r>
        <w:rPr>
          <w:rFonts w:ascii="Arial" w:cs="Arial" w:eastAsia="Arial" w:hAnsi="Arial"/>
          <w:sz w:val="18"/>
          <w:szCs w:val="18"/>
          <w:color w:val="auto"/>
        </w:rPr>
        <w:t>This Compensation Discussion and Analysis (“CD&amp;A”) and the executive compensation tables that follow describe the compensation of the Company’s named executive officers:</w:t>
      </w:r>
    </w:p>
    <w:p>
      <w:pPr>
        <w:spacing w:after="0" w:line="108" w:lineRule="exact"/>
        <w:rPr>
          <w:sz w:val="20"/>
          <w:szCs w:val="20"/>
          <w:color w:val="auto"/>
        </w:rPr>
      </w:pPr>
    </w:p>
    <w:p>
      <w:pPr>
        <w:ind w:left="980" w:hanging="317"/>
        <w:spacing w:after="0" w:line="246" w:lineRule="auto"/>
        <w:tabs>
          <w:tab w:leader="none" w:pos="980" w:val="left"/>
        </w:tabs>
        <w:numPr>
          <w:ilvl w:val="0"/>
          <w:numId w:val="31"/>
        </w:numPr>
        <w:rPr>
          <w:rFonts w:ascii="Arial" w:cs="Arial" w:eastAsia="Arial" w:hAnsi="Arial"/>
          <w:sz w:val="18"/>
          <w:szCs w:val="18"/>
          <w:color w:val="0033A0"/>
        </w:rPr>
      </w:pPr>
      <w:r>
        <w:rPr>
          <w:rFonts w:ascii="Arial" w:cs="Arial" w:eastAsia="Arial" w:hAnsi="Arial"/>
          <w:sz w:val="18"/>
          <w:szCs w:val="18"/>
          <w:color w:val="auto"/>
        </w:rPr>
        <w:t>Douglas A. Pertz, President, Chief Executive Officer and President, North America</w:t>
      </w:r>
    </w:p>
    <w:p>
      <w:pPr>
        <w:spacing w:after="0" w:line="102" w:lineRule="exact"/>
        <w:rPr>
          <w:rFonts w:ascii="Arial" w:cs="Arial" w:eastAsia="Arial" w:hAnsi="Arial"/>
          <w:sz w:val="18"/>
          <w:szCs w:val="18"/>
          <w:color w:val="0033A0"/>
        </w:rPr>
      </w:pPr>
    </w:p>
    <w:p>
      <w:pPr>
        <w:ind w:left="980" w:right="420" w:hanging="317"/>
        <w:spacing w:after="0" w:line="246" w:lineRule="auto"/>
        <w:tabs>
          <w:tab w:leader="none" w:pos="980" w:val="left"/>
        </w:tabs>
        <w:numPr>
          <w:ilvl w:val="0"/>
          <w:numId w:val="31"/>
        </w:numPr>
        <w:rPr>
          <w:rFonts w:ascii="Arial" w:cs="Arial" w:eastAsia="Arial" w:hAnsi="Arial"/>
          <w:sz w:val="18"/>
          <w:szCs w:val="18"/>
          <w:color w:val="0033A0"/>
        </w:rPr>
      </w:pPr>
      <w:r>
        <w:rPr>
          <w:rFonts w:ascii="Arial" w:cs="Arial" w:eastAsia="Arial" w:hAnsi="Arial"/>
          <w:sz w:val="18"/>
          <w:szCs w:val="18"/>
          <w:color w:val="auto"/>
        </w:rPr>
        <w:t>Ronald J. Domanico, Executive Vice President and Chief Financial Officer</w:t>
      </w:r>
    </w:p>
    <w:p>
      <w:pPr>
        <w:spacing w:after="0" w:line="102" w:lineRule="exact"/>
        <w:rPr>
          <w:rFonts w:ascii="Arial" w:cs="Arial" w:eastAsia="Arial" w:hAnsi="Arial"/>
          <w:sz w:val="18"/>
          <w:szCs w:val="18"/>
          <w:color w:val="0033A0"/>
        </w:rPr>
      </w:pPr>
    </w:p>
    <w:p>
      <w:pPr>
        <w:ind w:left="980" w:right="680" w:hanging="317"/>
        <w:spacing w:after="0" w:line="246" w:lineRule="auto"/>
        <w:tabs>
          <w:tab w:leader="none" w:pos="980" w:val="left"/>
        </w:tabs>
        <w:numPr>
          <w:ilvl w:val="0"/>
          <w:numId w:val="31"/>
        </w:numPr>
        <w:rPr>
          <w:rFonts w:ascii="Arial" w:cs="Arial" w:eastAsia="Arial" w:hAnsi="Arial"/>
          <w:sz w:val="18"/>
          <w:szCs w:val="18"/>
          <w:color w:val="0033A0"/>
        </w:rPr>
      </w:pPr>
      <w:r>
        <w:rPr>
          <w:rFonts w:ascii="Arial" w:cs="Arial" w:eastAsia="Arial" w:hAnsi="Arial"/>
          <w:sz w:val="18"/>
          <w:szCs w:val="18"/>
          <w:color w:val="auto"/>
        </w:rPr>
        <w:t>Michael F. Beech, Executive Vice President and President, Brazil, Mexico and Security</w:t>
      </w:r>
    </w:p>
    <w:p>
      <w:pPr>
        <w:spacing w:after="0" w:line="102" w:lineRule="exact"/>
        <w:rPr>
          <w:rFonts w:ascii="Arial" w:cs="Arial" w:eastAsia="Arial" w:hAnsi="Arial"/>
          <w:sz w:val="18"/>
          <w:szCs w:val="18"/>
          <w:color w:val="0033A0"/>
        </w:rPr>
      </w:pPr>
    </w:p>
    <w:p>
      <w:pPr>
        <w:ind w:left="980" w:right="60" w:hanging="317"/>
        <w:spacing w:after="0" w:line="239" w:lineRule="auto"/>
        <w:tabs>
          <w:tab w:leader="none" w:pos="980" w:val="left"/>
        </w:tabs>
        <w:numPr>
          <w:ilvl w:val="0"/>
          <w:numId w:val="31"/>
        </w:numPr>
        <w:rPr>
          <w:rFonts w:ascii="Arial" w:cs="Arial" w:eastAsia="Arial" w:hAnsi="Arial"/>
          <w:sz w:val="18"/>
          <w:szCs w:val="18"/>
          <w:color w:val="0033A0"/>
        </w:rPr>
      </w:pPr>
      <w:r>
        <w:rPr>
          <w:rFonts w:ascii="Arial" w:cs="Arial" w:eastAsia="Arial" w:hAnsi="Arial"/>
          <w:sz w:val="18"/>
          <w:szCs w:val="18"/>
          <w:color w:val="auto"/>
        </w:rPr>
        <w:t>McAlister C. Marshall, II, former Senior Vice President, General Counsel and Chief Administrative Officer (as of January 1, 2019, Mr. Marshall was no longer serving as an executive officer of the Company)</w:t>
      </w:r>
    </w:p>
    <w:p>
      <w:pPr>
        <w:spacing w:after="0" w:line="107" w:lineRule="exact"/>
        <w:rPr>
          <w:rFonts w:ascii="Arial" w:cs="Arial" w:eastAsia="Arial" w:hAnsi="Arial"/>
          <w:sz w:val="18"/>
          <w:szCs w:val="18"/>
          <w:color w:val="0033A0"/>
        </w:rPr>
      </w:pPr>
    </w:p>
    <w:p>
      <w:pPr>
        <w:ind w:left="980" w:right="660" w:hanging="317"/>
        <w:spacing w:after="0"/>
        <w:tabs>
          <w:tab w:leader="none" w:pos="980" w:val="left"/>
        </w:tabs>
        <w:numPr>
          <w:ilvl w:val="0"/>
          <w:numId w:val="31"/>
        </w:numPr>
        <w:rPr>
          <w:rFonts w:ascii="Arial" w:cs="Arial" w:eastAsia="Arial" w:hAnsi="Arial"/>
          <w:sz w:val="18"/>
          <w:szCs w:val="18"/>
          <w:color w:val="0033A0"/>
        </w:rPr>
      </w:pPr>
      <w:r>
        <w:rPr>
          <w:rFonts w:ascii="Arial" w:cs="Arial" w:eastAsia="Arial" w:hAnsi="Arial"/>
          <w:sz w:val="18"/>
          <w:szCs w:val="18"/>
          <w:color w:val="auto"/>
        </w:rPr>
        <w:t>Amit Zukerman, Executive Vice President and President, Global Operations and Brink’s Global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1750060</wp:posOffset>
            </wp:positionV>
            <wp:extent cx="111506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Information about named executive officers’ salaries and any changes in 2018 can be found under “Base Salary” on page 31. Information about annual incentive targets and awards appears under “Annual Cash Incentives Awards – EIP and BIP” beginning on page 31. Information about LTI targets and awards appears under “Long—Term Incentive Compensation” beginning on page 35.</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33A0"/>
        </w:rPr>
        <w:t>2018 in Review</w:t>
      </w:r>
    </w:p>
    <w:p>
      <w:pPr>
        <w:spacing w:after="0" w:line="126" w:lineRule="exact"/>
        <w:rPr>
          <w:sz w:val="20"/>
          <w:szCs w:val="20"/>
          <w:color w:val="auto"/>
        </w:rPr>
      </w:pPr>
    </w:p>
    <w:p>
      <w:pPr>
        <w:jc w:val="both"/>
        <w:ind w:right="80"/>
        <w:spacing w:after="0" w:line="257" w:lineRule="auto"/>
        <w:rPr>
          <w:sz w:val="20"/>
          <w:szCs w:val="20"/>
          <w:color w:val="auto"/>
        </w:rPr>
      </w:pPr>
      <w:r>
        <w:rPr>
          <w:rFonts w:ascii="Arial" w:cs="Arial" w:eastAsia="Arial" w:hAnsi="Arial"/>
          <w:sz w:val="17"/>
          <w:szCs w:val="17"/>
          <w:color w:val="auto"/>
        </w:rPr>
        <w:t>Brink’s reported strong earnings growth in 2018. Following are key financial performance metrics that are monitored by management and the Board, reported to shareholders, and used in determining compensation amounts for the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-2660650</wp:posOffset>
            </wp:positionH>
            <wp:positionV relativeFrom="paragraph">
              <wp:posOffset>1055370</wp:posOffset>
            </wp:positionV>
            <wp:extent cx="5188585" cy="12693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88585" cy="1269365"/>
                    </a:xfrm>
                    <a:prstGeom prst="rect">
                      <a:avLst/>
                    </a:prstGeom>
                    <a:noFill/>
                  </pic:spPr>
                </pic:pic>
              </a:graphicData>
            </a:graphic>
          </wp:anchor>
        </w:drawing>
      </w:r>
    </w:p>
    <w:p>
      <w:pPr>
        <w:spacing w:after="0" w:line="1482" w:lineRule="exact"/>
        <w:rPr>
          <w:sz w:val="20"/>
          <w:szCs w:val="20"/>
          <w:color w:val="auto"/>
        </w:rPr>
      </w:pPr>
    </w:p>
    <w:p>
      <w:pPr>
        <w:sectPr>
          <w:pgSz w:w="11900" w:h="16838" w:orient="portrait"/>
          <w:cols w:equalWidth="0" w:num="2">
            <w:col w:w="5460" w:space="360"/>
            <w:col w:w="5360"/>
          </w:cols>
          <w:pgMar w:left="240" w:top="459" w:right="4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20" w:right="240" w:hanging="316"/>
        <w:spacing w:after="0" w:line="250" w:lineRule="auto"/>
        <w:tabs>
          <w:tab w:leader="none" w:pos="5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These non-GAAP financial measures are not presented in accordance with U.S. generally accepted accounting principles (“GAAP”). See page 35 of the Company’s Annual Report on Form 10-K for the year ended December 31, 2018 for a reconciliation of non-GAAP operating profit and revenue to the most directly comparable GAAP financial measures.</w:t>
      </w:r>
    </w:p>
    <w:p>
      <w:pPr>
        <w:spacing w:after="0" w:line="127" w:lineRule="exact"/>
        <w:rPr>
          <w:sz w:val="20"/>
          <w:szCs w:val="20"/>
          <w:color w:val="auto"/>
        </w:rPr>
      </w:pPr>
    </w:p>
    <w:tbl>
      <w:tblPr>
        <w:tblLayout w:type="fixed"/>
        <w:tblInd w:w="8820" w:type="dxa"/>
        <w:tblCellMar>
          <w:top w:w="0" w:type="dxa"/>
          <w:left w:w="0" w:type="dxa"/>
          <w:bottom w:w="0" w:type="dxa"/>
          <w:right w:w="0" w:type="dxa"/>
        </w:tblCellMar>
      </w:tblPr>
      <w:tr>
        <w:trPr>
          <w:trHeight w:val="297"/>
        </w:trPr>
        <w:tc>
          <w:tcPr>
            <w:tcW w:w="1900" w:type="dxa"/>
            <w:vAlign w:val="bottom"/>
            <w:tcBorders>
              <w:right w:val="single" w:sz="8" w:color="0033A0"/>
            </w:tcBorders>
          </w:tcPr>
          <w:p>
            <w:pPr>
              <w:spacing w:after="0"/>
              <w:rPr>
                <w:sz w:val="20"/>
                <w:szCs w:val="20"/>
                <w:color w:val="auto"/>
              </w:rPr>
            </w:pPr>
            <w:r>
              <w:rPr>
                <w:rFonts w:ascii="Arial" w:cs="Arial" w:eastAsia="Arial" w:hAnsi="Arial"/>
                <w:sz w:val="18"/>
                <w:szCs w:val="18"/>
                <w:i w:val="1"/>
                <w:iCs w:val="1"/>
                <w:color w:val="auto"/>
              </w:rPr>
              <w:t>2019 Proxy Statement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-170815</wp:posOffset>
            </wp:positionV>
            <wp:extent cx="720090" cy="1289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0090" cy="128905"/>
                    </a:xfrm>
                    <a:prstGeom prst="rect">
                      <a:avLst/>
                    </a:prstGeom>
                    <a:noFill/>
                  </pic:spPr>
                </pic:pic>
              </a:graphicData>
            </a:graphic>
          </wp:anchor>
        </w:drawing>
      </w:r>
    </w:p>
    <w:p>
      <w:pPr>
        <w:sectPr>
          <w:pgSz w:w="11900" w:h="16838" w:orient="portrait"/>
          <w:cols w:equalWidth="0" w:num="1">
            <w:col w:w="11180"/>
          </w:cols>
          <w:pgMar w:left="240" w:top="459" w:right="47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0033A0"/>
        </w:rPr>
        <w:t>The Brink’s Company</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0033A0"/>
        </w:rPr>
        <w:t>2018 Annual and Long-Term Incentive Payouts</w:t>
      </w:r>
    </w:p>
    <w:p>
      <w:pPr>
        <w:spacing w:after="0" w:line="126" w:lineRule="exact"/>
        <w:rPr>
          <w:sz w:val="20"/>
          <w:szCs w:val="20"/>
          <w:color w:val="auto"/>
        </w:rPr>
      </w:pPr>
    </w:p>
    <w:p>
      <w:pPr>
        <w:ind w:left="220"/>
        <w:spacing w:after="0" w:line="236" w:lineRule="auto"/>
        <w:rPr>
          <w:sz w:val="20"/>
          <w:szCs w:val="20"/>
          <w:color w:val="auto"/>
        </w:rPr>
      </w:pPr>
      <w:r>
        <w:rPr>
          <w:rFonts w:ascii="Arial" w:cs="Arial" w:eastAsia="Arial" w:hAnsi="Arial"/>
          <w:sz w:val="18"/>
          <w:szCs w:val="18"/>
          <w:color w:val="auto"/>
        </w:rPr>
        <w:t>Incentive program payout determinations for 2018 for the named executive officers reflect the Company’s performance against specific, pre-established financial goals. The named executive officers received 2018 annual incentive payouts under the Executive Incentive Plan (“EIP”) at a range of approximately 108% to 137% of their respective targets. These payouts reflect adjusted results that were above the target non-GAAP operating profit of $365 million and the target non-GAAP revenue of $3.4 billion established under the Company’s Brink’s Incentive Plan, as well as performance in the countries within each executive’s area of responsibility (where applicable) and individual performance factors. See the description of 2018 annual incentive payouts beginning on page 33.</w:t>
      </w:r>
    </w:p>
    <w:p>
      <w:pPr>
        <w:spacing w:after="0" w:line="96" w:lineRule="exact"/>
        <w:rPr>
          <w:sz w:val="20"/>
          <w:szCs w:val="20"/>
          <w:color w:val="auto"/>
        </w:rPr>
      </w:pPr>
    </w:p>
    <w:p>
      <w:pPr>
        <w:ind w:left="220" w:right="60"/>
        <w:spacing w:after="0" w:line="236" w:lineRule="auto"/>
        <w:rPr>
          <w:sz w:val="20"/>
          <w:szCs w:val="20"/>
          <w:color w:val="auto"/>
        </w:rPr>
      </w:pPr>
      <w:r>
        <w:rPr>
          <w:rFonts w:ascii="Arial" w:cs="Arial" w:eastAsia="Arial" w:hAnsi="Arial"/>
          <w:sz w:val="18"/>
          <w:szCs w:val="18"/>
          <w:color w:val="auto"/>
        </w:rPr>
        <w:t>Payouts for Relative TSR PSUs for the 2016 – 2018 performance period reflect TSR above the 75</w:t>
      </w:r>
      <w:r>
        <w:rPr>
          <w:rFonts w:ascii="Arial" w:cs="Arial" w:eastAsia="Arial" w:hAnsi="Arial"/>
          <w:sz w:val="15"/>
          <w:szCs w:val="15"/>
          <w:color w:val="auto"/>
        </w:rPr>
        <w:t>th</w:t>
      </w:r>
      <w:r>
        <w:rPr>
          <w:rFonts w:ascii="Arial" w:cs="Arial" w:eastAsia="Arial" w:hAnsi="Arial"/>
          <w:sz w:val="18"/>
          <w:szCs w:val="18"/>
          <w:color w:val="auto"/>
        </w:rPr>
        <w:t xml:space="preserve"> percentile of the peer companies (reflecting stock price appreciation of approximately 123%), which resulted in payment of 150% of the target Relative TSR PSUs awarded in 2016. Payouts for Internal Metric PSUs for the 2016 – 2018 performance period reflect performance above the target level of non-GAAP operating profit established by the Compensation Committee and resulted in payment to each named executive officer of 110% of his target Internal Metric PSUs awarded in 2016. See pages 37 and 38 for a description of LTI payouts.</w:t>
      </w:r>
    </w:p>
    <w:p>
      <w:pPr>
        <w:spacing w:after="0" w:line="292" w:lineRule="exact"/>
        <w:rPr>
          <w:sz w:val="20"/>
          <w:szCs w:val="20"/>
          <w:color w:val="auto"/>
        </w:rPr>
      </w:pPr>
    </w:p>
    <w:p>
      <w:pPr>
        <w:ind w:left="220" w:right="240"/>
        <w:spacing w:after="0" w:line="271" w:lineRule="auto"/>
        <w:rPr>
          <w:sz w:val="20"/>
          <w:szCs w:val="20"/>
          <w:color w:val="auto"/>
        </w:rPr>
      </w:pPr>
      <w:r>
        <w:rPr>
          <w:rFonts w:ascii="Arial" w:cs="Arial" w:eastAsia="Arial" w:hAnsi="Arial"/>
          <w:sz w:val="18"/>
          <w:szCs w:val="18"/>
          <w:b w:val="1"/>
          <w:bCs w:val="1"/>
          <w:i w:val="1"/>
          <w:iCs w:val="1"/>
          <w:color w:val="0033A0"/>
        </w:rPr>
        <w:t>2018 Compensation for Chief Executive Officer, Douglas A. Pertz</w:t>
      </w:r>
    </w:p>
    <w:p>
      <w:pPr>
        <w:spacing w:after="0" w:line="68" w:lineRule="exact"/>
        <w:rPr>
          <w:sz w:val="20"/>
          <w:szCs w:val="20"/>
          <w:color w:val="auto"/>
        </w:rPr>
      </w:pPr>
    </w:p>
    <w:p>
      <w:pPr>
        <w:ind w:left="220" w:right="60"/>
        <w:spacing w:after="0"/>
        <w:rPr>
          <w:sz w:val="20"/>
          <w:szCs w:val="20"/>
          <w:color w:val="auto"/>
        </w:rPr>
      </w:pPr>
      <w:r>
        <w:rPr>
          <w:rFonts w:ascii="Arial" w:cs="Arial" w:eastAsia="Arial" w:hAnsi="Arial"/>
          <w:sz w:val="18"/>
          <w:szCs w:val="18"/>
          <w:color w:val="auto"/>
        </w:rPr>
        <w:t>The primary components of compensation for the Chief Executive Officer consist of base salary, annual incentive and long-term incentive.</w:t>
      </w:r>
    </w:p>
    <w:p>
      <w:pPr>
        <w:spacing w:after="0" w:line="285" w:lineRule="exact"/>
        <w:rPr>
          <w:sz w:val="20"/>
          <w:szCs w:val="20"/>
          <w:color w:val="auto"/>
        </w:rPr>
      </w:pPr>
    </w:p>
    <w:tbl>
      <w:tblPr>
        <w:tblLayout w:type="fixed"/>
        <w:tblInd w:w="200" w:type="dxa"/>
        <w:tblCellMar>
          <w:top w:w="0" w:type="dxa"/>
          <w:left w:w="0" w:type="dxa"/>
          <w:bottom w:w="0" w:type="dxa"/>
          <w:right w:w="0" w:type="dxa"/>
        </w:tblCellMar>
      </w:tblPr>
      <w:tr>
        <w:trPr>
          <w:trHeight w:val="284"/>
        </w:trPr>
        <w:tc>
          <w:tcPr>
            <w:tcW w:w="360" w:type="dxa"/>
            <w:vAlign w:val="bottom"/>
            <w:tcBorders>
              <w:right w:val="single" w:sz="8" w:color="0033A0"/>
            </w:tcBorders>
          </w:tcPr>
          <w:p>
            <w:pPr>
              <w:jc w:val="right"/>
              <w:ind w:right="70"/>
              <w:spacing w:after="0"/>
              <w:rPr>
                <w:sz w:val="20"/>
                <w:szCs w:val="20"/>
                <w:color w:val="auto"/>
              </w:rPr>
            </w:pPr>
            <w:r>
              <w:rPr>
                <w:rFonts w:ascii="Arial" w:cs="Arial" w:eastAsia="Arial" w:hAnsi="Arial"/>
                <w:sz w:val="18"/>
                <w:szCs w:val="18"/>
                <w:b w:val="1"/>
                <w:bCs w:val="1"/>
                <w:color w:val="auto"/>
                <w:w w:val="89"/>
              </w:rPr>
              <w:t>26</w:t>
            </w:r>
          </w:p>
        </w:tc>
        <w:tc>
          <w:tcPr>
            <w:tcW w:w="3380" w:type="dxa"/>
            <w:vAlign w:val="bottom"/>
          </w:tcPr>
          <w:p>
            <w:pPr>
              <w:ind w:left="1600"/>
              <w:spacing w:after="0"/>
              <w:rPr>
                <w:sz w:val="20"/>
                <w:szCs w:val="20"/>
                <w:color w:val="auto"/>
              </w:rPr>
            </w:pPr>
            <w:r>
              <w:rPr>
                <w:rFonts w:ascii="Arial" w:cs="Arial" w:eastAsia="Arial" w:hAnsi="Arial"/>
                <w:sz w:val="18"/>
                <w:szCs w:val="18"/>
                <w:i w:val="1"/>
                <w:iCs w:val="1"/>
                <w:color w:val="auto"/>
                <w:w w:val="98"/>
              </w:rPr>
              <w:t>2019 Proxy Statement</w:t>
            </w:r>
          </w:p>
        </w:tc>
      </w:tr>
      <w:tr>
        <w:trPr>
          <w:trHeight w:val="27"/>
        </w:trPr>
        <w:tc>
          <w:tcPr>
            <w:tcW w:w="360" w:type="dxa"/>
            <w:vAlign w:val="bottom"/>
            <w:tcBorders>
              <w:right w:val="single" w:sz="8" w:color="0033A0"/>
            </w:tcBorders>
          </w:tcPr>
          <w:p>
            <w:pPr>
              <w:spacing w:after="0"/>
              <w:rPr>
                <w:sz w:val="2"/>
                <w:szCs w:val="2"/>
                <w:color w:val="auto"/>
              </w:rPr>
            </w:pPr>
          </w:p>
        </w:tc>
        <w:tc>
          <w:tcPr>
            <w:tcW w:w="338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-179705</wp:posOffset>
            </wp:positionV>
            <wp:extent cx="720090" cy="1289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009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For 2018, the Compensation Committee established an annual incentive target of 125% of Mr. Pertz’s base salary. Mr. Pertz received an annual incentive payout of $1,504,913 in March 2019, which represented approximately 123% of the target in light of Brink’s performance against the pre-established performance goals and Mr. Pertz’s individual performance. In February 2018, the Compensation Committee approved an LTI award in the amount of $7,500,000 for Mr. Pertz, which was made up entirely of performance-based equity awards, a majority of which are Performance Stock Options that link vesting to stock price appreciation of 25% for certain awards and 50% for other awards, and are also subject to a three year time vesting requirement. In setting Mr. Pertz’s 2018 LTI, the Compensation Committee considered relevant market data as well as his performance since being appointed Chief Executive Officer in June 2016, expected future contributions to the Company, and the retentive value of the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-2992755</wp:posOffset>
            </wp:positionV>
            <wp:extent cx="72891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33A0"/>
        </w:rPr>
        <w:t>Say on Pay Results and Shareholder Engagement</w:t>
      </w:r>
    </w:p>
    <w:p>
      <w:pPr>
        <w:spacing w:after="0" w:line="126" w:lineRule="exact"/>
        <w:rPr>
          <w:sz w:val="20"/>
          <w:szCs w:val="20"/>
          <w:color w:val="auto"/>
        </w:rPr>
      </w:pPr>
    </w:p>
    <w:p>
      <w:pPr>
        <w:ind w:right="60"/>
        <w:spacing w:after="0"/>
        <w:rPr>
          <w:sz w:val="20"/>
          <w:szCs w:val="20"/>
          <w:color w:val="auto"/>
        </w:rPr>
      </w:pPr>
      <w:r>
        <w:rPr>
          <w:rFonts w:ascii="Arial" w:cs="Arial" w:eastAsia="Arial" w:hAnsi="Arial"/>
          <w:sz w:val="18"/>
          <w:szCs w:val="18"/>
          <w:color w:val="auto"/>
        </w:rPr>
        <w:t>At the 2018 annual meeting, over 98% of votes cast on the “say on pay” proposal approved the compensation awarded to named executive officers.</w:t>
      </w:r>
    </w:p>
    <w:p>
      <w:pPr>
        <w:spacing w:after="0" w:line="9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Compensation Committee and the Board take into account the results of the “say on pay” vote as they consider the design of the executive compensation program and policies. There were no changes made to the Company’s executive compensation program in direct response to the 2018 “say on pay” voting results. Members of management and the Board continue to engage in outreach to the Company’s shareholders to discuss governance and compensation policies and practices and emerging issues.</w:t>
      </w:r>
    </w:p>
    <w:p>
      <w:pPr>
        <w:sectPr>
          <w:pgSz w:w="11900" w:h="16838" w:orient="portrait"/>
          <w:cols w:equalWidth="0" w:num="2">
            <w:col w:w="5480" w:space="340"/>
            <w:col w:w="5380"/>
          </w:cols>
          <w:pgMar w:left="24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6820"/>
        <w:spacing w:after="0"/>
        <w:rPr>
          <w:sz w:val="20"/>
          <w:szCs w:val="20"/>
          <w:color w:val="auto"/>
        </w:rPr>
      </w:pPr>
      <w:r>
        <w:rPr>
          <w:rFonts w:ascii="Arial" w:cs="Arial" w:eastAsia="Arial" w:hAnsi="Arial"/>
          <w:sz w:val="19"/>
          <w:szCs w:val="19"/>
          <w:b w:val="1"/>
          <w:bCs w:val="1"/>
          <w:color w:val="0033A0"/>
        </w:rPr>
        <w:t>COMPENSATION DISCUSSION AND ANALYSIS</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auto"/>
        </w:rPr>
        <w:t>Executive Compensation Program Components for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68580</wp:posOffset>
            </wp:positionV>
            <wp:extent cx="6997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0033A0"/>
        </w:rPr>
        <w:t>Primary Components</w:t>
      </w:r>
    </w:p>
    <w:p>
      <w:pPr>
        <w:spacing w:after="0" w:line="12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Named executive officer compensation awarded in 2018 consisted of the following primary components.</w:t>
      </w:r>
    </w:p>
    <w:p>
      <w:pPr>
        <w:spacing w:after="0" w:line="226" w:lineRule="exact"/>
        <w:rPr>
          <w:sz w:val="20"/>
          <w:szCs w:val="20"/>
          <w:color w:val="auto"/>
        </w:rPr>
      </w:pPr>
    </w:p>
    <w:tbl>
      <w:tblPr>
        <w:tblLayout w:type="fixed"/>
        <w:tblInd w:w="220" w:type="dxa"/>
        <w:tblCellMar>
          <w:top w:w="0" w:type="dxa"/>
          <w:left w:w="0" w:type="dxa"/>
          <w:bottom w:w="0" w:type="dxa"/>
          <w:right w:w="0" w:type="dxa"/>
        </w:tblCellMar>
      </w:tblPr>
      <w:tr>
        <w:trPr>
          <w:trHeight w:val="175"/>
        </w:trPr>
        <w:tc>
          <w:tcPr>
            <w:tcW w:w="22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Compensation Element</w:t>
            </w:r>
          </w:p>
        </w:tc>
        <w:tc>
          <w:tcPr>
            <w:tcW w:w="248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How Payout Determined</w:t>
            </w:r>
          </w:p>
        </w:tc>
        <w:tc>
          <w:tcPr>
            <w:tcW w:w="12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rPr>
              <w:t>Performance Measures</w:t>
            </w:r>
          </w:p>
        </w:tc>
        <w:tc>
          <w:tcPr>
            <w:tcW w:w="2700" w:type="dxa"/>
            <w:vAlign w:val="bottom"/>
            <w:tcBorders>
              <w:bottom w:val="single" w:sz="8" w:color="auto"/>
            </w:tcBorders>
            <w:gridSpan w:val="2"/>
          </w:tcPr>
          <w:p>
            <w:pPr>
              <w:ind w:left="1300"/>
              <w:spacing w:after="0"/>
              <w:rPr>
                <w:sz w:val="20"/>
                <w:szCs w:val="20"/>
                <w:color w:val="auto"/>
              </w:rPr>
            </w:pPr>
            <w:r>
              <w:rPr>
                <w:rFonts w:ascii="Arial" w:cs="Arial" w:eastAsia="Arial" w:hAnsi="Arial"/>
                <w:sz w:val="14"/>
                <w:szCs w:val="14"/>
                <w:b w:val="1"/>
                <w:bCs w:val="1"/>
                <w:color w:val="auto"/>
              </w:rPr>
              <w:t>Purpose</w:t>
            </w:r>
          </w:p>
        </w:tc>
        <w:tc>
          <w:tcPr>
            <w:tcW w:w="3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2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260" w:type="dxa"/>
            <w:vAlign w:val="bottom"/>
            <w:shd w:val="clear" w:color="auto" w:fill="0033A0"/>
          </w:tcPr>
          <w:p>
            <w:pPr>
              <w:ind w:left="60"/>
              <w:spacing w:after="0" w:line="151" w:lineRule="exact"/>
              <w:rPr>
                <w:sz w:val="20"/>
                <w:szCs w:val="20"/>
                <w:color w:val="auto"/>
              </w:rPr>
            </w:pPr>
            <w:r>
              <w:rPr>
                <w:rFonts w:ascii="Arial" w:cs="Arial" w:eastAsia="Arial" w:hAnsi="Arial"/>
                <w:sz w:val="14"/>
                <w:szCs w:val="14"/>
                <w:b w:val="1"/>
                <w:bCs w:val="1"/>
                <w:color w:val="FFFFFF"/>
              </w:rPr>
              <w:t>Salary</w:t>
            </w:r>
          </w:p>
        </w:tc>
        <w:tc>
          <w:tcPr>
            <w:tcW w:w="2480" w:type="dxa"/>
            <w:vAlign w:val="bottom"/>
            <w:shd w:val="clear" w:color="auto" w:fill="E5EAF5"/>
          </w:tcPr>
          <w:p>
            <w:pPr>
              <w:ind w:left="100"/>
              <w:spacing w:after="0" w:line="151" w:lineRule="exact"/>
              <w:rPr>
                <w:sz w:val="20"/>
                <w:szCs w:val="20"/>
                <w:color w:val="auto"/>
              </w:rPr>
            </w:pPr>
            <w:r>
              <w:rPr>
                <w:rFonts w:ascii="Arial" w:cs="Arial" w:eastAsia="Arial" w:hAnsi="Arial"/>
                <w:sz w:val="14"/>
                <w:szCs w:val="14"/>
                <w:color w:val="auto"/>
              </w:rPr>
              <w:t>Compensation Committee judgment,</w:t>
            </w:r>
          </w:p>
        </w:tc>
        <w:tc>
          <w:tcPr>
            <w:tcW w:w="120" w:type="dxa"/>
            <w:vAlign w:val="bottom"/>
            <w:shd w:val="clear" w:color="auto" w:fill="E5EAF5"/>
          </w:tcPr>
          <w:p>
            <w:pPr>
              <w:spacing w:after="0"/>
              <w:rPr>
                <w:sz w:val="13"/>
                <w:szCs w:val="13"/>
                <w:color w:val="auto"/>
              </w:rPr>
            </w:pPr>
          </w:p>
        </w:tc>
        <w:tc>
          <w:tcPr>
            <w:tcW w:w="3080" w:type="dxa"/>
            <w:vAlign w:val="bottom"/>
            <w:shd w:val="clear" w:color="auto" w:fill="E5EAF5"/>
          </w:tcPr>
          <w:p>
            <w:pPr>
              <w:ind w:left="1400"/>
              <w:spacing w:after="0" w:line="151" w:lineRule="exact"/>
              <w:rPr>
                <w:sz w:val="20"/>
                <w:szCs w:val="20"/>
                <w:color w:val="auto"/>
              </w:rPr>
            </w:pPr>
            <w:r>
              <w:rPr>
                <w:rFonts w:ascii="Arial" w:cs="Arial" w:eastAsia="Arial" w:hAnsi="Arial"/>
                <w:sz w:val="14"/>
                <w:szCs w:val="14"/>
                <w:color w:val="auto"/>
              </w:rPr>
              <w:t>N/A</w:t>
            </w:r>
          </w:p>
        </w:tc>
        <w:tc>
          <w:tcPr>
            <w:tcW w:w="3080" w:type="dxa"/>
            <w:vAlign w:val="bottom"/>
            <w:gridSpan w:val="3"/>
            <w:shd w:val="clear" w:color="auto" w:fill="E5EAF5"/>
          </w:tcPr>
          <w:p>
            <w:pPr>
              <w:ind w:left="100"/>
              <w:spacing w:after="0" w:line="151" w:lineRule="exact"/>
              <w:rPr>
                <w:sz w:val="20"/>
                <w:szCs w:val="20"/>
                <w:color w:val="auto"/>
              </w:rPr>
            </w:pPr>
            <w:r>
              <w:rPr>
                <w:rFonts w:ascii="Arial" w:cs="Arial" w:eastAsia="Arial" w:hAnsi="Arial"/>
                <w:sz w:val="14"/>
                <w:szCs w:val="14"/>
                <w:color w:val="0033A0"/>
              </w:rPr>
              <w:t xml:space="preserve">• </w:t>
            </w:r>
            <w:r>
              <w:rPr>
                <w:rFonts w:ascii="Arial" w:cs="Arial" w:eastAsia="Arial" w:hAnsi="Arial"/>
                <w:sz w:val="14"/>
                <w:szCs w:val="14"/>
                <w:color w:val="000000"/>
              </w:rPr>
              <w:t>Provides compensation at a level consistent</w:t>
            </w:r>
          </w:p>
        </w:tc>
        <w:tc>
          <w:tcPr>
            <w:tcW w:w="0" w:type="dxa"/>
            <w:vAlign w:val="bottom"/>
          </w:tcPr>
          <w:p>
            <w:pPr>
              <w:spacing w:after="0"/>
              <w:rPr>
                <w:sz w:val="1"/>
                <w:szCs w:val="1"/>
                <w:color w:val="auto"/>
              </w:rPr>
            </w:pPr>
          </w:p>
        </w:tc>
      </w:tr>
      <w:tr>
        <w:trPr>
          <w:trHeight w:val="162"/>
        </w:trPr>
        <w:tc>
          <w:tcPr>
            <w:tcW w:w="2260" w:type="dxa"/>
            <w:vAlign w:val="bottom"/>
            <w:shd w:val="clear" w:color="auto" w:fill="0033A0"/>
          </w:tcPr>
          <w:p>
            <w:pPr>
              <w:ind w:left="60"/>
              <w:spacing w:after="0"/>
              <w:rPr>
                <w:sz w:val="20"/>
                <w:szCs w:val="20"/>
                <w:color w:val="auto"/>
              </w:rPr>
            </w:pPr>
            <w:r>
              <w:rPr>
                <w:rFonts w:ascii="Arial" w:cs="Arial" w:eastAsia="Arial" w:hAnsi="Arial"/>
                <w:sz w:val="14"/>
                <w:szCs w:val="14"/>
                <w:b w:val="1"/>
                <w:bCs w:val="1"/>
                <w:i w:val="1"/>
                <w:iCs w:val="1"/>
                <w:color w:val="FFFFFF"/>
              </w:rPr>
              <w:t>– fixed</w:t>
            </w:r>
          </w:p>
        </w:tc>
        <w:tc>
          <w:tcPr>
            <w:tcW w:w="2480" w:type="dxa"/>
            <w:vAlign w:val="bottom"/>
            <w:shd w:val="clear" w:color="auto" w:fill="E5EAF5"/>
          </w:tcPr>
          <w:p>
            <w:pPr>
              <w:ind w:left="100"/>
              <w:spacing w:after="0"/>
              <w:rPr>
                <w:sz w:val="20"/>
                <w:szCs w:val="20"/>
                <w:color w:val="auto"/>
              </w:rPr>
            </w:pPr>
            <w:r>
              <w:rPr>
                <w:rFonts w:ascii="Arial" w:cs="Arial" w:eastAsia="Arial" w:hAnsi="Arial"/>
                <w:sz w:val="14"/>
                <w:szCs w:val="14"/>
                <w:color w:val="auto"/>
              </w:rPr>
              <w:t>informed by evaluation of market</w:t>
            </w:r>
          </w:p>
        </w:tc>
        <w:tc>
          <w:tcPr>
            <w:tcW w:w="120" w:type="dxa"/>
            <w:vAlign w:val="bottom"/>
            <w:shd w:val="clear" w:color="auto" w:fill="E5EAF5"/>
          </w:tcPr>
          <w:p>
            <w:pPr>
              <w:spacing w:after="0"/>
              <w:rPr>
                <w:sz w:val="14"/>
                <w:szCs w:val="14"/>
                <w:color w:val="auto"/>
              </w:rPr>
            </w:pPr>
          </w:p>
        </w:tc>
        <w:tc>
          <w:tcPr>
            <w:tcW w:w="3080" w:type="dxa"/>
            <w:vAlign w:val="bottom"/>
            <w:shd w:val="clear" w:color="auto" w:fill="E5EAF5"/>
          </w:tcPr>
          <w:p>
            <w:pPr>
              <w:spacing w:after="0"/>
              <w:rPr>
                <w:sz w:val="14"/>
                <w:szCs w:val="14"/>
                <w:color w:val="auto"/>
              </w:rPr>
            </w:pPr>
          </w:p>
        </w:tc>
        <w:tc>
          <w:tcPr>
            <w:tcW w:w="2700" w:type="dxa"/>
            <w:vAlign w:val="bottom"/>
            <w:gridSpan w:val="2"/>
            <w:shd w:val="clear" w:color="auto" w:fill="E5EAF5"/>
          </w:tcPr>
          <w:p>
            <w:pPr>
              <w:ind w:left="240"/>
              <w:spacing w:after="0"/>
              <w:rPr>
                <w:sz w:val="20"/>
                <w:szCs w:val="20"/>
                <w:color w:val="auto"/>
              </w:rPr>
            </w:pPr>
            <w:r>
              <w:rPr>
                <w:rFonts w:ascii="Arial" w:cs="Arial" w:eastAsia="Arial" w:hAnsi="Arial"/>
                <w:sz w:val="14"/>
                <w:szCs w:val="14"/>
                <w:color w:val="auto"/>
              </w:rPr>
              <w:t>with competitive practices</w:t>
            </w:r>
          </w:p>
        </w:tc>
        <w:tc>
          <w:tcPr>
            <w:tcW w:w="380" w:type="dxa"/>
            <w:vAlign w:val="bottom"/>
            <w:shd w:val="clear" w:color="auto" w:fill="E5EAF5"/>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260" w:type="dxa"/>
            <w:vAlign w:val="bottom"/>
            <w:shd w:val="clear" w:color="auto" w:fill="0033A0"/>
          </w:tcPr>
          <w:p>
            <w:pPr>
              <w:ind w:left="60"/>
              <w:spacing w:after="0"/>
              <w:rPr>
                <w:sz w:val="20"/>
                <w:szCs w:val="20"/>
                <w:color w:val="auto"/>
              </w:rPr>
            </w:pPr>
            <w:r>
              <w:rPr>
                <w:rFonts w:ascii="Arial" w:cs="Arial" w:eastAsia="Arial" w:hAnsi="Arial"/>
                <w:sz w:val="14"/>
                <w:szCs w:val="14"/>
                <w:b w:val="1"/>
                <w:bCs w:val="1"/>
                <w:i w:val="1"/>
                <w:iCs w:val="1"/>
                <w:color w:val="FFFFFF"/>
              </w:rPr>
              <w:t>– paid in cash</w:t>
            </w:r>
          </w:p>
        </w:tc>
        <w:tc>
          <w:tcPr>
            <w:tcW w:w="2480" w:type="dxa"/>
            <w:vAlign w:val="bottom"/>
            <w:shd w:val="clear" w:color="auto" w:fill="E5EAF5"/>
          </w:tcPr>
          <w:p>
            <w:pPr>
              <w:ind w:left="100"/>
              <w:spacing w:after="0"/>
              <w:rPr>
                <w:sz w:val="20"/>
                <w:szCs w:val="20"/>
                <w:color w:val="auto"/>
              </w:rPr>
            </w:pPr>
            <w:r>
              <w:rPr>
                <w:rFonts w:ascii="Arial" w:cs="Arial" w:eastAsia="Arial" w:hAnsi="Arial"/>
                <w:sz w:val="14"/>
                <w:szCs w:val="14"/>
                <w:color w:val="auto"/>
              </w:rPr>
              <w:t>data</w:t>
            </w:r>
          </w:p>
        </w:tc>
        <w:tc>
          <w:tcPr>
            <w:tcW w:w="120" w:type="dxa"/>
            <w:vAlign w:val="bottom"/>
            <w:shd w:val="clear" w:color="auto" w:fill="E5EAF5"/>
          </w:tcPr>
          <w:p>
            <w:pPr>
              <w:spacing w:after="0"/>
              <w:rPr>
                <w:sz w:val="19"/>
                <w:szCs w:val="19"/>
                <w:color w:val="auto"/>
              </w:rPr>
            </w:pPr>
          </w:p>
        </w:tc>
        <w:tc>
          <w:tcPr>
            <w:tcW w:w="3080" w:type="dxa"/>
            <w:vAlign w:val="bottom"/>
            <w:shd w:val="clear" w:color="auto" w:fill="E5EAF5"/>
          </w:tcPr>
          <w:p>
            <w:pPr>
              <w:spacing w:after="0"/>
              <w:rPr>
                <w:sz w:val="19"/>
                <w:szCs w:val="19"/>
                <w:color w:val="auto"/>
              </w:rPr>
            </w:pPr>
          </w:p>
        </w:tc>
        <w:tc>
          <w:tcPr>
            <w:tcW w:w="2700" w:type="dxa"/>
            <w:vAlign w:val="bottom"/>
            <w:gridSpan w:val="2"/>
            <w:shd w:val="clear" w:color="auto" w:fill="E5EAF5"/>
          </w:tcPr>
          <w:p>
            <w:pPr>
              <w:ind w:left="100"/>
              <w:spacing w:after="0"/>
              <w:rPr>
                <w:sz w:val="20"/>
                <w:szCs w:val="20"/>
                <w:color w:val="auto"/>
              </w:rPr>
            </w:pPr>
            <w:r>
              <w:rPr>
                <w:rFonts w:ascii="Arial" w:cs="Arial" w:eastAsia="Arial" w:hAnsi="Arial"/>
                <w:sz w:val="14"/>
                <w:szCs w:val="14"/>
                <w:color w:val="0033A0"/>
              </w:rPr>
              <w:t xml:space="preserve">• </w:t>
            </w:r>
            <w:r>
              <w:rPr>
                <w:rFonts w:ascii="Arial" w:cs="Arial" w:eastAsia="Arial" w:hAnsi="Arial"/>
                <w:sz w:val="14"/>
                <w:szCs w:val="14"/>
                <w:color w:val="000000"/>
              </w:rPr>
              <w:t>Reflects role, responsibilities, skills,</w:t>
            </w:r>
          </w:p>
        </w:tc>
        <w:tc>
          <w:tcPr>
            <w:tcW w:w="380" w:type="dxa"/>
            <w:vAlign w:val="bottom"/>
            <w:shd w:val="clear" w:color="auto" w:fill="E5EAF5"/>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2260" w:type="dxa"/>
            <w:vAlign w:val="bottom"/>
            <w:shd w:val="clear" w:color="auto" w:fill="0033A0"/>
          </w:tcPr>
          <w:p>
            <w:pPr>
              <w:spacing w:after="0"/>
              <w:rPr>
                <w:sz w:val="14"/>
                <w:szCs w:val="14"/>
                <w:color w:val="auto"/>
              </w:rPr>
            </w:pPr>
          </w:p>
        </w:tc>
        <w:tc>
          <w:tcPr>
            <w:tcW w:w="2480" w:type="dxa"/>
            <w:vAlign w:val="bottom"/>
            <w:shd w:val="clear" w:color="auto" w:fill="E5EAF5"/>
          </w:tcPr>
          <w:p>
            <w:pPr>
              <w:spacing w:after="0"/>
              <w:rPr>
                <w:sz w:val="14"/>
                <w:szCs w:val="14"/>
                <w:color w:val="auto"/>
              </w:rPr>
            </w:pPr>
          </w:p>
        </w:tc>
        <w:tc>
          <w:tcPr>
            <w:tcW w:w="120" w:type="dxa"/>
            <w:vAlign w:val="bottom"/>
            <w:shd w:val="clear" w:color="auto" w:fill="E5EAF5"/>
          </w:tcPr>
          <w:p>
            <w:pPr>
              <w:spacing w:after="0"/>
              <w:rPr>
                <w:sz w:val="14"/>
                <w:szCs w:val="14"/>
                <w:color w:val="auto"/>
              </w:rPr>
            </w:pPr>
          </w:p>
        </w:tc>
        <w:tc>
          <w:tcPr>
            <w:tcW w:w="3080" w:type="dxa"/>
            <w:vAlign w:val="bottom"/>
            <w:shd w:val="clear" w:color="auto" w:fill="E5EAF5"/>
          </w:tcPr>
          <w:p>
            <w:pPr>
              <w:spacing w:after="0"/>
              <w:rPr>
                <w:sz w:val="14"/>
                <w:szCs w:val="14"/>
                <w:color w:val="auto"/>
              </w:rPr>
            </w:pPr>
          </w:p>
        </w:tc>
        <w:tc>
          <w:tcPr>
            <w:tcW w:w="2700" w:type="dxa"/>
            <w:vAlign w:val="bottom"/>
            <w:gridSpan w:val="2"/>
            <w:shd w:val="clear" w:color="auto" w:fill="E5EAF5"/>
          </w:tcPr>
          <w:p>
            <w:pPr>
              <w:ind w:left="240"/>
              <w:spacing w:after="0"/>
              <w:rPr>
                <w:sz w:val="20"/>
                <w:szCs w:val="20"/>
                <w:color w:val="auto"/>
              </w:rPr>
            </w:pPr>
            <w:r>
              <w:rPr>
                <w:rFonts w:ascii="Arial" w:cs="Arial" w:eastAsia="Arial" w:hAnsi="Arial"/>
                <w:sz w:val="14"/>
                <w:szCs w:val="14"/>
                <w:color w:val="auto"/>
              </w:rPr>
              <w:t>experience and performance</w:t>
            </w:r>
          </w:p>
        </w:tc>
        <w:tc>
          <w:tcPr>
            <w:tcW w:w="380" w:type="dxa"/>
            <w:vAlign w:val="bottom"/>
            <w:shd w:val="clear" w:color="auto" w:fill="E5EAF5"/>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260" w:type="dxa"/>
            <w:vAlign w:val="bottom"/>
            <w:shd w:val="clear" w:color="auto" w:fill="0033A0"/>
          </w:tcPr>
          <w:p>
            <w:pPr>
              <w:ind w:left="60"/>
              <w:spacing w:after="0"/>
              <w:rPr>
                <w:sz w:val="20"/>
                <w:szCs w:val="20"/>
                <w:color w:val="auto"/>
              </w:rPr>
            </w:pPr>
            <w:r>
              <w:rPr>
                <w:rFonts w:ascii="Arial" w:cs="Arial" w:eastAsia="Arial" w:hAnsi="Arial"/>
                <w:sz w:val="14"/>
                <w:szCs w:val="14"/>
                <w:b w:val="1"/>
                <w:bCs w:val="1"/>
                <w:color w:val="FFFFFF"/>
              </w:rPr>
              <w:t>Annual Incentive</w:t>
            </w:r>
          </w:p>
        </w:tc>
        <w:tc>
          <w:tcPr>
            <w:tcW w:w="2480" w:type="dxa"/>
            <w:vAlign w:val="bottom"/>
            <w:shd w:val="clear" w:color="auto" w:fill="E5EAF5"/>
          </w:tcPr>
          <w:p>
            <w:pPr>
              <w:ind w:left="100"/>
              <w:spacing w:after="0"/>
              <w:rPr>
                <w:sz w:val="20"/>
                <w:szCs w:val="20"/>
                <w:color w:val="auto"/>
              </w:rPr>
            </w:pPr>
            <w:r>
              <w:rPr>
                <w:rFonts w:ascii="Arial" w:cs="Arial" w:eastAsia="Arial" w:hAnsi="Arial"/>
                <w:sz w:val="14"/>
                <w:szCs w:val="14"/>
                <w:color w:val="auto"/>
              </w:rPr>
              <w:t>Compensation Committee review of</w:t>
            </w:r>
          </w:p>
        </w:tc>
        <w:tc>
          <w:tcPr>
            <w:tcW w:w="3200" w:type="dxa"/>
            <w:vAlign w:val="bottom"/>
            <w:gridSpan w:val="2"/>
            <w:shd w:val="clear" w:color="auto" w:fill="E5EAF5"/>
          </w:tcPr>
          <w:p>
            <w:pPr>
              <w:ind w:left="100"/>
              <w:spacing w:after="0"/>
              <w:rPr>
                <w:sz w:val="20"/>
                <w:szCs w:val="20"/>
                <w:color w:val="auto"/>
              </w:rPr>
            </w:pPr>
            <w:r>
              <w:rPr>
                <w:rFonts w:ascii="Arial" w:cs="Arial" w:eastAsia="Arial" w:hAnsi="Arial"/>
                <w:sz w:val="14"/>
                <w:szCs w:val="14"/>
                <w:color w:val="0033A0"/>
              </w:rPr>
              <w:t xml:space="preserve">• </w:t>
            </w:r>
            <w:r>
              <w:rPr>
                <w:rFonts w:ascii="Arial" w:cs="Arial" w:eastAsia="Arial" w:hAnsi="Arial"/>
                <w:sz w:val="14"/>
                <w:szCs w:val="14"/>
                <w:color w:val="000000"/>
              </w:rPr>
              <w:t>Non-GAAP Operating Profit</w:t>
            </w:r>
          </w:p>
        </w:tc>
        <w:tc>
          <w:tcPr>
            <w:tcW w:w="2700" w:type="dxa"/>
            <w:vAlign w:val="bottom"/>
            <w:gridSpan w:val="2"/>
            <w:shd w:val="clear" w:color="auto" w:fill="E5EAF5"/>
          </w:tcPr>
          <w:p>
            <w:pPr>
              <w:ind w:left="100"/>
              <w:spacing w:after="0"/>
              <w:rPr>
                <w:sz w:val="20"/>
                <w:szCs w:val="20"/>
                <w:color w:val="auto"/>
              </w:rPr>
            </w:pPr>
            <w:r>
              <w:rPr>
                <w:rFonts w:ascii="Arial" w:cs="Arial" w:eastAsia="Arial" w:hAnsi="Arial"/>
                <w:sz w:val="14"/>
                <w:szCs w:val="14"/>
                <w:color w:val="0033A0"/>
              </w:rPr>
              <w:t xml:space="preserve">• </w:t>
            </w:r>
            <w:r>
              <w:rPr>
                <w:rFonts w:ascii="Arial" w:cs="Arial" w:eastAsia="Arial" w:hAnsi="Arial"/>
                <w:sz w:val="14"/>
                <w:szCs w:val="14"/>
                <w:color w:val="000000"/>
              </w:rPr>
              <w:t>Motivates and rewards executives for</w:t>
            </w:r>
          </w:p>
        </w:tc>
        <w:tc>
          <w:tcPr>
            <w:tcW w:w="380" w:type="dxa"/>
            <w:vAlign w:val="bottom"/>
            <w:shd w:val="clear" w:color="auto" w:fill="E5EAF5"/>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260" w:type="dxa"/>
            <w:vAlign w:val="bottom"/>
            <w:shd w:val="clear" w:color="auto" w:fill="0033A0"/>
          </w:tcPr>
          <w:p>
            <w:pPr>
              <w:ind w:left="60"/>
              <w:spacing w:after="0"/>
              <w:rPr>
                <w:sz w:val="20"/>
                <w:szCs w:val="20"/>
                <w:color w:val="auto"/>
              </w:rPr>
            </w:pPr>
            <w:r>
              <w:rPr>
                <w:rFonts w:ascii="Arial" w:cs="Arial" w:eastAsia="Arial" w:hAnsi="Arial"/>
                <w:sz w:val="14"/>
                <w:szCs w:val="14"/>
                <w:b w:val="1"/>
                <w:bCs w:val="1"/>
                <w:i w:val="1"/>
                <w:iCs w:val="1"/>
                <w:color w:val="FFFFFF"/>
              </w:rPr>
              <w:t>– variable</w:t>
            </w:r>
          </w:p>
        </w:tc>
        <w:tc>
          <w:tcPr>
            <w:tcW w:w="2480" w:type="dxa"/>
            <w:vAlign w:val="bottom"/>
            <w:shd w:val="clear" w:color="auto" w:fill="E5EAF5"/>
          </w:tcPr>
          <w:p>
            <w:pPr>
              <w:ind w:left="100"/>
              <w:spacing w:after="0"/>
              <w:rPr>
                <w:sz w:val="20"/>
                <w:szCs w:val="20"/>
                <w:color w:val="auto"/>
              </w:rPr>
            </w:pPr>
            <w:r>
              <w:rPr>
                <w:rFonts w:ascii="Arial" w:cs="Arial" w:eastAsia="Arial" w:hAnsi="Arial"/>
                <w:sz w:val="14"/>
                <w:szCs w:val="14"/>
                <w:color w:val="auto"/>
              </w:rPr>
              <w:t>performance against pre-established</w:t>
            </w:r>
          </w:p>
        </w:tc>
        <w:tc>
          <w:tcPr>
            <w:tcW w:w="3200" w:type="dxa"/>
            <w:vAlign w:val="bottom"/>
            <w:gridSpan w:val="2"/>
            <w:shd w:val="clear" w:color="auto" w:fill="E5EAF5"/>
          </w:tcPr>
          <w:p>
            <w:pPr>
              <w:ind w:left="100"/>
              <w:spacing w:after="0"/>
              <w:rPr>
                <w:sz w:val="20"/>
                <w:szCs w:val="20"/>
                <w:color w:val="auto"/>
              </w:rPr>
            </w:pPr>
            <w:r>
              <w:rPr>
                <w:rFonts w:ascii="Arial" w:cs="Arial" w:eastAsia="Arial" w:hAnsi="Arial"/>
                <w:sz w:val="14"/>
                <w:szCs w:val="14"/>
                <w:color w:val="0033A0"/>
              </w:rPr>
              <w:t xml:space="preserve">• </w:t>
            </w:r>
            <w:r>
              <w:rPr>
                <w:rFonts w:ascii="Arial" w:cs="Arial" w:eastAsia="Arial" w:hAnsi="Arial"/>
                <w:sz w:val="14"/>
                <w:szCs w:val="14"/>
                <w:color w:val="000000"/>
              </w:rPr>
              <w:t>Non-GAAP Revenue</w:t>
            </w:r>
          </w:p>
        </w:tc>
        <w:tc>
          <w:tcPr>
            <w:tcW w:w="2700" w:type="dxa"/>
            <w:vAlign w:val="bottom"/>
            <w:gridSpan w:val="2"/>
            <w:shd w:val="clear" w:color="auto" w:fill="E5EAF5"/>
          </w:tcPr>
          <w:p>
            <w:pPr>
              <w:ind w:left="240"/>
              <w:spacing w:after="0"/>
              <w:rPr>
                <w:sz w:val="20"/>
                <w:szCs w:val="20"/>
                <w:color w:val="auto"/>
              </w:rPr>
            </w:pPr>
            <w:r>
              <w:rPr>
                <w:rFonts w:ascii="Arial" w:cs="Arial" w:eastAsia="Arial" w:hAnsi="Arial"/>
                <w:sz w:val="14"/>
                <w:szCs w:val="14"/>
                <w:color w:val="auto"/>
              </w:rPr>
              <w:t>achievement of annual goals</w:t>
            </w:r>
          </w:p>
        </w:tc>
        <w:tc>
          <w:tcPr>
            <w:tcW w:w="380" w:type="dxa"/>
            <w:vAlign w:val="bottom"/>
            <w:shd w:val="clear" w:color="auto" w:fill="E5EAF5"/>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260" w:type="dxa"/>
            <w:vAlign w:val="bottom"/>
            <w:shd w:val="clear" w:color="auto" w:fill="0033A0"/>
          </w:tcPr>
          <w:p>
            <w:pPr>
              <w:ind w:left="60"/>
              <w:spacing w:after="0"/>
              <w:rPr>
                <w:sz w:val="20"/>
                <w:szCs w:val="20"/>
                <w:color w:val="auto"/>
              </w:rPr>
            </w:pPr>
            <w:r>
              <w:rPr>
                <w:rFonts w:ascii="Arial" w:cs="Arial" w:eastAsia="Arial" w:hAnsi="Arial"/>
                <w:sz w:val="14"/>
                <w:szCs w:val="14"/>
                <w:b w:val="1"/>
                <w:bCs w:val="1"/>
                <w:i w:val="1"/>
                <w:iCs w:val="1"/>
                <w:color w:val="FFFFFF"/>
              </w:rPr>
              <w:t>– paid in cash</w:t>
            </w:r>
          </w:p>
        </w:tc>
        <w:tc>
          <w:tcPr>
            <w:tcW w:w="2480" w:type="dxa"/>
            <w:vAlign w:val="bottom"/>
            <w:shd w:val="clear" w:color="auto" w:fill="E5EAF5"/>
          </w:tcPr>
          <w:p>
            <w:pPr>
              <w:ind w:left="100"/>
              <w:spacing w:after="0"/>
              <w:rPr>
                <w:sz w:val="20"/>
                <w:szCs w:val="20"/>
                <w:color w:val="auto"/>
              </w:rPr>
            </w:pPr>
            <w:r>
              <w:rPr>
                <w:rFonts w:ascii="Arial" w:cs="Arial" w:eastAsia="Arial" w:hAnsi="Arial"/>
                <w:sz w:val="14"/>
                <w:szCs w:val="14"/>
                <w:color w:val="auto"/>
              </w:rPr>
              <w:t>goals and individual performance,</w:t>
            </w:r>
          </w:p>
        </w:tc>
        <w:tc>
          <w:tcPr>
            <w:tcW w:w="120" w:type="dxa"/>
            <w:vAlign w:val="bottom"/>
            <w:shd w:val="clear" w:color="auto" w:fill="E5EAF5"/>
          </w:tcPr>
          <w:p>
            <w:pPr>
              <w:spacing w:after="0"/>
              <w:rPr>
                <w:sz w:val="14"/>
                <w:szCs w:val="14"/>
                <w:color w:val="auto"/>
              </w:rPr>
            </w:pPr>
          </w:p>
        </w:tc>
        <w:tc>
          <w:tcPr>
            <w:tcW w:w="3080" w:type="dxa"/>
            <w:vAlign w:val="bottom"/>
            <w:shd w:val="clear" w:color="auto" w:fill="E5EAF5"/>
          </w:tcPr>
          <w:p>
            <w:pPr>
              <w:spacing w:after="0"/>
              <w:rPr>
                <w:sz w:val="14"/>
                <w:szCs w:val="14"/>
                <w:color w:val="auto"/>
              </w:rPr>
            </w:pPr>
          </w:p>
        </w:tc>
        <w:tc>
          <w:tcPr>
            <w:tcW w:w="2700" w:type="dxa"/>
            <w:vAlign w:val="bottom"/>
            <w:gridSpan w:val="2"/>
            <w:shd w:val="clear" w:color="auto" w:fill="E5EAF5"/>
          </w:tcPr>
          <w:p>
            <w:pPr>
              <w:ind w:left="100"/>
              <w:spacing w:after="0"/>
              <w:rPr>
                <w:sz w:val="20"/>
                <w:szCs w:val="20"/>
                <w:color w:val="auto"/>
              </w:rPr>
            </w:pPr>
            <w:r>
              <w:rPr>
                <w:rFonts w:ascii="Arial" w:cs="Arial" w:eastAsia="Arial" w:hAnsi="Arial"/>
                <w:sz w:val="14"/>
                <w:szCs w:val="14"/>
                <w:color w:val="0033A0"/>
              </w:rPr>
              <w:t xml:space="preserve">• </w:t>
            </w:r>
            <w:r>
              <w:rPr>
                <w:rFonts w:ascii="Arial" w:cs="Arial" w:eastAsia="Arial" w:hAnsi="Arial"/>
                <w:sz w:val="14"/>
                <w:szCs w:val="14"/>
                <w:color w:val="000000"/>
              </w:rPr>
              <w:t>Aligns management and shareholder</w:t>
            </w:r>
          </w:p>
        </w:tc>
        <w:tc>
          <w:tcPr>
            <w:tcW w:w="380" w:type="dxa"/>
            <w:vAlign w:val="bottom"/>
            <w:shd w:val="clear" w:color="auto" w:fill="E5EAF5"/>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60" w:type="dxa"/>
            <w:vAlign w:val="bottom"/>
            <w:shd w:val="clear" w:color="auto" w:fill="0033A0"/>
          </w:tcPr>
          <w:p>
            <w:pPr>
              <w:spacing w:after="0"/>
              <w:rPr>
                <w:sz w:val="14"/>
                <w:szCs w:val="14"/>
                <w:color w:val="auto"/>
              </w:rPr>
            </w:pPr>
          </w:p>
        </w:tc>
        <w:tc>
          <w:tcPr>
            <w:tcW w:w="2480" w:type="dxa"/>
            <w:vAlign w:val="bottom"/>
            <w:shd w:val="clear" w:color="auto" w:fill="E5EAF5"/>
          </w:tcPr>
          <w:p>
            <w:pPr>
              <w:ind w:left="100"/>
              <w:spacing w:after="0"/>
              <w:rPr>
                <w:sz w:val="20"/>
                <w:szCs w:val="20"/>
                <w:color w:val="auto"/>
              </w:rPr>
            </w:pPr>
            <w:r>
              <w:rPr>
                <w:rFonts w:ascii="Arial" w:cs="Arial" w:eastAsia="Arial" w:hAnsi="Arial"/>
                <w:sz w:val="14"/>
                <w:szCs w:val="14"/>
                <w:color w:val="auto"/>
              </w:rPr>
              <w:t>with discretion to reduce payout</w:t>
            </w:r>
          </w:p>
        </w:tc>
        <w:tc>
          <w:tcPr>
            <w:tcW w:w="120" w:type="dxa"/>
            <w:vAlign w:val="bottom"/>
            <w:shd w:val="clear" w:color="auto" w:fill="E5EAF5"/>
          </w:tcPr>
          <w:p>
            <w:pPr>
              <w:spacing w:after="0"/>
              <w:rPr>
                <w:sz w:val="14"/>
                <w:szCs w:val="14"/>
                <w:color w:val="auto"/>
              </w:rPr>
            </w:pPr>
          </w:p>
        </w:tc>
        <w:tc>
          <w:tcPr>
            <w:tcW w:w="3080" w:type="dxa"/>
            <w:vAlign w:val="bottom"/>
            <w:shd w:val="clear" w:color="auto" w:fill="E5EAF5"/>
          </w:tcPr>
          <w:p>
            <w:pPr>
              <w:spacing w:after="0"/>
              <w:rPr>
                <w:sz w:val="14"/>
                <w:szCs w:val="14"/>
                <w:color w:val="auto"/>
              </w:rPr>
            </w:pPr>
          </w:p>
        </w:tc>
        <w:tc>
          <w:tcPr>
            <w:tcW w:w="3080" w:type="dxa"/>
            <w:vAlign w:val="bottom"/>
            <w:gridSpan w:val="3"/>
            <w:shd w:val="clear" w:color="auto" w:fill="E5EAF5"/>
          </w:tcPr>
          <w:p>
            <w:pPr>
              <w:ind w:left="240"/>
              <w:spacing w:after="0"/>
              <w:rPr>
                <w:sz w:val="20"/>
                <w:szCs w:val="20"/>
                <w:color w:val="auto"/>
              </w:rPr>
            </w:pPr>
            <w:r>
              <w:rPr>
                <w:rFonts w:ascii="Arial" w:cs="Arial" w:eastAsia="Arial" w:hAnsi="Arial"/>
                <w:sz w:val="14"/>
                <w:szCs w:val="14"/>
                <w:color w:val="auto"/>
              </w:rPr>
              <w:t>interests by linking pay and performance</w:t>
            </w:r>
          </w:p>
        </w:tc>
        <w:tc>
          <w:tcPr>
            <w:tcW w:w="0" w:type="dxa"/>
            <w:vAlign w:val="bottom"/>
          </w:tcPr>
          <w:p>
            <w:pPr>
              <w:spacing w:after="0"/>
              <w:rPr>
                <w:sz w:val="1"/>
                <w:szCs w:val="1"/>
                <w:color w:val="auto"/>
              </w:rPr>
            </w:pPr>
          </w:p>
        </w:tc>
      </w:tr>
      <w:tr>
        <w:trPr>
          <w:trHeight w:val="172"/>
        </w:trPr>
        <w:tc>
          <w:tcPr>
            <w:tcW w:w="2260" w:type="dxa"/>
            <w:vAlign w:val="bottom"/>
            <w:shd w:val="clear" w:color="auto" w:fill="0033A0"/>
          </w:tcPr>
          <w:p>
            <w:pPr>
              <w:spacing w:after="0"/>
              <w:rPr>
                <w:sz w:val="14"/>
                <w:szCs w:val="14"/>
                <w:color w:val="auto"/>
              </w:rPr>
            </w:pPr>
          </w:p>
        </w:tc>
        <w:tc>
          <w:tcPr>
            <w:tcW w:w="2480" w:type="dxa"/>
            <w:vAlign w:val="bottom"/>
            <w:shd w:val="clear" w:color="auto" w:fill="E5EAF5"/>
          </w:tcPr>
          <w:p>
            <w:pPr>
              <w:ind w:left="100"/>
              <w:spacing w:after="0"/>
              <w:rPr>
                <w:sz w:val="20"/>
                <w:szCs w:val="20"/>
                <w:color w:val="auto"/>
              </w:rPr>
            </w:pPr>
            <w:r>
              <w:rPr>
                <w:rFonts w:ascii="Arial" w:cs="Arial" w:eastAsia="Arial" w:hAnsi="Arial"/>
                <w:sz w:val="14"/>
                <w:szCs w:val="14"/>
                <w:color w:val="auto"/>
              </w:rPr>
              <w:t>amounts</w:t>
            </w:r>
          </w:p>
        </w:tc>
        <w:tc>
          <w:tcPr>
            <w:tcW w:w="120" w:type="dxa"/>
            <w:vAlign w:val="bottom"/>
            <w:shd w:val="clear" w:color="auto" w:fill="E5EAF5"/>
          </w:tcPr>
          <w:p>
            <w:pPr>
              <w:spacing w:after="0"/>
              <w:rPr>
                <w:sz w:val="14"/>
                <w:szCs w:val="14"/>
                <w:color w:val="auto"/>
              </w:rPr>
            </w:pPr>
          </w:p>
        </w:tc>
        <w:tc>
          <w:tcPr>
            <w:tcW w:w="3080" w:type="dxa"/>
            <w:vAlign w:val="bottom"/>
            <w:shd w:val="clear" w:color="auto" w:fill="E5EAF5"/>
          </w:tcPr>
          <w:p>
            <w:pPr>
              <w:spacing w:after="0"/>
              <w:rPr>
                <w:sz w:val="14"/>
                <w:szCs w:val="14"/>
                <w:color w:val="auto"/>
              </w:rPr>
            </w:pPr>
          </w:p>
        </w:tc>
        <w:tc>
          <w:tcPr>
            <w:tcW w:w="2560" w:type="dxa"/>
            <w:vAlign w:val="bottom"/>
            <w:tcBorders>
              <w:right w:val="single" w:sz="8" w:color="E5EAF5"/>
            </w:tcBorders>
            <w:shd w:val="clear" w:color="auto" w:fill="E5EAF5"/>
          </w:tcPr>
          <w:p>
            <w:pPr>
              <w:spacing w:after="0"/>
              <w:rPr>
                <w:sz w:val="14"/>
                <w:szCs w:val="14"/>
                <w:color w:val="auto"/>
              </w:rPr>
            </w:pPr>
          </w:p>
        </w:tc>
        <w:tc>
          <w:tcPr>
            <w:tcW w:w="140" w:type="dxa"/>
            <w:vAlign w:val="bottom"/>
            <w:shd w:val="clear" w:color="auto" w:fill="E5EAF5"/>
          </w:tcPr>
          <w:p>
            <w:pPr>
              <w:spacing w:after="0"/>
              <w:rPr>
                <w:sz w:val="14"/>
                <w:szCs w:val="14"/>
                <w:color w:val="auto"/>
              </w:rPr>
            </w:pPr>
          </w:p>
        </w:tc>
        <w:tc>
          <w:tcPr>
            <w:tcW w:w="380" w:type="dxa"/>
            <w:vAlign w:val="bottom"/>
            <w:shd w:val="clear" w:color="auto" w:fill="E5EAF5"/>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2260" w:type="dxa"/>
            <w:vAlign w:val="bottom"/>
            <w:shd w:val="clear" w:color="auto" w:fill="0033A0"/>
          </w:tcPr>
          <w:p>
            <w:pPr>
              <w:ind w:left="60"/>
              <w:spacing w:after="0"/>
              <w:rPr>
                <w:sz w:val="20"/>
                <w:szCs w:val="20"/>
                <w:color w:val="auto"/>
              </w:rPr>
            </w:pPr>
            <w:r>
              <w:rPr>
                <w:rFonts w:ascii="Arial" w:cs="Arial" w:eastAsia="Arial" w:hAnsi="Arial"/>
                <w:sz w:val="14"/>
                <w:szCs w:val="14"/>
                <w:b w:val="1"/>
                <w:bCs w:val="1"/>
                <w:color w:val="FFFFFF"/>
              </w:rPr>
              <w:t>Long-Term</w:t>
            </w:r>
          </w:p>
        </w:tc>
        <w:tc>
          <w:tcPr>
            <w:tcW w:w="2480" w:type="dxa"/>
            <w:vAlign w:val="bottom"/>
            <w:shd w:val="clear" w:color="auto" w:fill="E5EAF5"/>
          </w:tcPr>
          <w:p>
            <w:pPr>
              <w:ind w:left="100"/>
              <w:spacing w:after="0"/>
              <w:rPr>
                <w:sz w:val="20"/>
                <w:szCs w:val="20"/>
                <w:color w:val="auto"/>
              </w:rPr>
            </w:pPr>
            <w:r>
              <w:rPr>
                <w:rFonts w:ascii="Arial" w:cs="Arial" w:eastAsia="Arial" w:hAnsi="Arial"/>
                <w:sz w:val="14"/>
                <w:szCs w:val="14"/>
                <w:color w:val="auto"/>
              </w:rPr>
              <w:t>Formulaic, with Compensation</w:t>
            </w:r>
          </w:p>
        </w:tc>
        <w:tc>
          <w:tcPr>
            <w:tcW w:w="120" w:type="dxa"/>
            <w:vAlign w:val="bottom"/>
            <w:shd w:val="clear" w:color="auto" w:fill="E5EAF5"/>
          </w:tcPr>
          <w:p>
            <w:pPr>
              <w:spacing w:after="0"/>
              <w:rPr>
                <w:sz w:val="19"/>
                <w:szCs w:val="19"/>
                <w:color w:val="auto"/>
              </w:rPr>
            </w:pPr>
          </w:p>
        </w:tc>
        <w:tc>
          <w:tcPr>
            <w:tcW w:w="3080" w:type="dxa"/>
            <w:vAlign w:val="bottom"/>
            <w:shd w:val="clear" w:color="auto" w:fill="E5EAF5"/>
          </w:tcPr>
          <w:p>
            <w:pPr>
              <w:spacing w:after="0"/>
              <w:rPr>
                <w:sz w:val="20"/>
                <w:szCs w:val="20"/>
                <w:color w:val="auto"/>
              </w:rPr>
            </w:pPr>
            <w:r>
              <w:rPr>
                <w:rFonts w:ascii="Arial" w:cs="Arial" w:eastAsia="Arial" w:hAnsi="Arial"/>
                <w:sz w:val="14"/>
                <w:szCs w:val="14"/>
                <w:color w:val="0033A0"/>
              </w:rPr>
              <w:t xml:space="preserve">• </w:t>
            </w:r>
            <w:r>
              <w:rPr>
                <w:rFonts w:ascii="Arial" w:cs="Arial" w:eastAsia="Arial" w:hAnsi="Arial"/>
                <w:sz w:val="14"/>
                <w:szCs w:val="14"/>
                <w:color w:val="000000"/>
              </w:rPr>
              <w:t>Non-GAAP EBITDA</w:t>
            </w:r>
          </w:p>
        </w:tc>
        <w:tc>
          <w:tcPr>
            <w:tcW w:w="2700" w:type="dxa"/>
            <w:vAlign w:val="bottom"/>
            <w:gridSpan w:val="2"/>
            <w:shd w:val="clear" w:color="auto" w:fill="E5EAF5"/>
          </w:tcPr>
          <w:p>
            <w:pPr>
              <w:ind w:left="100"/>
              <w:spacing w:after="0"/>
              <w:rPr>
                <w:sz w:val="20"/>
                <w:szCs w:val="20"/>
                <w:color w:val="auto"/>
              </w:rPr>
            </w:pPr>
            <w:r>
              <w:rPr>
                <w:rFonts w:ascii="Arial" w:cs="Arial" w:eastAsia="Arial" w:hAnsi="Arial"/>
                <w:sz w:val="14"/>
                <w:szCs w:val="14"/>
                <w:color w:val="0033A0"/>
              </w:rPr>
              <w:t xml:space="preserve">• </w:t>
            </w:r>
            <w:r>
              <w:rPr>
                <w:rFonts w:ascii="Arial" w:cs="Arial" w:eastAsia="Arial" w:hAnsi="Arial"/>
                <w:sz w:val="14"/>
                <w:szCs w:val="14"/>
                <w:color w:val="000000"/>
              </w:rPr>
              <w:t>Motivates and rewards executives for</w:t>
            </w:r>
          </w:p>
        </w:tc>
        <w:tc>
          <w:tcPr>
            <w:tcW w:w="380" w:type="dxa"/>
            <w:vAlign w:val="bottom"/>
            <w:shd w:val="clear" w:color="auto" w:fill="E5EAF5"/>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260" w:type="dxa"/>
            <w:vAlign w:val="bottom"/>
            <w:shd w:val="clear" w:color="auto" w:fill="0033A0"/>
          </w:tcPr>
          <w:p>
            <w:pPr>
              <w:ind w:left="60"/>
              <w:spacing w:after="0"/>
              <w:rPr>
                <w:sz w:val="20"/>
                <w:szCs w:val="20"/>
                <w:color w:val="auto"/>
              </w:rPr>
            </w:pPr>
            <w:r>
              <w:rPr>
                <w:rFonts w:ascii="Arial" w:cs="Arial" w:eastAsia="Arial" w:hAnsi="Arial"/>
                <w:sz w:val="14"/>
                <w:szCs w:val="14"/>
                <w:b w:val="1"/>
                <w:bCs w:val="1"/>
                <w:color w:val="FFFFFF"/>
              </w:rPr>
              <w:t>Incentive: PSUs</w:t>
            </w:r>
          </w:p>
        </w:tc>
        <w:tc>
          <w:tcPr>
            <w:tcW w:w="2480" w:type="dxa"/>
            <w:vAlign w:val="bottom"/>
            <w:shd w:val="clear" w:color="auto" w:fill="E5EAF5"/>
          </w:tcPr>
          <w:p>
            <w:pPr>
              <w:ind w:left="100"/>
              <w:spacing w:after="0"/>
              <w:rPr>
                <w:sz w:val="20"/>
                <w:szCs w:val="20"/>
                <w:color w:val="auto"/>
              </w:rPr>
            </w:pPr>
            <w:r>
              <w:rPr>
                <w:rFonts w:ascii="Arial" w:cs="Arial" w:eastAsia="Arial" w:hAnsi="Arial"/>
                <w:sz w:val="14"/>
                <w:szCs w:val="14"/>
                <w:color w:val="auto"/>
              </w:rPr>
              <w:t>Committee review of performance</w:t>
            </w:r>
          </w:p>
        </w:tc>
        <w:tc>
          <w:tcPr>
            <w:tcW w:w="120" w:type="dxa"/>
            <w:vAlign w:val="bottom"/>
            <w:shd w:val="clear" w:color="auto" w:fill="E5EAF5"/>
          </w:tcPr>
          <w:p>
            <w:pPr>
              <w:spacing w:after="0"/>
              <w:rPr>
                <w:sz w:val="16"/>
                <w:szCs w:val="16"/>
                <w:color w:val="auto"/>
              </w:rPr>
            </w:pPr>
          </w:p>
        </w:tc>
        <w:tc>
          <w:tcPr>
            <w:tcW w:w="3080" w:type="dxa"/>
            <w:vAlign w:val="bottom"/>
            <w:shd w:val="clear" w:color="auto" w:fill="E5EAF5"/>
          </w:tcPr>
          <w:p>
            <w:pPr>
              <w:spacing w:after="0"/>
              <w:rPr>
                <w:sz w:val="20"/>
                <w:szCs w:val="20"/>
                <w:color w:val="auto"/>
              </w:rPr>
            </w:pPr>
            <w:r>
              <w:rPr>
                <w:rFonts w:ascii="Arial" w:cs="Arial" w:eastAsia="Arial" w:hAnsi="Arial"/>
                <w:sz w:val="14"/>
                <w:szCs w:val="14"/>
                <w:color w:val="0033A0"/>
              </w:rPr>
              <w:t xml:space="preserve">• </w:t>
            </w:r>
            <w:r>
              <w:rPr>
                <w:rFonts w:ascii="Arial" w:cs="Arial" w:eastAsia="Arial" w:hAnsi="Arial"/>
                <w:sz w:val="14"/>
                <w:szCs w:val="14"/>
                <w:color w:val="000000"/>
              </w:rPr>
              <w:t>Relative TSR</w:t>
            </w:r>
          </w:p>
        </w:tc>
        <w:tc>
          <w:tcPr>
            <w:tcW w:w="3080" w:type="dxa"/>
            <w:vAlign w:val="bottom"/>
            <w:gridSpan w:val="3"/>
            <w:shd w:val="clear" w:color="auto" w:fill="E5EAF5"/>
          </w:tcPr>
          <w:p>
            <w:pPr>
              <w:ind w:left="240"/>
              <w:spacing w:after="0"/>
              <w:rPr>
                <w:sz w:val="20"/>
                <w:szCs w:val="20"/>
                <w:color w:val="auto"/>
              </w:rPr>
            </w:pPr>
            <w:r>
              <w:rPr>
                <w:rFonts w:ascii="Arial" w:cs="Arial" w:eastAsia="Arial" w:hAnsi="Arial"/>
                <w:sz w:val="14"/>
                <w:szCs w:val="14"/>
                <w:color w:val="auto"/>
              </w:rPr>
              <w:t>achievement of long-term goals intended to</w:t>
            </w:r>
          </w:p>
        </w:tc>
        <w:tc>
          <w:tcPr>
            <w:tcW w:w="0" w:type="dxa"/>
            <w:vAlign w:val="bottom"/>
          </w:tcPr>
          <w:p>
            <w:pPr>
              <w:spacing w:after="0"/>
              <w:rPr>
                <w:sz w:val="1"/>
                <w:szCs w:val="1"/>
                <w:color w:val="auto"/>
              </w:rPr>
            </w:pPr>
          </w:p>
        </w:tc>
      </w:tr>
      <w:tr>
        <w:trPr>
          <w:trHeight w:val="137"/>
        </w:trPr>
        <w:tc>
          <w:tcPr>
            <w:tcW w:w="2260" w:type="dxa"/>
            <w:vAlign w:val="bottom"/>
            <w:shd w:val="clear" w:color="auto" w:fill="0033A0"/>
          </w:tcPr>
          <w:p>
            <w:pPr>
              <w:ind w:left="60"/>
              <w:spacing w:after="0" w:line="137" w:lineRule="exact"/>
              <w:rPr>
                <w:sz w:val="20"/>
                <w:szCs w:val="20"/>
                <w:color w:val="auto"/>
              </w:rPr>
            </w:pPr>
            <w:r>
              <w:rPr>
                <w:rFonts w:ascii="Arial" w:cs="Arial" w:eastAsia="Arial" w:hAnsi="Arial"/>
                <w:sz w:val="14"/>
                <w:szCs w:val="14"/>
                <w:b w:val="1"/>
                <w:bCs w:val="1"/>
                <w:i w:val="1"/>
                <w:iCs w:val="1"/>
                <w:color w:val="FFFFFF"/>
              </w:rPr>
              <w:t>– variable</w:t>
            </w:r>
          </w:p>
        </w:tc>
        <w:tc>
          <w:tcPr>
            <w:tcW w:w="2480" w:type="dxa"/>
            <w:vAlign w:val="bottom"/>
            <w:shd w:val="clear" w:color="auto" w:fill="E5EAF5"/>
          </w:tcPr>
          <w:p>
            <w:pPr>
              <w:ind w:left="100"/>
              <w:spacing w:after="0" w:line="137" w:lineRule="exact"/>
              <w:rPr>
                <w:sz w:val="20"/>
                <w:szCs w:val="20"/>
                <w:color w:val="auto"/>
              </w:rPr>
            </w:pPr>
            <w:r>
              <w:rPr>
                <w:rFonts w:ascii="Arial" w:cs="Arial" w:eastAsia="Arial" w:hAnsi="Arial"/>
                <w:sz w:val="14"/>
                <w:szCs w:val="14"/>
                <w:color w:val="auto"/>
              </w:rPr>
              <w:t>against pre-established goals</w:t>
            </w:r>
          </w:p>
        </w:tc>
        <w:tc>
          <w:tcPr>
            <w:tcW w:w="120" w:type="dxa"/>
            <w:vAlign w:val="bottom"/>
            <w:shd w:val="clear" w:color="auto" w:fill="E5EAF5"/>
          </w:tcPr>
          <w:p>
            <w:pPr>
              <w:spacing w:after="0"/>
              <w:rPr>
                <w:sz w:val="11"/>
                <w:szCs w:val="11"/>
                <w:color w:val="auto"/>
              </w:rPr>
            </w:pPr>
          </w:p>
        </w:tc>
        <w:tc>
          <w:tcPr>
            <w:tcW w:w="3080" w:type="dxa"/>
            <w:vAlign w:val="bottom"/>
            <w:vMerge w:val="restart"/>
            <w:shd w:val="clear" w:color="auto" w:fill="E5EAF5"/>
          </w:tcPr>
          <w:p>
            <w:pPr>
              <w:spacing w:after="0"/>
              <w:rPr>
                <w:sz w:val="20"/>
                <w:szCs w:val="20"/>
                <w:color w:val="auto"/>
              </w:rPr>
            </w:pPr>
            <w:r>
              <w:rPr>
                <w:rFonts w:ascii="Arial" w:cs="Arial" w:eastAsia="Arial" w:hAnsi="Arial"/>
                <w:sz w:val="14"/>
                <w:szCs w:val="14"/>
                <w:color w:val="0033A0"/>
              </w:rPr>
              <w:t xml:space="preserve">• </w:t>
            </w:r>
            <w:r>
              <w:rPr>
                <w:rFonts w:ascii="Arial" w:cs="Arial" w:eastAsia="Arial" w:hAnsi="Arial"/>
                <w:sz w:val="14"/>
                <w:szCs w:val="14"/>
                <w:color w:val="000000"/>
              </w:rPr>
              <w:t>Stock price performance</w:t>
            </w:r>
          </w:p>
        </w:tc>
        <w:tc>
          <w:tcPr>
            <w:tcW w:w="2700" w:type="dxa"/>
            <w:vAlign w:val="bottom"/>
            <w:gridSpan w:val="2"/>
            <w:shd w:val="clear" w:color="auto" w:fill="E5EAF5"/>
          </w:tcPr>
          <w:p>
            <w:pPr>
              <w:ind w:left="240"/>
              <w:spacing w:after="0" w:line="137" w:lineRule="exact"/>
              <w:rPr>
                <w:sz w:val="20"/>
                <w:szCs w:val="20"/>
                <w:color w:val="auto"/>
              </w:rPr>
            </w:pPr>
            <w:r>
              <w:rPr>
                <w:rFonts w:ascii="Arial" w:cs="Arial" w:eastAsia="Arial" w:hAnsi="Arial"/>
                <w:sz w:val="14"/>
                <w:szCs w:val="14"/>
                <w:color w:val="auto"/>
              </w:rPr>
              <w:t>increase shareholder value</w:t>
            </w:r>
          </w:p>
        </w:tc>
        <w:tc>
          <w:tcPr>
            <w:tcW w:w="380" w:type="dxa"/>
            <w:vAlign w:val="bottom"/>
            <w:shd w:val="clear" w:color="auto" w:fill="E5EAF5"/>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260" w:type="dxa"/>
            <w:vAlign w:val="bottom"/>
            <w:vMerge w:val="restart"/>
            <w:shd w:val="clear" w:color="auto" w:fill="0033A0"/>
          </w:tcPr>
          <w:p>
            <w:pPr>
              <w:ind w:left="60"/>
              <w:spacing w:after="0"/>
              <w:rPr>
                <w:sz w:val="20"/>
                <w:szCs w:val="20"/>
                <w:color w:val="auto"/>
              </w:rPr>
            </w:pPr>
            <w:r>
              <w:rPr>
                <w:rFonts w:ascii="Arial" w:cs="Arial" w:eastAsia="Arial" w:hAnsi="Arial"/>
                <w:sz w:val="14"/>
                <w:szCs w:val="14"/>
                <w:b w:val="1"/>
                <w:bCs w:val="1"/>
                <w:i w:val="1"/>
                <w:iCs w:val="1"/>
                <w:color w:val="FFFFFF"/>
              </w:rPr>
              <w:t>– paid in stock</w:t>
            </w:r>
          </w:p>
        </w:tc>
        <w:tc>
          <w:tcPr>
            <w:tcW w:w="2480" w:type="dxa"/>
            <w:vAlign w:val="bottom"/>
            <w:shd w:val="clear" w:color="auto" w:fill="E5EAF5"/>
          </w:tcPr>
          <w:p>
            <w:pPr>
              <w:spacing w:after="0"/>
              <w:rPr>
                <w:sz w:val="9"/>
                <w:szCs w:val="9"/>
                <w:color w:val="auto"/>
              </w:rPr>
            </w:pPr>
          </w:p>
        </w:tc>
        <w:tc>
          <w:tcPr>
            <w:tcW w:w="120" w:type="dxa"/>
            <w:vAlign w:val="bottom"/>
            <w:shd w:val="clear" w:color="auto" w:fill="E5EAF5"/>
          </w:tcPr>
          <w:p>
            <w:pPr>
              <w:spacing w:after="0"/>
              <w:rPr>
                <w:sz w:val="9"/>
                <w:szCs w:val="9"/>
                <w:color w:val="auto"/>
              </w:rPr>
            </w:pPr>
          </w:p>
        </w:tc>
        <w:tc>
          <w:tcPr>
            <w:tcW w:w="3080" w:type="dxa"/>
            <w:vAlign w:val="bottom"/>
            <w:vMerge w:val="continue"/>
            <w:shd w:val="clear" w:color="auto" w:fill="E5EAF5"/>
          </w:tcPr>
          <w:p>
            <w:pPr>
              <w:spacing w:after="0"/>
              <w:rPr>
                <w:sz w:val="9"/>
                <w:szCs w:val="9"/>
                <w:color w:val="auto"/>
              </w:rPr>
            </w:pPr>
          </w:p>
        </w:tc>
        <w:tc>
          <w:tcPr>
            <w:tcW w:w="3080" w:type="dxa"/>
            <w:vAlign w:val="bottom"/>
            <w:gridSpan w:val="3"/>
            <w:vMerge w:val="restart"/>
            <w:shd w:val="clear" w:color="auto" w:fill="E5EAF5"/>
          </w:tcPr>
          <w:p>
            <w:pPr>
              <w:ind w:left="100"/>
              <w:spacing w:after="0"/>
              <w:rPr>
                <w:sz w:val="20"/>
                <w:szCs w:val="20"/>
                <w:color w:val="auto"/>
              </w:rPr>
            </w:pPr>
            <w:r>
              <w:rPr>
                <w:rFonts w:ascii="Arial" w:cs="Arial" w:eastAsia="Arial" w:hAnsi="Arial"/>
                <w:sz w:val="14"/>
                <w:szCs w:val="14"/>
                <w:color w:val="0033A0"/>
              </w:rPr>
              <w:t xml:space="preserve">• </w:t>
            </w:r>
            <w:r>
              <w:rPr>
                <w:rFonts w:ascii="Arial" w:cs="Arial" w:eastAsia="Arial" w:hAnsi="Arial"/>
                <w:sz w:val="14"/>
                <w:szCs w:val="14"/>
                <w:color w:val="000000"/>
              </w:rPr>
              <w:t>Enhances retention of key executives who</w:t>
            </w:r>
          </w:p>
        </w:tc>
        <w:tc>
          <w:tcPr>
            <w:tcW w:w="0" w:type="dxa"/>
            <w:vAlign w:val="bottom"/>
          </w:tcPr>
          <w:p>
            <w:pPr>
              <w:spacing w:after="0"/>
              <w:rPr>
                <w:sz w:val="1"/>
                <w:szCs w:val="1"/>
                <w:color w:val="auto"/>
              </w:rPr>
            </w:pPr>
          </w:p>
        </w:tc>
      </w:tr>
      <w:tr>
        <w:trPr>
          <w:trHeight w:val="111"/>
        </w:trPr>
        <w:tc>
          <w:tcPr>
            <w:tcW w:w="2260" w:type="dxa"/>
            <w:vAlign w:val="bottom"/>
            <w:vMerge w:val="continue"/>
            <w:shd w:val="clear" w:color="auto" w:fill="0033A0"/>
          </w:tcPr>
          <w:p>
            <w:pPr>
              <w:spacing w:after="0"/>
              <w:rPr>
                <w:sz w:val="9"/>
                <w:szCs w:val="9"/>
                <w:color w:val="auto"/>
              </w:rPr>
            </w:pPr>
          </w:p>
        </w:tc>
        <w:tc>
          <w:tcPr>
            <w:tcW w:w="2480" w:type="dxa"/>
            <w:vAlign w:val="bottom"/>
            <w:shd w:val="clear" w:color="auto" w:fill="E5EAF5"/>
          </w:tcPr>
          <w:p>
            <w:pPr>
              <w:spacing w:after="0"/>
              <w:rPr>
                <w:sz w:val="9"/>
                <w:szCs w:val="9"/>
                <w:color w:val="auto"/>
              </w:rPr>
            </w:pPr>
          </w:p>
        </w:tc>
        <w:tc>
          <w:tcPr>
            <w:tcW w:w="120" w:type="dxa"/>
            <w:vAlign w:val="bottom"/>
            <w:shd w:val="clear" w:color="auto" w:fill="E5EAF5"/>
          </w:tcPr>
          <w:p>
            <w:pPr>
              <w:spacing w:after="0"/>
              <w:rPr>
                <w:sz w:val="9"/>
                <w:szCs w:val="9"/>
                <w:color w:val="auto"/>
              </w:rPr>
            </w:pPr>
          </w:p>
        </w:tc>
        <w:tc>
          <w:tcPr>
            <w:tcW w:w="3080" w:type="dxa"/>
            <w:vAlign w:val="bottom"/>
            <w:shd w:val="clear" w:color="auto" w:fill="E5EAF5"/>
          </w:tcPr>
          <w:p>
            <w:pPr>
              <w:spacing w:after="0"/>
              <w:rPr>
                <w:sz w:val="9"/>
                <w:szCs w:val="9"/>
                <w:color w:val="auto"/>
              </w:rPr>
            </w:pPr>
          </w:p>
        </w:tc>
        <w:tc>
          <w:tcPr>
            <w:tcW w:w="3080" w:type="dxa"/>
            <w:vAlign w:val="bottom"/>
            <w:gridSpan w:val="3"/>
            <w:vMerge w:val="continue"/>
            <w:shd w:val="clear" w:color="auto" w:fill="E5EAF5"/>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2260" w:type="dxa"/>
            <w:vAlign w:val="bottom"/>
            <w:shd w:val="clear" w:color="auto" w:fill="0033A0"/>
          </w:tcPr>
          <w:p>
            <w:pPr>
              <w:spacing w:after="0"/>
              <w:rPr>
                <w:sz w:val="14"/>
                <w:szCs w:val="14"/>
                <w:color w:val="auto"/>
              </w:rPr>
            </w:pPr>
          </w:p>
        </w:tc>
        <w:tc>
          <w:tcPr>
            <w:tcW w:w="2480" w:type="dxa"/>
            <w:vAlign w:val="bottom"/>
            <w:shd w:val="clear" w:color="auto" w:fill="E5EAF5"/>
          </w:tcPr>
          <w:p>
            <w:pPr>
              <w:spacing w:after="0"/>
              <w:rPr>
                <w:sz w:val="14"/>
                <w:szCs w:val="14"/>
                <w:color w:val="auto"/>
              </w:rPr>
            </w:pPr>
          </w:p>
        </w:tc>
        <w:tc>
          <w:tcPr>
            <w:tcW w:w="120" w:type="dxa"/>
            <w:vAlign w:val="bottom"/>
            <w:shd w:val="clear" w:color="auto" w:fill="E5EAF5"/>
          </w:tcPr>
          <w:p>
            <w:pPr>
              <w:spacing w:after="0"/>
              <w:rPr>
                <w:sz w:val="14"/>
                <w:szCs w:val="14"/>
                <w:color w:val="auto"/>
              </w:rPr>
            </w:pPr>
          </w:p>
        </w:tc>
        <w:tc>
          <w:tcPr>
            <w:tcW w:w="3080" w:type="dxa"/>
            <w:vAlign w:val="bottom"/>
            <w:shd w:val="clear" w:color="auto" w:fill="E5EAF5"/>
          </w:tcPr>
          <w:p>
            <w:pPr>
              <w:spacing w:after="0"/>
              <w:rPr>
                <w:sz w:val="14"/>
                <w:szCs w:val="14"/>
                <w:color w:val="auto"/>
              </w:rPr>
            </w:pPr>
          </w:p>
        </w:tc>
        <w:tc>
          <w:tcPr>
            <w:tcW w:w="2700" w:type="dxa"/>
            <w:vAlign w:val="bottom"/>
            <w:gridSpan w:val="2"/>
            <w:shd w:val="clear" w:color="auto" w:fill="E5EAF5"/>
          </w:tcPr>
          <w:p>
            <w:pPr>
              <w:ind w:left="240"/>
              <w:spacing w:after="0"/>
              <w:rPr>
                <w:sz w:val="20"/>
                <w:szCs w:val="20"/>
                <w:color w:val="auto"/>
              </w:rPr>
            </w:pPr>
            <w:r>
              <w:rPr>
                <w:rFonts w:ascii="Arial" w:cs="Arial" w:eastAsia="Arial" w:hAnsi="Arial"/>
                <w:sz w:val="14"/>
                <w:szCs w:val="14"/>
                <w:color w:val="auto"/>
              </w:rPr>
              <w:t>drive sustained performance</w:t>
            </w:r>
          </w:p>
        </w:tc>
        <w:tc>
          <w:tcPr>
            <w:tcW w:w="380" w:type="dxa"/>
            <w:vAlign w:val="bottom"/>
            <w:shd w:val="clear" w:color="auto" w:fill="E5EAF5"/>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2260" w:type="dxa"/>
            <w:vAlign w:val="bottom"/>
            <w:shd w:val="clear" w:color="auto" w:fill="0033A0"/>
          </w:tcPr>
          <w:p>
            <w:pPr>
              <w:ind w:left="60"/>
              <w:spacing w:after="0"/>
              <w:rPr>
                <w:sz w:val="20"/>
                <w:szCs w:val="20"/>
                <w:color w:val="auto"/>
              </w:rPr>
            </w:pPr>
            <w:r>
              <w:rPr>
                <w:rFonts w:ascii="Arial" w:cs="Arial" w:eastAsia="Arial" w:hAnsi="Arial"/>
                <w:sz w:val="14"/>
                <w:szCs w:val="14"/>
                <w:b w:val="1"/>
                <w:bCs w:val="1"/>
                <w:color w:val="FFFFFF"/>
              </w:rPr>
              <w:t>Long-Term</w:t>
            </w:r>
          </w:p>
        </w:tc>
        <w:tc>
          <w:tcPr>
            <w:tcW w:w="2480" w:type="dxa"/>
            <w:vAlign w:val="bottom"/>
            <w:shd w:val="clear" w:color="auto" w:fill="E5EAF5"/>
          </w:tcPr>
          <w:p>
            <w:pPr>
              <w:ind w:left="100"/>
              <w:spacing w:after="0"/>
              <w:rPr>
                <w:sz w:val="20"/>
                <w:szCs w:val="20"/>
                <w:color w:val="auto"/>
              </w:rPr>
            </w:pPr>
            <w:r>
              <w:rPr>
                <w:rFonts w:ascii="Arial" w:cs="Arial" w:eastAsia="Arial" w:hAnsi="Arial"/>
                <w:sz w:val="14"/>
                <w:szCs w:val="14"/>
                <w:color w:val="auto"/>
              </w:rPr>
              <w:t>Options vest only if pre-established</w:t>
            </w:r>
          </w:p>
        </w:tc>
        <w:tc>
          <w:tcPr>
            <w:tcW w:w="120" w:type="dxa"/>
            <w:vAlign w:val="bottom"/>
            <w:shd w:val="clear" w:color="auto" w:fill="E5EAF5"/>
          </w:tcPr>
          <w:p>
            <w:pPr>
              <w:spacing w:after="0"/>
              <w:rPr>
                <w:sz w:val="19"/>
                <w:szCs w:val="19"/>
                <w:color w:val="auto"/>
              </w:rPr>
            </w:pPr>
          </w:p>
        </w:tc>
        <w:tc>
          <w:tcPr>
            <w:tcW w:w="3080" w:type="dxa"/>
            <w:vAlign w:val="bottom"/>
            <w:shd w:val="clear" w:color="auto" w:fill="E5EAF5"/>
          </w:tcPr>
          <w:p>
            <w:pPr>
              <w:spacing w:after="0"/>
              <w:rPr>
                <w:sz w:val="20"/>
                <w:szCs w:val="20"/>
                <w:color w:val="auto"/>
              </w:rPr>
            </w:pPr>
            <w:r>
              <w:rPr>
                <w:rFonts w:ascii="Arial" w:cs="Arial" w:eastAsia="Arial" w:hAnsi="Arial"/>
                <w:sz w:val="14"/>
                <w:szCs w:val="14"/>
                <w:color w:val="auto"/>
              </w:rPr>
              <w:t>Stock price appreciation</w:t>
            </w:r>
          </w:p>
        </w:tc>
        <w:tc>
          <w:tcPr>
            <w:tcW w:w="2700" w:type="dxa"/>
            <w:vAlign w:val="bottom"/>
            <w:gridSpan w:val="2"/>
            <w:shd w:val="clear" w:color="auto" w:fill="E5EAF5"/>
          </w:tcPr>
          <w:p>
            <w:pPr>
              <w:ind w:left="100"/>
              <w:spacing w:after="0"/>
              <w:rPr>
                <w:sz w:val="20"/>
                <w:szCs w:val="20"/>
                <w:color w:val="auto"/>
              </w:rPr>
            </w:pPr>
            <w:r>
              <w:rPr>
                <w:rFonts w:ascii="Arial" w:cs="Arial" w:eastAsia="Arial" w:hAnsi="Arial"/>
                <w:sz w:val="14"/>
                <w:szCs w:val="14"/>
                <w:color w:val="0033A0"/>
              </w:rPr>
              <w:t xml:space="preserve">• </w:t>
            </w:r>
            <w:r>
              <w:rPr>
                <w:rFonts w:ascii="Arial" w:cs="Arial" w:eastAsia="Arial" w:hAnsi="Arial"/>
                <w:sz w:val="14"/>
                <w:szCs w:val="14"/>
                <w:color w:val="000000"/>
              </w:rPr>
              <w:t>Motivates and rewards executives for</w:t>
            </w:r>
          </w:p>
        </w:tc>
        <w:tc>
          <w:tcPr>
            <w:tcW w:w="380" w:type="dxa"/>
            <w:vAlign w:val="bottom"/>
            <w:shd w:val="clear" w:color="auto" w:fill="E5EAF5"/>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260" w:type="dxa"/>
            <w:vAlign w:val="bottom"/>
            <w:shd w:val="clear" w:color="auto" w:fill="0033A0"/>
          </w:tcPr>
          <w:p>
            <w:pPr>
              <w:ind w:left="60"/>
              <w:spacing w:after="0"/>
              <w:rPr>
                <w:sz w:val="20"/>
                <w:szCs w:val="20"/>
                <w:color w:val="auto"/>
              </w:rPr>
            </w:pPr>
            <w:r>
              <w:rPr>
                <w:rFonts w:ascii="Arial" w:cs="Arial" w:eastAsia="Arial" w:hAnsi="Arial"/>
                <w:sz w:val="14"/>
                <w:szCs w:val="14"/>
                <w:b w:val="1"/>
                <w:bCs w:val="1"/>
                <w:color w:val="FFFFFF"/>
              </w:rPr>
              <w:t>Incentive: Performance</w:t>
            </w:r>
          </w:p>
        </w:tc>
        <w:tc>
          <w:tcPr>
            <w:tcW w:w="2480" w:type="dxa"/>
            <w:vAlign w:val="bottom"/>
            <w:shd w:val="clear" w:color="auto" w:fill="E5EAF5"/>
          </w:tcPr>
          <w:p>
            <w:pPr>
              <w:ind w:left="100"/>
              <w:spacing w:after="0"/>
              <w:rPr>
                <w:sz w:val="20"/>
                <w:szCs w:val="20"/>
                <w:color w:val="auto"/>
              </w:rPr>
            </w:pPr>
            <w:r>
              <w:rPr>
                <w:rFonts w:ascii="Arial" w:cs="Arial" w:eastAsia="Arial" w:hAnsi="Arial"/>
                <w:sz w:val="14"/>
                <w:szCs w:val="14"/>
                <w:color w:val="auto"/>
              </w:rPr>
              <w:t>stock price appreciation targets are</w:t>
            </w:r>
          </w:p>
        </w:tc>
        <w:tc>
          <w:tcPr>
            <w:tcW w:w="120" w:type="dxa"/>
            <w:vAlign w:val="bottom"/>
            <w:shd w:val="clear" w:color="auto" w:fill="E5EAF5"/>
          </w:tcPr>
          <w:p>
            <w:pPr>
              <w:spacing w:after="0"/>
              <w:rPr>
                <w:sz w:val="14"/>
                <w:szCs w:val="14"/>
                <w:color w:val="auto"/>
              </w:rPr>
            </w:pPr>
          </w:p>
        </w:tc>
        <w:tc>
          <w:tcPr>
            <w:tcW w:w="3080" w:type="dxa"/>
            <w:vAlign w:val="bottom"/>
            <w:shd w:val="clear" w:color="auto" w:fill="E5EAF5"/>
          </w:tcPr>
          <w:p>
            <w:pPr>
              <w:spacing w:after="0"/>
              <w:rPr>
                <w:sz w:val="14"/>
                <w:szCs w:val="14"/>
                <w:color w:val="auto"/>
              </w:rPr>
            </w:pPr>
          </w:p>
        </w:tc>
        <w:tc>
          <w:tcPr>
            <w:tcW w:w="3080" w:type="dxa"/>
            <w:vAlign w:val="bottom"/>
            <w:gridSpan w:val="3"/>
            <w:shd w:val="clear" w:color="auto" w:fill="E5EAF5"/>
          </w:tcPr>
          <w:p>
            <w:pPr>
              <w:ind w:left="240"/>
              <w:spacing w:after="0"/>
              <w:rPr>
                <w:sz w:val="20"/>
                <w:szCs w:val="20"/>
                <w:color w:val="auto"/>
              </w:rPr>
            </w:pPr>
            <w:r>
              <w:rPr>
                <w:rFonts w:ascii="Arial" w:cs="Arial" w:eastAsia="Arial" w:hAnsi="Arial"/>
                <w:sz w:val="14"/>
                <w:szCs w:val="14"/>
                <w:color w:val="auto"/>
              </w:rPr>
              <w:t>achievement of long-term goals intended to</w:t>
            </w:r>
          </w:p>
        </w:tc>
        <w:tc>
          <w:tcPr>
            <w:tcW w:w="0" w:type="dxa"/>
            <w:vAlign w:val="bottom"/>
          </w:tcPr>
          <w:p>
            <w:pPr>
              <w:spacing w:after="0"/>
              <w:rPr>
                <w:sz w:val="1"/>
                <w:szCs w:val="1"/>
                <w:color w:val="auto"/>
              </w:rPr>
            </w:pPr>
          </w:p>
        </w:tc>
      </w:tr>
      <w:tr>
        <w:trPr>
          <w:trHeight w:val="164"/>
        </w:trPr>
        <w:tc>
          <w:tcPr>
            <w:tcW w:w="2260" w:type="dxa"/>
            <w:vAlign w:val="bottom"/>
            <w:shd w:val="clear" w:color="auto" w:fill="0033A0"/>
          </w:tcPr>
          <w:p>
            <w:pPr>
              <w:ind w:left="60"/>
              <w:spacing w:after="0"/>
              <w:rPr>
                <w:sz w:val="20"/>
                <w:szCs w:val="20"/>
                <w:color w:val="auto"/>
              </w:rPr>
            </w:pPr>
            <w:r>
              <w:rPr>
                <w:rFonts w:ascii="Arial" w:cs="Arial" w:eastAsia="Arial" w:hAnsi="Arial"/>
                <w:sz w:val="14"/>
                <w:szCs w:val="14"/>
                <w:b w:val="1"/>
                <w:bCs w:val="1"/>
                <w:color w:val="FFFFFF"/>
              </w:rPr>
              <w:t>Stock Options</w:t>
            </w:r>
          </w:p>
        </w:tc>
        <w:tc>
          <w:tcPr>
            <w:tcW w:w="2480" w:type="dxa"/>
            <w:vAlign w:val="bottom"/>
            <w:shd w:val="clear" w:color="auto" w:fill="E5EAF5"/>
          </w:tcPr>
          <w:p>
            <w:pPr>
              <w:ind w:left="100"/>
              <w:spacing w:after="0"/>
              <w:rPr>
                <w:sz w:val="20"/>
                <w:szCs w:val="20"/>
                <w:color w:val="auto"/>
              </w:rPr>
            </w:pPr>
            <w:r>
              <w:rPr>
                <w:rFonts w:ascii="Arial" w:cs="Arial" w:eastAsia="Arial" w:hAnsi="Arial"/>
                <w:sz w:val="14"/>
                <w:szCs w:val="14"/>
                <w:color w:val="auto"/>
              </w:rPr>
              <w:t>met</w:t>
            </w:r>
          </w:p>
        </w:tc>
        <w:tc>
          <w:tcPr>
            <w:tcW w:w="120" w:type="dxa"/>
            <w:vAlign w:val="bottom"/>
            <w:shd w:val="clear" w:color="auto" w:fill="E5EAF5"/>
          </w:tcPr>
          <w:p>
            <w:pPr>
              <w:spacing w:after="0"/>
              <w:rPr>
                <w:sz w:val="14"/>
                <w:szCs w:val="14"/>
                <w:color w:val="auto"/>
              </w:rPr>
            </w:pPr>
          </w:p>
        </w:tc>
        <w:tc>
          <w:tcPr>
            <w:tcW w:w="3080" w:type="dxa"/>
            <w:vAlign w:val="bottom"/>
            <w:shd w:val="clear" w:color="auto" w:fill="E5EAF5"/>
          </w:tcPr>
          <w:p>
            <w:pPr>
              <w:spacing w:after="0"/>
              <w:rPr>
                <w:sz w:val="14"/>
                <w:szCs w:val="14"/>
                <w:color w:val="auto"/>
              </w:rPr>
            </w:pPr>
          </w:p>
        </w:tc>
        <w:tc>
          <w:tcPr>
            <w:tcW w:w="2700" w:type="dxa"/>
            <w:vAlign w:val="bottom"/>
            <w:gridSpan w:val="2"/>
            <w:shd w:val="clear" w:color="auto" w:fill="E5EAF5"/>
          </w:tcPr>
          <w:p>
            <w:pPr>
              <w:ind w:left="240"/>
              <w:spacing w:after="0"/>
              <w:rPr>
                <w:sz w:val="20"/>
                <w:szCs w:val="20"/>
                <w:color w:val="auto"/>
              </w:rPr>
            </w:pPr>
            <w:r>
              <w:rPr>
                <w:rFonts w:ascii="Arial" w:cs="Arial" w:eastAsia="Arial" w:hAnsi="Arial"/>
                <w:sz w:val="14"/>
                <w:szCs w:val="14"/>
                <w:color w:val="auto"/>
              </w:rPr>
              <w:t>increase shareholder value</w:t>
            </w:r>
          </w:p>
        </w:tc>
        <w:tc>
          <w:tcPr>
            <w:tcW w:w="380" w:type="dxa"/>
            <w:vAlign w:val="bottom"/>
            <w:shd w:val="clear" w:color="auto" w:fill="E5EAF5"/>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260" w:type="dxa"/>
            <w:vAlign w:val="bottom"/>
            <w:shd w:val="clear" w:color="auto" w:fill="0033A0"/>
          </w:tcPr>
          <w:p>
            <w:pPr>
              <w:ind w:left="60"/>
              <w:spacing w:after="0"/>
              <w:rPr>
                <w:sz w:val="20"/>
                <w:szCs w:val="20"/>
                <w:color w:val="auto"/>
              </w:rPr>
            </w:pPr>
            <w:r>
              <w:rPr>
                <w:rFonts w:ascii="Arial" w:cs="Arial" w:eastAsia="Arial" w:hAnsi="Arial"/>
                <w:sz w:val="14"/>
                <w:szCs w:val="14"/>
                <w:b w:val="1"/>
                <w:bCs w:val="1"/>
                <w:i w:val="1"/>
                <w:iCs w:val="1"/>
                <w:color w:val="FFFFFF"/>
              </w:rPr>
              <w:t>– variable</w:t>
            </w:r>
          </w:p>
        </w:tc>
        <w:tc>
          <w:tcPr>
            <w:tcW w:w="2480" w:type="dxa"/>
            <w:vAlign w:val="bottom"/>
            <w:shd w:val="clear" w:color="auto" w:fill="E5EAF5"/>
          </w:tcPr>
          <w:p>
            <w:pPr>
              <w:spacing w:after="0"/>
              <w:rPr>
                <w:sz w:val="16"/>
                <w:szCs w:val="16"/>
                <w:color w:val="auto"/>
              </w:rPr>
            </w:pPr>
          </w:p>
        </w:tc>
        <w:tc>
          <w:tcPr>
            <w:tcW w:w="120" w:type="dxa"/>
            <w:vAlign w:val="bottom"/>
            <w:shd w:val="clear" w:color="auto" w:fill="E5EAF5"/>
          </w:tcPr>
          <w:p>
            <w:pPr>
              <w:spacing w:after="0"/>
              <w:rPr>
                <w:sz w:val="16"/>
                <w:szCs w:val="16"/>
                <w:color w:val="auto"/>
              </w:rPr>
            </w:pPr>
          </w:p>
        </w:tc>
        <w:tc>
          <w:tcPr>
            <w:tcW w:w="3080" w:type="dxa"/>
            <w:vAlign w:val="bottom"/>
            <w:shd w:val="clear" w:color="auto" w:fill="E5EAF5"/>
          </w:tcPr>
          <w:p>
            <w:pPr>
              <w:spacing w:after="0"/>
              <w:rPr>
                <w:sz w:val="16"/>
                <w:szCs w:val="16"/>
                <w:color w:val="auto"/>
              </w:rPr>
            </w:pPr>
          </w:p>
        </w:tc>
        <w:tc>
          <w:tcPr>
            <w:tcW w:w="3080" w:type="dxa"/>
            <w:vAlign w:val="bottom"/>
            <w:gridSpan w:val="3"/>
            <w:shd w:val="clear" w:color="auto" w:fill="E5EAF5"/>
          </w:tcPr>
          <w:p>
            <w:pPr>
              <w:ind w:left="100"/>
              <w:spacing w:after="0"/>
              <w:rPr>
                <w:sz w:val="20"/>
                <w:szCs w:val="20"/>
                <w:color w:val="auto"/>
              </w:rPr>
            </w:pPr>
            <w:r>
              <w:rPr>
                <w:rFonts w:ascii="Arial" w:cs="Arial" w:eastAsia="Arial" w:hAnsi="Arial"/>
                <w:sz w:val="14"/>
                <w:szCs w:val="14"/>
                <w:color w:val="0033A0"/>
              </w:rPr>
              <w:t xml:space="preserve">• </w:t>
            </w:r>
            <w:r>
              <w:rPr>
                <w:rFonts w:ascii="Arial" w:cs="Arial" w:eastAsia="Arial" w:hAnsi="Arial"/>
                <w:sz w:val="14"/>
                <w:szCs w:val="14"/>
                <w:color w:val="000000"/>
              </w:rPr>
              <w:t>Enhances retention of key executives who</w:t>
            </w:r>
          </w:p>
        </w:tc>
        <w:tc>
          <w:tcPr>
            <w:tcW w:w="0" w:type="dxa"/>
            <w:vAlign w:val="bottom"/>
          </w:tcPr>
          <w:p>
            <w:pPr>
              <w:spacing w:after="0"/>
              <w:rPr>
                <w:sz w:val="1"/>
                <w:szCs w:val="1"/>
                <w:color w:val="auto"/>
              </w:rPr>
            </w:pPr>
          </w:p>
        </w:tc>
      </w:tr>
      <w:tr>
        <w:trPr>
          <w:trHeight w:val="204"/>
        </w:trPr>
        <w:tc>
          <w:tcPr>
            <w:tcW w:w="2260" w:type="dxa"/>
            <w:vAlign w:val="bottom"/>
            <w:shd w:val="clear" w:color="auto" w:fill="0033A0"/>
          </w:tcPr>
          <w:p>
            <w:pPr>
              <w:ind w:left="60"/>
              <w:spacing w:after="0"/>
              <w:rPr>
                <w:sz w:val="20"/>
                <w:szCs w:val="20"/>
                <w:color w:val="auto"/>
              </w:rPr>
            </w:pPr>
            <w:r>
              <w:rPr>
                <w:rFonts w:ascii="Arial" w:cs="Arial" w:eastAsia="Arial" w:hAnsi="Arial"/>
                <w:sz w:val="14"/>
                <w:szCs w:val="14"/>
                <w:b w:val="1"/>
                <w:bCs w:val="1"/>
                <w:i w:val="1"/>
                <w:iCs w:val="1"/>
                <w:color w:val="FFFFFF"/>
              </w:rPr>
              <w:t>– paid in stock</w:t>
            </w:r>
          </w:p>
        </w:tc>
        <w:tc>
          <w:tcPr>
            <w:tcW w:w="2480" w:type="dxa"/>
            <w:vAlign w:val="bottom"/>
            <w:shd w:val="clear" w:color="auto" w:fill="E5EAF5"/>
          </w:tcPr>
          <w:p>
            <w:pPr>
              <w:spacing w:after="0"/>
              <w:rPr>
                <w:sz w:val="17"/>
                <w:szCs w:val="17"/>
                <w:color w:val="auto"/>
              </w:rPr>
            </w:pPr>
          </w:p>
        </w:tc>
        <w:tc>
          <w:tcPr>
            <w:tcW w:w="120" w:type="dxa"/>
            <w:vAlign w:val="bottom"/>
            <w:shd w:val="clear" w:color="auto" w:fill="E5EAF5"/>
          </w:tcPr>
          <w:p>
            <w:pPr>
              <w:spacing w:after="0"/>
              <w:rPr>
                <w:sz w:val="17"/>
                <w:szCs w:val="17"/>
                <w:color w:val="auto"/>
              </w:rPr>
            </w:pPr>
          </w:p>
        </w:tc>
        <w:tc>
          <w:tcPr>
            <w:tcW w:w="3080" w:type="dxa"/>
            <w:vAlign w:val="bottom"/>
            <w:shd w:val="clear" w:color="auto" w:fill="E5EAF5"/>
          </w:tcPr>
          <w:p>
            <w:pPr>
              <w:spacing w:after="0"/>
              <w:rPr>
                <w:sz w:val="17"/>
                <w:szCs w:val="17"/>
                <w:color w:val="auto"/>
              </w:rPr>
            </w:pPr>
          </w:p>
        </w:tc>
        <w:tc>
          <w:tcPr>
            <w:tcW w:w="2700" w:type="dxa"/>
            <w:vAlign w:val="bottom"/>
            <w:gridSpan w:val="2"/>
            <w:shd w:val="clear" w:color="auto" w:fill="E5EAF5"/>
          </w:tcPr>
          <w:p>
            <w:pPr>
              <w:ind w:left="240"/>
              <w:spacing w:after="0"/>
              <w:rPr>
                <w:sz w:val="20"/>
                <w:szCs w:val="20"/>
                <w:color w:val="auto"/>
              </w:rPr>
            </w:pPr>
            <w:r>
              <w:rPr>
                <w:rFonts w:ascii="Arial" w:cs="Arial" w:eastAsia="Arial" w:hAnsi="Arial"/>
                <w:sz w:val="14"/>
                <w:szCs w:val="14"/>
                <w:color w:val="auto"/>
              </w:rPr>
              <w:t>drive sustained performance</w:t>
            </w:r>
          </w:p>
        </w:tc>
        <w:tc>
          <w:tcPr>
            <w:tcW w:w="380" w:type="dxa"/>
            <w:vAlign w:val="bottom"/>
            <w:shd w:val="clear" w:color="auto" w:fill="E5EAF5"/>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260" w:type="dxa"/>
            <w:vAlign w:val="bottom"/>
            <w:shd w:val="clear" w:color="auto" w:fill="0033A0"/>
          </w:tcPr>
          <w:p>
            <w:pPr>
              <w:spacing w:after="0"/>
              <w:rPr>
                <w:sz w:val="16"/>
                <w:szCs w:val="16"/>
                <w:color w:val="auto"/>
              </w:rPr>
            </w:pPr>
          </w:p>
        </w:tc>
        <w:tc>
          <w:tcPr>
            <w:tcW w:w="2480" w:type="dxa"/>
            <w:vAlign w:val="bottom"/>
            <w:shd w:val="clear" w:color="auto" w:fill="E5EAF5"/>
          </w:tcPr>
          <w:p>
            <w:pPr>
              <w:spacing w:after="0"/>
              <w:rPr>
                <w:sz w:val="16"/>
                <w:szCs w:val="16"/>
                <w:color w:val="auto"/>
              </w:rPr>
            </w:pPr>
          </w:p>
        </w:tc>
        <w:tc>
          <w:tcPr>
            <w:tcW w:w="120" w:type="dxa"/>
            <w:vAlign w:val="bottom"/>
            <w:shd w:val="clear" w:color="auto" w:fill="E5EAF5"/>
          </w:tcPr>
          <w:p>
            <w:pPr>
              <w:spacing w:after="0"/>
              <w:rPr>
                <w:sz w:val="16"/>
                <w:szCs w:val="16"/>
                <w:color w:val="auto"/>
              </w:rPr>
            </w:pPr>
          </w:p>
        </w:tc>
        <w:tc>
          <w:tcPr>
            <w:tcW w:w="3080" w:type="dxa"/>
            <w:vAlign w:val="bottom"/>
            <w:shd w:val="clear" w:color="auto" w:fill="E5EAF5"/>
          </w:tcPr>
          <w:p>
            <w:pPr>
              <w:spacing w:after="0"/>
              <w:rPr>
                <w:sz w:val="16"/>
                <w:szCs w:val="16"/>
                <w:color w:val="auto"/>
              </w:rPr>
            </w:pPr>
          </w:p>
        </w:tc>
        <w:tc>
          <w:tcPr>
            <w:tcW w:w="2700" w:type="dxa"/>
            <w:vAlign w:val="bottom"/>
            <w:gridSpan w:val="2"/>
            <w:shd w:val="clear" w:color="auto" w:fill="E5EAF5"/>
          </w:tcPr>
          <w:p>
            <w:pPr>
              <w:ind w:left="100"/>
              <w:spacing w:after="0"/>
              <w:rPr>
                <w:sz w:val="20"/>
                <w:szCs w:val="20"/>
                <w:color w:val="auto"/>
              </w:rPr>
            </w:pPr>
            <w:r>
              <w:rPr>
                <w:rFonts w:ascii="Arial" w:cs="Arial" w:eastAsia="Arial" w:hAnsi="Arial"/>
                <w:sz w:val="14"/>
                <w:szCs w:val="14"/>
                <w:color w:val="0033A0"/>
              </w:rPr>
              <w:t xml:space="preserve">• </w:t>
            </w:r>
            <w:r>
              <w:rPr>
                <w:rFonts w:ascii="Arial" w:cs="Arial" w:eastAsia="Arial" w:hAnsi="Arial"/>
                <w:sz w:val="14"/>
                <w:szCs w:val="14"/>
                <w:color w:val="000000"/>
              </w:rPr>
              <w:t>Aligns management and shareholder</w:t>
            </w:r>
          </w:p>
        </w:tc>
        <w:tc>
          <w:tcPr>
            <w:tcW w:w="380" w:type="dxa"/>
            <w:vAlign w:val="bottom"/>
            <w:shd w:val="clear" w:color="auto" w:fill="E5EAF5"/>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260" w:type="dxa"/>
            <w:vAlign w:val="bottom"/>
            <w:shd w:val="clear" w:color="auto" w:fill="0033A0"/>
          </w:tcPr>
          <w:p>
            <w:pPr>
              <w:spacing w:after="0"/>
              <w:rPr>
                <w:sz w:val="14"/>
                <w:szCs w:val="14"/>
                <w:color w:val="auto"/>
              </w:rPr>
            </w:pPr>
          </w:p>
        </w:tc>
        <w:tc>
          <w:tcPr>
            <w:tcW w:w="2480" w:type="dxa"/>
            <w:vAlign w:val="bottom"/>
            <w:shd w:val="clear" w:color="auto" w:fill="E5EAF5"/>
          </w:tcPr>
          <w:p>
            <w:pPr>
              <w:spacing w:after="0"/>
              <w:rPr>
                <w:sz w:val="14"/>
                <w:szCs w:val="14"/>
                <w:color w:val="auto"/>
              </w:rPr>
            </w:pPr>
          </w:p>
        </w:tc>
        <w:tc>
          <w:tcPr>
            <w:tcW w:w="120" w:type="dxa"/>
            <w:vAlign w:val="bottom"/>
            <w:shd w:val="clear" w:color="auto" w:fill="E5EAF5"/>
          </w:tcPr>
          <w:p>
            <w:pPr>
              <w:spacing w:after="0"/>
              <w:rPr>
                <w:sz w:val="14"/>
                <w:szCs w:val="14"/>
                <w:color w:val="auto"/>
              </w:rPr>
            </w:pPr>
          </w:p>
        </w:tc>
        <w:tc>
          <w:tcPr>
            <w:tcW w:w="3080" w:type="dxa"/>
            <w:vAlign w:val="bottom"/>
            <w:shd w:val="clear" w:color="auto" w:fill="E5EAF5"/>
          </w:tcPr>
          <w:p>
            <w:pPr>
              <w:spacing w:after="0"/>
              <w:rPr>
                <w:sz w:val="14"/>
                <w:szCs w:val="14"/>
                <w:color w:val="auto"/>
              </w:rPr>
            </w:pPr>
          </w:p>
        </w:tc>
        <w:tc>
          <w:tcPr>
            <w:tcW w:w="2700" w:type="dxa"/>
            <w:vAlign w:val="bottom"/>
            <w:gridSpan w:val="2"/>
            <w:shd w:val="clear" w:color="auto" w:fill="E5EAF5"/>
          </w:tcPr>
          <w:p>
            <w:pPr>
              <w:ind w:left="240"/>
              <w:spacing w:after="0"/>
              <w:rPr>
                <w:sz w:val="20"/>
                <w:szCs w:val="20"/>
                <w:color w:val="auto"/>
              </w:rPr>
            </w:pPr>
            <w:r>
              <w:rPr>
                <w:rFonts w:ascii="Arial" w:cs="Arial" w:eastAsia="Arial" w:hAnsi="Arial"/>
                <w:sz w:val="14"/>
                <w:szCs w:val="14"/>
                <w:color w:val="auto"/>
              </w:rPr>
              <w:t>interests by facilitating management</w:t>
            </w:r>
          </w:p>
        </w:tc>
        <w:tc>
          <w:tcPr>
            <w:tcW w:w="380" w:type="dxa"/>
            <w:vAlign w:val="bottom"/>
            <w:shd w:val="clear" w:color="auto" w:fill="E5EAF5"/>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60" w:type="dxa"/>
            <w:vAlign w:val="bottom"/>
            <w:shd w:val="clear" w:color="auto" w:fill="0033A0"/>
          </w:tcPr>
          <w:p>
            <w:pPr>
              <w:spacing w:after="0"/>
              <w:rPr>
                <w:sz w:val="14"/>
                <w:szCs w:val="14"/>
                <w:color w:val="auto"/>
              </w:rPr>
            </w:pPr>
          </w:p>
        </w:tc>
        <w:tc>
          <w:tcPr>
            <w:tcW w:w="2480" w:type="dxa"/>
            <w:vAlign w:val="bottom"/>
            <w:shd w:val="clear" w:color="auto" w:fill="E5EAF5"/>
          </w:tcPr>
          <w:p>
            <w:pPr>
              <w:spacing w:after="0"/>
              <w:rPr>
                <w:sz w:val="14"/>
                <w:szCs w:val="14"/>
                <w:color w:val="auto"/>
              </w:rPr>
            </w:pPr>
          </w:p>
        </w:tc>
        <w:tc>
          <w:tcPr>
            <w:tcW w:w="120" w:type="dxa"/>
            <w:vAlign w:val="bottom"/>
            <w:shd w:val="clear" w:color="auto" w:fill="E5EAF5"/>
          </w:tcPr>
          <w:p>
            <w:pPr>
              <w:spacing w:after="0"/>
              <w:rPr>
                <w:sz w:val="14"/>
                <w:szCs w:val="14"/>
                <w:color w:val="auto"/>
              </w:rPr>
            </w:pPr>
          </w:p>
        </w:tc>
        <w:tc>
          <w:tcPr>
            <w:tcW w:w="3080" w:type="dxa"/>
            <w:vAlign w:val="bottom"/>
            <w:shd w:val="clear" w:color="auto" w:fill="E5EAF5"/>
          </w:tcPr>
          <w:p>
            <w:pPr>
              <w:spacing w:after="0"/>
              <w:rPr>
                <w:sz w:val="14"/>
                <w:szCs w:val="14"/>
                <w:color w:val="auto"/>
              </w:rPr>
            </w:pPr>
          </w:p>
        </w:tc>
        <w:tc>
          <w:tcPr>
            <w:tcW w:w="3080" w:type="dxa"/>
            <w:vAlign w:val="bottom"/>
            <w:gridSpan w:val="3"/>
            <w:shd w:val="clear" w:color="auto" w:fill="E5EAF5"/>
          </w:tcPr>
          <w:p>
            <w:pPr>
              <w:ind w:left="240"/>
              <w:spacing w:after="0"/>
              <w:rPr>
                <w:sz w:val="20"/>
                <w:szCs w:val="20"/>
                <w:color w:val="auto"/>
              </w:rPr>
            </w:pPr>
            <w:r>
              <w:rPr>
                <w:rFonts w:ascii="Arial" w:cs="Arial" w:eastAsia="Arial" w:hAnsi="Arial"/>
                <w:sz w:val="14"/>
                <w:szCs w:val="14"/>
                <w:color w:val="auto"/>
              </w:rPr>
              <w:t>ownership and tying compensation to stock</w:t>
            </w:r>
          </w:p>
        </w:tc>
        <w:tc>
          <w:tcPr>
            <w:tcW w:w="0" w:type="dxa"/>
            <w:vAlign w:val="bottom"/>
          </w:tcPr>
          <w:p>
            <w:pPr>
              <w:spacing w:after="0"/>
              <w:rPr>
                <w:sz w:val="1"/>
                <w:szCs w:val="1"/>
                <w:color w:val="auto"/>
              </w:rPr>
            </w:pPr>
          </w:p>
        </w:tc>
      </w:tr>
      <w:tr>
        <w:trPr>
          <w:trHeight w:val="172"/>
        </w:trPr>
        <w:tc>
          <w:tcPr>
            <w:tcW w:w="2260" w:type="dxa"/>
            <w:vAlign w:val="bottom"/>
            <w:shd w:val="clear" w:color="auto" w:fill="0033A0"/>
          </w:tcPr>
          <w:p>
            <w:pPr>
              <w:spacing w:after="0"/>
              <w:rPr>
                <w:sz w:val="14"/>
                <w:szCs w:val="14"/>
                <w:color w:val="auto"/>
              </w:rPr>
            </w:pPr>
          </w:p>
        </w:tc>
        <w:tc>
          <w:tcPr>
            <w:tcW w:w="2480" w:type="dxa"/>
            <w:vAlign w:val="bottom"/>
            <w:shd w:val="clear" w:color="auto" w:fill="E5EAF5"/>
          </w:tcPr>
          <w:p>
            <w:pPr>
              <w:spacing w:after="0"/>
              <w:rPr>
                <w:sz w:val="14"/>
                <w:szCs w:val="14"/>
                <w:color w:val="auto"/>
              </w:rPr>
            </w:pPr>
          </w:p>
        </w:tc>
        <w:tc>
          <w:tcPr>
            <w:tcW w:w="120" w:type="dxa"/>
            <w:vAlign w:val="bottom"/>
            <w:shd w:val="clear" w:color="auto" w:fill="E5EAF5"/>
          </w:tcPr>
          <w:p>
            <w:pPr>
              <w:spacing w:after="0"/>
              <w:rPr>
                <w:sz w:val="14"/>
                <w:szCs w:val="14"/>
                <w:color w:val="auto"/>
              </w:rPr>
            </w:pPr>
          </w:p>
        </w:tc>
        <w:tc>
          <w:tcPr>
            <w:tcW w:w="3080" w:type="dxa"/>
            <w:vAlign w:val="bottom"/>
            <w:shd w:val="clear" w:color="auto" w:fill="E5EAF5"/>
          </w:tcPr>
          <w:p>
            <w:pPr>
              <w:spacing w:after="0"/>
              <w:rPr>
                <w:sz w:val="14"/>
                <w:szCs w:val="14"/>
                <w:color w:val="auto"/>
              </w:rPr>
            </w:pPr>
          </w:p>
        </w:tc>
        <w:tc>
          <w:tcPr>
            <w:tcW w:w="3080" w:type="dxa"/>
            <w:vAlign w:val="bottom"/>
            <w:gridSpan w:val="3"/>
            <w:shd w:val="clear" w:color="auto" w:fill="E5EAF5"/>
          </w:tcPr>
          <w:p>
            <w:pPr>
              <w:ind w:left="240"/>
              <w:spacing w:after="0"/>
              <w:rPr>
                <w:sz w:val="20"/>
                <w:szCs w:val="20"/>
                <w:color w:val="auto"/>
              </w:rPr>
            </w:pPr>
            <w:r>
              <w:rPr>
                <w:rFonts w:ascii="Arial" w:cs="Arial" w:eastAsia="Arial" w:hAnsi="Arial"/>
                <w:sz w:val="14"/>
                <w:szCs w:val="14"/>
                <w:color w:val="auto"/>
              </w:rPr>
              <w:t>price appreciation over a sustained period</w:t>
            </w:r>
          </w:p>
        </w:tc>
        <w:tc>
          <w:tcPr>
            <w:tcW w:w="0" w:type="dxa"/>
            <w:vAlign w:val="bottom"/>
          </w:tcPr>
          <w:p>
            <w:pPr>
              <w:spacing w:after="0"/>
              <w:rPr>
                <w:sz w:val="1"/>
                <w:szCs w:val="1"/>
                <w:color w:val="auto"/>
              </w:rPr>
            </w:pPr>
          </w:p>
        </w:tc>
      </w:tr>
      <w:tr>
        <w:trPr>
          <w:trHeight w:val="228"/>
        </w:trPr>
        <w:tc>
          <w:tcPr>
            <w:tcW w:w="2260" w:type="dxa"/>
            <w:vAlign w:val="bottom"/>
            <w:shd w:val="clear" w:color="auto" w:fill="0033A0"/>
          </w:tcPr>
          <w:p>
            <w:pPr>
              <w:ind w:left="60"/>
              <w:spacing w:after="0"/>
              <w:rPr>
                <w:sz w:val="20"/>
                <w:szCs w:val="20"/>
                <w:color w:val="auto"/>
              </w:rPr>
            </w:pPr>
            <w:r>
              <w:rPr>
                <w:rFonts w:ascii="Arial" w:cs="Arial" w:eastAsia="Arial" w:hAnsi="Arial"/>
                <w:sz w:val="14"/>
                <w:szCs w:val="14"/>
                <w:b w:val="1"/>
                <w:bCs w:val="1"/>
                <w:color w:val="FFFFFF"/>
              </w:rPr>
              <w:t>Long-Term</w:t>
            </w:r>
          </w:p>
        </w:tc>
        <w:tc>
          <w:tcPr>
            <w:tcW w:w="2480" w:type="dxa"/>
            <w:vAlign w:val="bottom"/>
            <w:shd w:val="clear" w:color="auto" w:fill="E5EAF5"/>
          </w:tcPr>
          <w:p>
            <w:pPr>
              <w:ind w:left="100"/>
              <w:spacing w:after="0"/>
              <w:rPr>
                <w:sz w:val="20"/>
                <w:szCs w:val="20"/>
                <w:color w:val="auto"/>
              </w:rPr>
            </w:pPr>
            <w:r>
              <w:rPr>
                <w:rFonts w:ascii="Arial" w:cs="Arial" w:eastAsia="Arial" w:hAnsi="Arial"/>
                <w:sz w:val="14"/>
                <w:szCs w:val="14"/>
                <w:color w:val="auto"/>
              </w:rPr>
              <w:t>Value of units depends on stock</w:t>
            </w:r>
          </w:p>
        </w:tc>
        <w:tc>
          <w:tcPr>
            <w:tcW w:w="120" w:type="dxa"/>
            <w:vAlign w:val="bottom"/>
            <w:shd w:val="clear" w:color="auto" w:fill="E5EAF5"/>
          </w:tcPr>
          <w:p>
            <w:pPr>
              <w:spacing w:after="0"/>
              <w:rPr>
                <w:sz w:val="19"/>
                <w:szCs w:val="19"/>
                <w:color w:val="auto"/>
              </w:rPr>
            </w:pPr>
          </w:p>
        </w:tc>
        <w:tc>
          <w:tcPr>
            <w:tcW w:w="3080" w:type="dxa"/>
            <w:vAlign w:val="bottom"/>
            <w:shd w:val="clear" w:color="auto" w:fill="E5EAF5"/>
          </w:tcPr>
          <w:p>
            <w:pPr>
              <w:spacing w:after="0"/>
              <w:rPr>
                <w:sz w:val="20"/>
                <w:szCs w:val="20"/>
                <w:color w:val="auto"/>
              </w:rPr>
            </w:pPr>
            <w:r>
              <w:rPr>
                <w:rFonts w:ascii="Arial" w:cs="Arial" w:eastAsia="Arial" w:hAnsi="Arial"/>
                <w:sz w:val="14"/>
                <w:szCs w:val="14"/>
                <w:color w:val="auto"/>
              </w:rPr>
              <w:t>Stock price performance</w:t>
            </w:r>
          </w:p>
        </w:tc>
        <w:tc>
          <w:tcPr>
            <w:tcW w:w="2700" w:type="dxa"/>
            <w:vAlign w:val="bottom"/>
            <w:gridSpan w:val="2"/>
            <w:shd w:val="clear" w:color="auto" w:fill="E5EAF5"/>
          </w:tcPr>
          <w:p>
            <w:pPr>
              <w:ind w:left="100"/>
              <w:spacing w:after="0"/>
              <w:rPr>
                <w:sz w:val="20"/>
                <w:szCs w:val="20"/>
                <w:color w:val="auto"/>
              </w:rPr>
            </w:pPr>
            <w:r>
              <w:rPr>
                <w:rFonts w:ascii="Arial" w:cs="Arial" w:eastAsia="Arial" w:hAnsi="Arial"/>
                <w:sz w:val="14"/>
                <w:szCs w:val="14"/>
                <w:color w:val="0033A0"/>
              </w:rPr>
              <w:t xml:space="preserve">• </w:t>
            </w:r>
            <w:r>
              <w:rPr>
                <w:rFonts w:ascii="Arial" w:cs="Arial" w:eastAsia="Arial" w:hAnsi="Arial"/>
                <w:sz w:val="14"/>
                <w:szCs w:val="14"/>
                <w:color w:val="000000"/>
              </w:rPr>
              <w:t>Motivates and rewards executives for</w:t>
            </w:r>
          </w:p>
        </w:tc>
        <w:tc>
          <w:tcPr>
            <w:tcW w:w="380" w:type="dxa"/>
            <w:vAlign w:val="bottom"/>
            <w:shd w:val="clear" w:color="auto" w:fill="E5EAF5"/>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260" w:type="dxa"/>
            <w:vAlign w:val="bottom"/>
            <w:shd w:val="clear" w:color="auto" w:fill="0033A0"/>
          </w:tcPr>
          <w:p>
            <w:pPr>
              <w:ind w:left="60"/>
              <w:spacing w:after="0"/>
              <w:rPr>
                <w:sz w:val="20"/>
                <w:szCs w:val="20"/>
                <w:color w:val="auto"/>
              </w:rPr>
            </w:pPr>
            <w:r>
              <w:rPr>
                <w:rFonts w:ascii="Arial" w:cs="Arial" w:eastAsia="Arial" w:hAnsi="Arial"/>
                <w:sz w:val="14"/>
                <w:szCs w:val="14"/>
                <w:b w:val="1"/>
                <w:bCs w:val="1"/>
                <w:color w:val="FFFFFF"/>
              </w:rPr>
              <w:t>Incentive: RSUs</w:t>
            </w:r>
          </w:p>
        </w:tc>
        <w:tc>
          <w:tcPr>
            <w:tcW w:w="2480" w:type="dxa"/>
            <w:vAlign w:val="bottom"/>
            <w:shd w:val="clear" w:color="auto" w:fill="E5EAF5"/>
          </w:tcPr>
          <w:p>
            <w:pPr>
              <w:ind w:left="100"/>
              <w:spacing w:after="0"/>
              <w:rPr>
                <w:sz w:val="20"/>
                <w:szCs w:val="20"/>
                <w:color w:val="auto"/>
              </w:rPr>
            </w:pPr>
            <w:r>
              <w:rPr>
                <w:rFonts w:ascii="Arial" w:cs="Arial" w:eastAsia="Arial" w:hAnsi="Arial"/>
                <w:sz w:val="14"/>
                <w:szCs w:val="14"/>
                <w:color w:val="auto"/>
              </w:rPr>
              <w:t>price at time of vesting</w:t>
            </w:r>
          </w:p>
        </w:tc>
        <w:tc>
          <w:tcPr>
            <w:tcW w:w="120" w:type="dxa"/>
            <w:vAlign w:val="bottom"/>
            <w:shd w:val="clear" w:color="auto" w:fill="E5EAF5"/>
          </w:tcPr>
          <w:p>
            <w:pPr>
              <w:spacing w:after="0"/>
              <w:rPr>
                <w:sz w:val="14"/>
                <w:szCs w:val="14"/>
                <w:color w:val="auto"/>
              </w:rPr>
            </w:pPr>
          </w:p>
        </w:tc>
        <w:tc>
          <w:tcPr>
            <w:tcW w:w="3080" w:type="dxa"/>
            <w:vAlign w:val="bottom"/>
            <w:shd w:val="clear" w:color="auto" w:fill="E5EAF5"/>
          </w:tcPr>
          <w:p>
            <w:pPr>
              <w:spacing w:after="0"/>
              <w:rPr>
                <w:sz w:val="14"/>
                <w:szCs w:val="14"/>
                <w:color w:val="auto"/>
              </w:rPr>
            </w:pPr>
          </w:p>
        </w:tc>
        <w:tc>
          <w:tcPr>
            <w:tcW w:w="3080" w:type="dxa"/>
            <w:vAlign w:val="bottom"/>
            <w:gridSpan w:val="3"/>
            <w:shd w:val="clear" w:color="auto" w:fill="E5EAF5"/>
          </w:tcPr>
          <w:p>
            <w:pPr>
              <w:ind w:left="240"/>
              <w:spacing w:after="0"/>
              <w:rPr>
                <w:sz w:val="20"/>
                <w:szCs w:val="20"/>
                <w:color w:val="auto"/>
              </w:rPr>
            </w:pPr>
            <w:r>
              <w:rPr>
                <w:rFonts w:ascii="Arial" w:cs="Arial" w:eastAsia="Arial" w:hAnsi="Arial"/>
                <w:sz w:val="14"/>
                <w:szCs w:val="14"/>
                <w:color w:val="auto"/>
              </w:rPr>
              <w:t>achievement of long-term goals intended to</w:t>
            </w:r>
          </w:p>
        </w:tc>
        <w:tc>
          <w:tcPr>
            <w:tcW w:w="0" w:type="dxa"/>
            <w:vAlign w:val="bottom"/>
          </w:tcPr>
          <w:p>
            <w:pPr>
              <w:spacing w:after="0"/>
              <w:rPr>
                <w:sz w:val="1"/>
                <w:szCs w:val="1"/>
                <w:color w:val="auto"/>
              </w:rPr>
            </w:pPr>
          </w:p>
        </w:tc>
      </w:tr>
      <w:tr>
        <w:trPr>
          <w:trHeight w:val="162"/>
        </w:trPr>
        <w:tc>
          <w:tcPr>
            <w:tcW w:w="2260" w:type="dxa"/>
            <w:vAlign w:val="bottom"/>
            <w:shd w:val="clear" w:color="auto" w:fill="0033A0"/>
          </w:tcPr>
          <w:p>
            <w:pPr>
              <w:ind w:left="60"/>
              <w:spacing w:after="0"/>
              <w:rPr>
                <w:sz w:val="20"/>
                <w:szCs w:val="20"/>
                <w:color w:val="auto"/>
              </w:rPr>
            </w:pPr>
            <w:r>
              <w:rPr>
                <w:rFonts w:ascii="Arial" w:cs="Arial" w:eastAsia="Arial" w:hAnsi="Arial"/>
                <w:sz w:val="14"/>
                <w:szCs w:val="14"/>
                <w:b w:val="1"/>
                <w:bCs w:val="1"/>
                <w:i w:val="1"/>
                <w:iCs w:val="1"/>
                <w:color w:val="FFFFFF"/>
              </w:rPr>
              <w:t>– variable</w:t>
            </w:r>
          </w:p>
        </w:tc>
        <w:tc>
          <w:tcPr>
            <w:tcW w:w="2480" w:type="dxa"/>
            <w:vAlign w:val="bottom"/>
            <w:shd w:val="clear" w:color="auto" w:fill="E5EAF5"/>
          </w:tcPr>
          <w:p>
            <w:pPr>
              <w:spacing w:after="0"/>
              <w:rPr>
                <w:sz w:val="14"/>
                <w:szCs w:val="14"/>
                <w:color w:val="auto"/>
              </w:rPr>
            </w:pPr>
          </w:p>
        </w:tc>
        <w:tc>
          <w:tcPr>
            <w:tcW w:w="120" w:type="dxa"/>
            <w:vAlign w:val="bottom"/>
            <w:shd w:val="clear" w:color="auto" w:fill="E5EAF5"/>
          </w:tcPr>
          <w:p>
            <w:pPr>
              <w:spacing w:after="0"/>
              <w:rPr>
                <w:sz w:val="14"/>
                <w:szCs w:val="14"/>
                <w:color w:val="auto"/>
              </w:rPr>
            </w:pPr>
          </w:p>
        </w:tc>
        <w:tc>
          <w:tcPr>
            <w:tcW w:w="3080" w:type="dxa"/>
            <w:vAlign w:val="bottom"/>
            <w:shd w:val="clear" w:color="auto" w:fill="E5EAF5"/>
          </w:tcPr>
          <w:p>
            <w:pPr>
              <w:spacing w:after="0"/>
              <w:rPr>
                <w:sz w:val="14"/>
                <w:szCs w:val="14"/>
                <w:color w:val="auto"/>
              </w:rPr>
            </w:pPr>
          </w:p>
        </w:tc>
        <w:tc>
          <w:tcPr>
            <w:tcW w:w="2700" w:type="dxa"/>
            <w:vAlign w:val="bottom"/>
            <w:gridSpan w:val="2"/>
            <w:shd w:val="clear" w:color="auto" w:fill="E5EAF5"/>
          </w:tcPr>
          <w:p>
            <w:pPr>
              <w:ind w:left="240"/>
              <w:spacing w:after="0"/>
              <w:rPr>
                <w:sz w:val="20"/>
                <w:szCs w:val="20"/>
                <w:color w:val="auto"/>
              </w:rPr>
            </w:pPr>
            <w:r>
              <w:rPr>
                <w:rFonts w:ascii="Arial" w:cs="Arial" w:eastAsia="Arial" w:hAnsi="Arial"/>
                <w:sz w:val="14"/>
                <w:szCs w:val="14"/>
                <w:color w:val="auto"/>
              </w:rPr>
              <w:t>increase shareholder value</w:t>
            </w:r>
          </w:p>
        </w:tc>
        <w:tc>
          <w:tcPr>
            <w:tcW w:w="380" w:type="dxa"/>
            <w:vAlign w:val="bottom"/>
            <w:shd w:val="clear" w:color="auto" w:fill="E5EAF5"/>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260" w:type="dxa"/>
            <w:vAlign w:val="bottom"/>
            <w:shd w:val="clear" w:color="auto" w:fill="0033A0"/>
          </w:tcPr>
          <w:p>
            <w:pPr>
              <w:ind w:left="60"/>
              <w:spacing w:after="0"/>
              <w:rPr>
                <w:sz w:val="20"/>
                <w:szCs w:val="20"/>
                <w:color w:val="auto"/>
              </w:rPr>
            </w:pPr>
            <w:r>
              <w:rPr>
                <w:rFonts w:ascii="Arial" w:cs="Arial" w:eastAsia="Arial" w:hAnsi="Arial"/>
                <w:sz w:val="14"/>
                <w:szCs w:val="14"/>
                <w:b w:val="1"/>
                <w:bCs w:val="1"/>
                <w:i w:val="1"/>
                <w:iCs w:val="1"/>
                <w:color w:val="FFFFFF"/>
              </w:rPr>
              <w:t>– paid in stock</w:t>
            </w:r>
          </w:p>
        </w:tc>
        <w:tc>
          <w:tcPr>
            <w:tcW w:w="2480" w:type="dxa"/>
            <w:vAlign w:val="bottom"/>
            <w:shd w:val="clear" w:color="auto" w:fill="E5EAF5"/>
          </w:tcPr>
          <w:p>
            <w:pPr>
              <w:spacing w:after="0"/>
              <w:rPr>
                <w:sz w:val="19"/>
                <w:szCs w:val="19"/>
                <w:color w:val="auto"/>
              </w:rPr>
            </w:pPr>
          </w:p>
        </w:tc>
        <w:tc>
          <w:tcPr>
            <w:tcW w:w="120" w:type="dxa"/>
            <w:vAlign w:val="bottom"/>
            <w:shd w:val="clear" w:color="auto" w:fill="E5EAF5"/>
          </w:tcPr>
          <w:p>
            <w:pPr>
              <w:spacing w:after="0"/>
              <w:rPr>
                <w:sz w:val="19"/>
                <w:szCs w:val="19"/>
                <w:color w:val="auto"/>
              </w:rPr>
            </w:pPr>
          </w:p>
        </w:tc>
        <w:tc>
          <w:tcPr>
            <w:tcW w:w="3080" w:type="dxa"/>
            <w:vAlign w:val="bottom"/>
            <w:shd w:val="clear" w:color="auto" w:fill="E5EAF5"/>
          </w:tcPr>
          <w:p>
            <w:pPr>
              <w:spacing w:after="0"/>
              <w:rPr>
                <w:sz w:val="19"/>
                <w:szCs w:val="19"/>
                <w:color w:val="auto"/>
              </w:rPr>
            </w:pPr>
          </w:p>
        </w:tc>
        <w:tc>
          <w:tcPr>
            <w:tcW w:w="3080" w:type="dxa"/>
            <w:vAlign w:val="bottom"/>
            <w:gridSpan w:val="3"/>
            <w:shd w:val="clear" w:color="auto" w:fill="E5EAF5"/>
          </w:tcPr>
          <w:p>
            <w:pPr>
              <w:ind w:left="100"/>
              <w:spacing w:after="0"/>
              <w:rPr>
                <w:sz w:val="20"/>
                <w:szCs w:val="20"/>
                <w:color w:val="auto"/>
              </w:rPr>
            </w:pPr>
            <w:r>
              <w:rPr>
                <w:rFonts w:ascii="Arial" w:cs="Arial" w:eastAsia="Arial" w:hAnsi="Arial"/>
                <w:sz w:val="14"/>
                <w:szCs w:val="14"/>
                <w:color w:val="0033A0"/>
              </w:rPr>
              <w:t xml:space="preserve">• </w:t>
            </w:r>
            <w:r>
              <w:rPr>
                <w:rFonts w:ascii="Arial" w:cs="Arial" w:eastAsia="Arial" w:hAnsi="Arial"/>
                <w:sz w:val="14"/>
                <w:szCs w:val="14"/>
                <w:color w:val="000000"/>
              </w:rPr>
              <w:t>Enhances retention of key executives who</w:t>
            </w:r>
          </w:p>
        </w:tc>
        <w:tc>
          <w:tcPr>
            <w:tcW w:w="0" w:type="dxa"/>
            <w:vAlign w:val="bottom"/>
          </w:tcPr>
          <w:p>
            <w:pPr>
              <w:spacing w:after="0"/>
              <w:rPr>
                <w:sz w:val="1"/>
                <w:szCs w:val="1"/>
                <w:color w:val="auto"/>
              </w:rPr>
            </w:pPr>
          </w:p>
        </w:tc>
      </w:tr>
      <w:tr>
        <w:trPr>
          <w:trHeight w:val="172"/>
        </w:trPr>
        <w:tc>
          <w:tcPr>
            <w:tcW w:w="2260" w:type="dxa"/>
            <w:vAlign w:val="bottom"/>
            <w:shd w:val="clear" w:color="auto" w:fill="0033A0"/>
          </w:tcPr>
          <w:p>
            <w:pPr>
              <w:spacing w:after="0"/>
              <w:rPr>
                <w:sz w:val="14"/>
                <w:szCs w:val="14"/>
                <w:color w:val="auto"/>
              </w:rPr>
            </w:pPr>
          </w:p>
        </w:tc>
        <w:tc>
          <w:tcPr>
            <w:tcW w:w="2480" w:type="dxa"/>
            <w:vAlign w:val="bottom"/>
            <w:shd w:val="clear" w:color="auto" w:fill="E5EAF5"/>
          </w:tcPr>
          <w:p>
            <w:pPr>
              <w:spacing w:after="0"/>
              <w:rPr>
                <w:sz w:val="14"/>
                <w:szCs w:val="14"/>
                <w:color w:val="auto"/>
              </w:rPr>
            </w:pPr>
          </w:p>
        </w:tc>
        <w:tc>
          <w:tcPr>
            <w:tcW w:w="120" w:type="dxa"/>
            <w:vAlign w:val="bottom"/>
            <w:shd w:val="clear" w:color="auto" w:fill="E5EAF5"/>
          </w:tcPr>
          <w:p>
            <w:pPr>
              <w:spacing w:after="0"/>
              <w:rPr>
                <w:sz w:val="14"/>
                <w:szCs w:val="14"/>
                <w:color w:val="auto"/>
              </w:rPr>
            </w:pPr>
          </w:p>
        </w:tc>
        <w:tc>
          <w:tcPr>
            <w:tcW w:w="3080" w:type="dxa"/>
            <w:vAlign w:val="bottom"/>
            <w:shd w:val="clear" w:color="auto" w:fill="E5EAF5"/>
          </w:tcPr>
          <w:p>
            <w:pPr>
              <w:spacing w:after="0"/>
              <w:rPr>
                <w:sz w:val="14"/>
                <w:szCs w:val="14"/>
                <w:color w:val="auto"/>
              </w:rPr>
            </w:pPr>
          </w:p>
        </w:tc>
        <w:tc>
          <w:tcPr>
            <w:tcW w:w="2700" w:type="dxa"/>
            <w:vAlign w:val="bottom"/>
            <w:gridSpan w:val="2"/>
            <w:shd w:val="clear" w:color="auto" w:fill="E5EAF5"/>
          </w:tcPr>
          <w:p>
            <w:pPr>
              <w:ind w:left="240"/>
              <w:spacing w:after="0"/>
              <w:rPr>
                <w:sz w:val="20"/>
                <w:szCs w:val="20"/>
                <w:color w:val="auto"/>
              </w:rPr>
            </w:pPr>
            <w:r>
              <w:rPr>
                <w:rFonts w:ascii="Arial" w:cs="Arial" w:eastAsia="Arial" w:hAnsi="Arial"/>
                <w:sz w:val="14"/>
                <w:szCs w:val="14"/>
                <w:color w:val="auto"/>
              </w:rPr>
              <w:t>drive sustained performance</w:t>
            </w:r>
          </w:p>
        </w:tc>
        <w:tc>
          <w:tcPr>
            <w:tcW w:w="380" w:type="dxa"/>
            <w:vAlign w:val="bottom"/>
            <w:shd w:val="clear" w:color="auto" w:fill="E5EAF5"/>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260" w:type="dxa"/>
            <w:vAlign w:val="bottom"/>
            <w:shd w:val="clear" w:color="auto" w:fill="0033A0"/>
          </w:tcPr>
          <w:p>
            <w:pPr>
              <w:spacing w:after="0"/>
              <w:rPr>
                <w:sz w:val="16"/>
                <w:szCs w:val="16"/>
                <w:color w:val="auto"/>
              </w:rPr>
            </w:pPr>
          </w:p>
        </w:tc>
        <w:tc>
          <w:tcPr>
            <w:tcW w:w="2480" w:type="dxa"/>
            <w:vAlign w:val="bottom"/>
            <w:shd w:val="clear" w:color="auto" w:fill="E5EAF5"/>
          </w:tcPr>
          <w:p>
            <w:pPr>
              <w:spacing w:after="0"/>
              <w:rPr>
                <w:sz w:val="16"/>
                <w:szCs w:val="16"/>
                <w:color w:val="auto"/>
              </w:rPr>
            </w:pPr>
          </w:p>
        </w:tc>
        <w:tc>
          <w:tcPr>
            <w:tcW w:w="120" w:type="dxa"/>
            <w:vAlign w:val="bottom"/>
            <w:shd w:val="clear" w:color="auto" w:fill="E5EAF5"/>
          </w:tcPr>
          <w:p>
            <w:pPr>
              <w:spacing w:after="0"/>
              <w:rPr>
                <w:sz w:val="16"/>
                <w:szCs w:val="16"/>
                <w:color w:val="auto"/>
              </w:rPr>
            </w:pPr>
          </w:p>
        </w:tc>
        <w:tc>
          <w:tcPr>
            <w:tcW w:w="3080" w:type="dxa"/>
            <w:vAlign w:val="bottom"/>
            <w:shd w:val="clear" w:color="auto" w:fill="E5EAF5"/>
          </w:tcPr>
          <w:p>
            <w:pPr>
              <w:spacing w:after="0"/>
              <w:rPr>
                <w:sz w:val="16"/>
                <w:szCs w:val="16"/>
                <w:color w:val="auto"/>
              </w:rPr>
            </w:pPr>
          </w:p>
        </w:tc>
        <w:tc>
          <w:tcPr>
            <w:tcW w:w="2700" w:type="dxa"/>
            <w:vAlign w:val="bottom"/>
            <w:gridSpan w:val="2"/>
            <w:shd w:val="clear" w:color="auto" w:fill="E5EAF5"/>
          </w:tcPr>
          <w:p>
            <w:pPr>
              <w:ind w:left="100"/>
              <w:spacing w:after="0"/>
              <w:rPr>
                <w:sz w:val="20"/>
                <w:szCs w:val="20"/>
                <w:color w:val="auto"/>
              </w:rPr>
            </w:pPr>
            <w:r>
              <w:rPr>
                <w:rFonts w:ascii="Arial" w:cs="Arial" w:eastAsia="Arial" w:hAnsi="Arial"/>
                <w:sz w:val="14"/>
                <w:szCs w:val="14"/>
                <w:color w:val="0033A0"/>
              </w:rPr>
              <w:t xml:space="preserve">• </w:t>
            </w:r>
            <w:r>
              <w:rPr>
                <w:rFonts w:ascii="Arial" w:cs="Arial" w:eastAsia="Arial" w:hAnsi="Arial"/>
                <w:sz w:val="14"/>
                <w:szCs w:val="14"/>
                <w:color w:val="000000"/>
              </w:rPr>
              <w:t>Aligns management and shareholder</w:t>
            </w:r>
          </w:p>
        </w:tc>
        <w:tc>
          <w:tcPr>
            <w:tcW w:w="380" w:type="dxa"/>
            <w:vAlign w:val="bottom"/>
            <w:shd w:val="clear" w:color="auto" w:fill="E5EAF5"/>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260" w:type="dxa"/>
            <w:vAlign w:val="bottom"/>
            <w:shd w:val="clear" w:color="auto" w:fill="0033A0"/>
          </w:tcPr>
          <w:p>
            <w:pPr>
              <w:spacing w:after="0"/>
              <w:rPr>
                <w:sz w:val="14"/>
                <w:szCs w:val="14"/>
                <w:color w:val="auto"/>
              </w:rPr>
            </w:pPr>
          </w:p>
        </w:tc>
        <w:tc>
          <w:tcPr>
            <w:tcW w:w="2480" w:type="dxa"/>
            <w:vAlign w:val="bottom"/>
            <w:shd w:val="clear" w:color="auto" w:fill="E5EAF5"/>
          </w:tcPr>
          <w:p>
            <w:pPr>
              <w:spacing w:after="0"/>
              <w:rPr>
                <w:sz w:val="14"/>
                <w:szCs w:val="14"/>
                <w:color w:val="auto"/>
              </w:rPr>
            </w:pPr>
          </w:p>
        </w:tc>
        <w:tc>
          <w:tcPr>
            <w:tcW w:w="120" w:type="dxa"/>
            <w:vAlign w:val="bottom"/>
            <w:shd w:val="clear" w:color="auto" w:fill="E5EAF5"/>
          </w:tcPr>
          <w:p>
            <w:pPr>
              <w:spacing w:after="0"/>
              <w:rPr>
                <w:sz w:val="14"/>
                <w:szCs w:val="14"/>
                <w:color w:val="auto"/>
              </w:rPr>
            </w:pPr>
          </w:p>
        </w:tc>
        <w:tc>
          <w:tcPr>
            <w:tcW w:w="3080" w:type="dxa"/>
            <w:vAlign w:val="bottom"/>
            <w:shd w:val="clear" w:color="auto" w:fill="E5EAF5"/>
          </w:tcPr>
          <w:p>
            <w:pPr>
              <w:spacing w:after="0"/>
              <w:rPr>
                <w:sz w:val="14"/>
                <w:szCs w:val="14"/>
                <w:color w:val="auto"/>
              </w:rPr>
            </w:pPr>
          </w:p>
        </w:tc>
        <w:tc>
          <w:tcPr>
            <w:tcW w:w="2700" w:type="dxa"/>
            <w:vAlign w:val="bottom"/>
            <w:gridSpan w:val="2"/>
            <w:shd w:val="clear" w:color="auto" w:fill="E5EAF5"/>
          </w:tcPr>
          <w:p>
            <w:pPr>
              <w:ind w:left="240"/>
              <w:spacing w:after="0"/>
              <w:rPr>
                <w:sz w:val="20"/>
                <w:szCs w:val="20"/>
                <w:color w:val="auto"/>
              </w:rPr>
            </w:pPr>
            <w:r>
              <w:rPr>
                <w:rFonts w:ascii="Arial" w:cs="Arial" w:eastAsia="Arial" w:hAnsi="Arial"/>
                <w:sz w:val="14"/>
                <w:szCs w:val="14"/>
                <w:color w:val="auto"/>
              </w:rPr>
              <w:t>interests by facilitating management</w:t>
            </w:r>
          </w:p>
        </w:tc>
        <w:tc>
          <w:tcPr>
            <w:tcW w:w="380" w:type="dxa"/>
            <w:vAlign w:val="bottom"/>
            <w:shd w:val="clear" w:color="auto" w:fill="E5EAF5"/>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60" w:type="dxa"/>
            <w:vAlign w:val="bottom"/>
            <w:shd w:val="clear" w:color="auto" w:fill="0033A0"/>
          </w:tcPr>
          <w:p>
            <w:pPr>
              <w:spacing w:after="0"/>
              <w:rPr>
                <w:sz w:val="14"/>
                <w:szCs w:val="14"/>
                <w:color w:val="auto"/>
              </w:rPr>
            </w:pPr>
          </w:p>
        </w:tc>
        <w:tc>
          <w:tcPr>
            <w:tcW w:w="2480" w:type="dxa"/>
            <w:vAlign w:val="bottom"/>
            <w:shd w:val="clear" w:color="auto" w:fill="E5EAF5"/>
          </w:tcPr>
          <w:p>
            <w:pPr>
              <w:spacing w:after="0"/>
              <w:rPr>
                <w:sz w:val="14"/>
                <w:szCs w:val="14"/>
                <w:color w:val="auto"/>
              </w:rPr>
            </w:pPr>
          </w:p>
        </w:tc>
        <w:tc>
          <w:tcPr>
            <w:tcW w:w="120" w:type="dxa"/>
            <w:vAlign w:val="bottom"/>
            <w:shd w:val="clear" w:color="auto" w:fill="E5EAF5"/>
          </w:tcPr>
          <w:p>
            <w:pPr>
              <w:spacing w:after="0"/>
              <w:rPr>
                <w:sz w:val="14"/>
                <w:szCs w:val="14"/>
                <w:color w:val="auto"/>
              </w:rPr>
            </w:pPr>
          </w:p>
        </w:tc>
        <w:tc>
          <w:tcPr>
            <w:tcW w:w="3080" w:type="dxa"/>
            <w:vAlign w:val="bottom"/>
            <w:shd w:val="clear" w:color="auto" w:fill="E5EAF5"/>
          </w:tcPr>
          <w:p>
            <w:pPr>
              <w:spacing w:after="0"/>
              <w:rPr>
                <w:sz w:val="14"/>
                <w:szCs w:val="14"/>
                <w:color w:val="auto"/>
              </w:rPr>
            </w:pPr>
          </w:p>
        </w:tc>
        <w:tc>
          <w:tcPr>
            <w:tcW w:w="3080" w:type="dxa"/>
            <w:vAlign w:val="bottom"/>
            <w:gridSpan w:val="3"/>
            <w:shd w:val="clear" w:color="auto" w:fill="E5EAF5"/>
          </w:tcPr>
          <w:p>
            <w:pPr>
              <w:ind w:left="240"/>
              <w:spacing w:after="0"/>
              <w:rPr>
                <w:sz w:val="20"/>
                <w:szCs w:val="20"/>
                <w:color w:val="auto"/>
              </w:rPr>
            </w:pPr>
            <w:r>
              <w:rPr>
                <w:rFonts w:ascii="Arial" w:cs="Arial" w:eastAsia="Arial" w:hAnsi="Arial"/>
                <w:sz w:val="14"/>
                <w:szCs w:val="14"/>
                <w:color w:val="auto"/>
              </w:rPr>
              <w:t>ownership and tying compensation to stock</w:t>
            </w:r>
          </w:p>
        </w:tc>
        <w:tc>
          <w:tcPr>
            <w:tcW w:w="0" w:type="dxa"/>
            <w:vAlign w:val="bottom"/>
          </w:tcPr>
          <w:p>
            <w:pPr>
              <w:spacing w:after="0"/>
              <w:rPr>
                <w:sz w:val="1"/>
                <w:szCs w:val="1"/>
                <w:color w:val="auto"/>
              </w:rPr>
            </w:pPr>
          </w:p>
        </w:tc>
      </w:tr>
      <w:tr>
        <w:trPr>
          <w:trHeight w:val="172"/>
        </w:trPr>
        <w:tc>
          <w:tcPr>
            <w:tcW w:w="2260" w:type="dxa"/>
            <w:vAlign w:val="bottom"/>
            <w:shd w:val="clear" w:color="auto" w:fill="0033A0"/>
          </w:tcPr>
          <w:p>
            <w:pPr>
              <w:spacing w:after="0"/>
              <w:rPr>
                <w:sz w:val="14"/>
                <w:szCs w:val="14"/>
                <w:color w:val="auto"/>
              </w:rPr>
            </w:pPr>
          </w:p>
        </w:tc>
        <w:tc>
          <w:tcPr>
            <w:tcW w:w="2480" w:type="dxa"/>
            <w:vAlign w:val="bottom"/>
            <w:shd w:val="clear" w:color="auto" w:fill="E5EAF5"/>
          </w:tcPr>
          <w:p>
            <w:pPr>
              <w:spacing w:after="0"/>
              <w:rPr>
                <w:sz w:val="14"/>
                <w:szCs w:val="14"/>
                <w:color w:val="auto"/>
              </w:rPr>
            </w:pPr>
          </w:p>
        </w:tc>
        <w:tc>
          <w:tcPr>
            <w:tcW w:w="120" w:type="dxa"/>
            <w:vAlign w:val="bottom"/>
            <w:shd w:val="clear" w:color="auto" w:fill="E5EAF5"/>
          </w:tcPr>
          <w:p>
            <w:pPr>
              <w:spacing w:after="0"/>
              <w:rPr>
                <w:sz w:val="14"/>
                <w:szCs w:val="14"/>
                <w:color w:val="auto"/>
              </w:rPr>
            </w:pPr>
          </w:p>
        </w:tc>
        <w:tc>
          <w:tcPr>
            <w:tcW w:w="3080" w:type="dxa"/>
            <w:vAlign w:val="bottom"/>
            <w:shd w:val="clear" w:color="auto" w:fill="E5EAF5"/>
          </w:tcPr>
          <w:p>
            <w:pPr>
              <w:spacing w:after="0"/>
              <w:rPr>
                <w:sz w:val="14"/>
                <w:szCs w:val="14"/>
                <w:color w:val="auto"/>
              </w:rPr>
            </w:pPr>
          </w:p>
        </w:tc>
        <w:tc>
          <w:tcPr>
            <w:tcW w:w="3080" w:type="dxa"/>
            <w:vAlign w:val="bottom"/>
            <w:gridSpan w:val="3"/>
            <w:shd w:val="clear" w:color="auto" w:fill="E5EAF5"/>
          </w:tcPr>
          <w:p>
            <w:pPr>
              <w:ind w:left="240"/>
              <w:spacing w:after="0"/>
              <w:rPr>
                <w:sz w:val="20"/>
                <w:szCs w:val="20"/>
                <w:color w:val="auto"/>
              </w:rPr>
            </w:pPr>
            <w:r>
              <w:rPr>
                <w:rFonts w:ascii="Arial" w:cs="Arial" w:eastAsia="Arial" w:hAnsi="Arial"/>
                <w:sz w:val="14"/>
                <w:szCs w:val="14"/>
                <w:color w:val="auto"/>
              </w:rPr>
              <w:t>price performance over a sustained period</w:t>
            </w:r>
          </w:p>
        </w:tc>
        <w:tc>
          <w:tcPr>
            <w:tcW w:w="0" w:type="dxa"/>
            <w:vAlign w:val="bottom"/>
          </w:tcPr>
          <w:p>
            <w:pPr>
              <w:spacing w:after="0"/>
              <w:rPr>
                <w:sz w:val="1"/>
                <w:szCs w:val="1"/>
                <w:color w:val="auto"/>
              </w:rPr>
            </w:pPr>
          </w:p>
        </w:tc>
      </w:tr>
      <w:tr>
        <w:trPr>
          <w:trHeight w:val="120"/>
        </w:trPr>
        <w:tc>
          <w:tcPr>
            <w:tcW w:w="2260" w:type="dxa"/>
            <w:vAlign w:val="bottom"/>
            <w:shd w:val="clear" w:color="auto" w:fill="0033A0"/>
          </w:tcPr>
          <w:p>
            <w:pPr>
              <w:spacing w:after="0"/>
              <w:rPr>
                <w:sz w:val="10"/>
                <w:szCs w:val="10"/>
                <w:color w:val="auto"/>
              </w:rPr>
            </w:pPr>
          </w:p>
        </w:tc>
        <w:tc>
          <w:tcPr>
            <w:tcW w:w="2480" w:type="dxa"/>
            <w:vAlign w:val="bottom"/>
            <w:shd w:val="clear" w:color="auto" w:fill="E5EAF5"/>
          </w:tcPr>
          <w:p>
            <w:pPr>
              <w:spacing w:after="0"/>
              <w:rPr>
                <w:sz w:val="10"/>
                <w:szCs w:val="10"/>
                <w:color w:val="auto"/>
              </w:rPr>
            </w:pPr>
          </w:p>
        </w:tc>
        <w:tc>
          <w:tcPr>
            <w:tcW w:w="120" w:type="dxa"/>
            <w:vAlign w:val="bottom"/>
            <w:shd w:val="clear" w:color="auto" w:fill="E5EAF5"/>
          </w:tcPr>
          <w:p>
            <w:pPr>
              <w:spacing w:after="0"/>
              <w:rPr>
                <w:sz w:val="10"/>
                <w:szCs w:val="10"/>
                <w:color w:val="auto"/>
              </w:rPr>
            </w:pPr>
          </w:p>
        </w:tc>
        <w:tc>
          <w:tcPr>
            <w:tcW w:w="3080" w:type="dxa"/>
            <w:vAlign w:val="bottom"/>
            <w:shd w:val="clear" w:color="auto" w:fill="E5EAF5"/>
          </w:tcPr>
          <w:p>
            <w:pPr>
              <w:spacing w:after="0"/>
              <w:rPr>
                <w:sz w:val="10"/>
                <w:szCs w:val="10"/>
                <w:color w:val="auto"/>
              </w:rPr>
            </w:pPr>
          </w:p>
        </w:tc>
        <w:tc>
          <w:tcPr>
            <w:tcW w:w="2560" w:type="dxa"/>
            <w:vAlign w:val="bottom"/>
            <w:tcBorders>
              <w:right w:val="single" w:sz="8" w:color="E5EAF5"/>
            </w:tcBorders>
            <w:shd w:val="clear" w:color="auto" w:fill="E5EAF5"/>
          </w:tcPr>
          <w:p>
            <w:pPr>
              <w:spacing w:after="0"/>
              <w:rPr>
                <w:sz w:val="10"/>
                <w:szCs w:val="10"/>
                <w:color w:val="auto"/>
              </w:rPr>
            </w:pPr>
          </w:p>
        </w:tc>
        <w:tc>
          <w:tcPr>
            <w:tcW w:w="140" w:type="dxa"/>
            <w:vAlign w:val="bottom"/>
            <w:shd w:val="clear" w:color="auto" w:fill="E5EAF5"/>
          </w:tcPr>
          <w:p>
            <w:pPr>
              <w:spacing w:after="0"/>
              <w:rPr>
                <w:sz w:val="10"/>
                <w:szCs w:val="10"/>
                <w:color w:val="auto"/>
              </w:rPr>
            </w:pPr>
          </w:p>
        </w:tc>
        <w:tc>
          <w:tcPr>
            <w:tcW w:w="380" w:type="dxa"/>
            <w:vAlign w:val="bottom"/>
            <w:shd w:val="clear" w:color="auto" w:fill="E5EAF5"/>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700" w:type="dxa"/>
            <w:vAlign w:val="bottom"/>
            <w:gridSpan w:val="2"/>
          </w:tcPr>
          <w:p>
            <w:pPr>
              <w:spacing w:after="0"/>
              <w:rPr>
                <w:sz w:val="12"/>
                <w:szCs w:val="12"/>
                <w:color w:val="auto"/>
              </w:rPr>
            </w:pPr>
          </w:p>
        </w:tc>
        <w:tc>
          <w:tcPr>
            <w:tcW w:w="3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27</w:t>
            </w:r>
          </w:p>
        </w:tc>
        <w:tc>
          <w:tcPr>
            <w:tcW w:w="0" w:type="dxa"/>
            <w:vAlign w:val="bottom"/>
          </w:tcPr>
          <w:p>
            <w:pPr>
              <w:spacing w:after="0"/>
              <w:rPr>
                <w:sz w:val="1"/>
                <w:szCs w:val="1"/>
                <w:color w:val="auto"/>
              </w:rPr>
            </w:pPr>
          </w:p>
        </w:tc>
      </w:tr>
      <w:tr>
        <w:trPr>
          <w:trHeight w:val="297"/>
        </w:trPr>
        <w:tc>
          <w:tcPr>
            <w:tcW w:w="22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560" w:type="dxa"/>
            <w:vAlign w:val="bottom"/>
            <w:tcBorders>
              <w:right w:val="single" w:sz="8" w:color="0033A0"/>
            </w:tcBorders>
          </w:tcPr>
          <w:p>
            <w:pPr>
              <w:ind w:left="660"/>
              <w:spacing w:after="0"/>
              <w:rPr>
                <w:sz w:val="20"/>
                <w:szCs w:val="20"/>
                <w:color w:val="auto"/>
              </w:rPr>
            </w:pPr>
            <w:r>
              <w:rPr>
                <w:rFonts w:ascii="Arial" w:cs="Arial" w:eastAsia="Arial" w:hAnsi="Arial"/>
                <w:sz w:val="18"/>
                <w:szCs w:val="18"/>
                <w:i w:val="1"/>
                <w:iCs w:val="1"/>
                <w:color w:val="auto"/>
              </w:rPr>
              <w:t>2019 Proxy Statement</w:t>
            </w:r>
          </w:p>
        </w:tc>
        <w:tc>
          <w:tcPr>
            <w:tcW w:w="140" w:type="dxa"/>
            <w:vAlign w:val="bottom"/>
          </w:tcPr>
          <w:p>
            <w:pPr>
              <w:spacing w:after="0"/>
              <w:rPr>
                <w:sz w:val="24"/>
                <w:szCs w:val="24"/>
                <w:color w:val="auto"/>
              </w:rPr>
            </w:pPr>
          </w:p>
        </w:tc>
        <w:tc>
          <w:tcPr>
            <w:tcW w:w="3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-4055745</wp:posOffset>
            </wp:positionV>
            <wp:extent cx="6997700" cy="40132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997700" cy="4013200"/>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0033A0"/>
        </w:rPr>
        <w:t>The Brink’s Company</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0033A0"/>
        </w:rPr>
        <w:t>Secondary Components</w:t>
      </w:r>
    </w:p>
    <w:p>
      <w:pPr>
        <w:spacing w:after="0" w:line="12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Named executive officers may also receive compensation in the form of one or more of the following components:</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8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Compensation Element</w:t>
            </w:r>
          </w:p>
        </w:tc>
        <w:tc>
          <w:tcPr>
            <w:tcW w:w="46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rPr>
              <w:t>Who Receives It</w:t>
            </w:r>
          </w:p>
        </w:tc>
        <w:tc>
          <w:tcPr>
            <w:tcW w:w="324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Components of Compensation</w:t>
            </w:r>
          </w:p>
        </w:tc>
        <w:tc>
          <w:tcPr>
            <w:tcW w:w="3040" w:type="dxa"/>
            <w:vAlign w:val="bottom"/>
            <w:tcBorders>
              <w:bottom w:val="single" w:sz="8" w:color="auto"/>
            </w:tcBorders>
          </w:tcPr>
          <w:p>
            <w:pPr>
              <w:ind w:left="1260"/>
              <w:spacing w:after="0"/>
              <w:rPr>
                <w:sz w:val="20"/>
                <w:szCs w:val="20"/>
                <w:color w:val="auto"/>
              </w:rPr>
            </w:pPr>
            <w:r>
              <w:rPr>
                <w:rFonts w:ascii="Arial" w:cs="Arial" w:eastAsia="Arial" w:hAnsi="Arial"/>
                <w:sz w:val="14"/>
                <w:szCs w:val="14"/>
                <w:b w:val="1"/>
                <w:bCs w:val="1"/>
                <w:color w:val="auto"/>
              </w:rPr>
              <w:t>Purpose</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vMerge w:val="continue"/>
          </w:tcPr>
          <w:p>
            <w:pPr>
              <w:spacing w:after="0"/>
              <w:rPr>
                <w:sz w:val="14"/>
                <w:szCs w:val="14"/>
                <w:color w:val="auto"/>
              </w:rPr>
            </w:pPr>
          </w:p>
        </w:tc>
        <w:tc>
          <w:tcPr>
            <w:tcW w:w="1800" w:type="dxa"/>
            <w:vAlign w:val="bottom"/>
            <w:gridSpan w:val="2"/>
            <w:shd w:val="clear" w:color="auto" w:fill="0033A0"/>
          </w:tcPr>
          <w:p>
            <w:pPr>
              <w:ind w:left="60"/>
              <w:spacing w:after="0"/>
              <w:rPr>
                <w:sz w:val="20"/>
                <w:szCs w:val="20"/>
                <w:color w:val="auto"/>
              </w:rPr>
            </w:pPr>
            <w:r>
              <w:rPr>
                <w:rFonts w:ascii="Arial" w:cs="Arial" w:eastAsia="Arial" w:hAnsi="Arial"/>
                <w:sz w:val="14"/>
                <w:szCs w:val="14"/>
                <w:b w:val="1"/>
                <w:bCs w:val="1"/>
                <w:color w:val="FFFFFF"/>
              </w:rPr>
              <w:t>Benefits</w:t>
            </w:r>
          </w:p>
        </w:tc>
        <w:tc>
          <w:tcPr>
            <w:tcW w:w="460" w:type="dxa"/>
            <w:vAlign w:val="bottom"/>
            <w:shd w:val="clear" w:color="auto" w:fill="0033A0"/>
          </w:tcPr>
          <w:p>
            <w:pPr>
              <w:spacing w:after="0"/>
              <w:rPr>
                <w:sz w:val="14"/>
                <w:szCs w:val="14"/>
                <w:color w:val="auto"/>
              </w:rPr>
            </w:pPr>
          </w:p>
        </w:tc>
        <w:tc>
          <w:tcPr>
            <w:tcW w:w="2480" w:type="dxa"/>
            <w:vAlign w:val="bottom"/>
            <w:shd w:val="clear" w:color="auto" w:fill="E5EAF5"/>
          </w:tcPr>
          <w:p>
            <w:pPr>
              <w:ind w:left="100"/>
              <w:spacing w:after="0"/>
              <w:rPr>
                <w:sz w:val="20"/>
                <w:szCs w:val="20"/>
                <w:color w:val="auto"/>
              </w:rPr>
            </w:pPr>
            <w:r>
              <w:rPr>
                <w:rFonts w:ascii="Arial" w:cs="Arial" w:eastAsia="Arial" w:hAnsi="Arial"/>
                <w:sz w:val="14"/>
                <w:szCs w:val="14"/>
                <w:color w:val="auto"/>
              </w:rPr>
              <w:t>All Named Executive Officers</w:t>
            </w:r>
          </w:p>
        </w:tc>
        <w:tc>
          <w:tcPr>
            <w:tcW w:w="3240" w:type="dxa"/>
            <w:vAlign w:val="bottom"/>
            <w:shd w:val="clear" w:color="auto" w:fill="E5EAF5"/>
          </w:tcPr>
          <w:p>
            <w:pPr>
              <w:ind w:left="100"/>
              <w:spacing w:after="0"/>
              <w:rPr>
                <w:sz w:val="20"/>
                <w:szCs w:val="20"/>
                <w:color w:val="auto"/>
              </w:rPr>
            </w:pPr>
            <w:r>
              <w:rPr>
                <w:rFonts w:ascii="Arial" w:cs="Arial" w:eastAsia="Arial" w:hAnsi="Arial"/>
                <w:sz w:val="14"/>
                <w:szCs w:val="14"/>
                <w:color w:val="0033A0"/>
              </w:rPr>
              <w:t xml:space="preserve">• </w:t>
            </w:r>
            <w:r>
              <w:rPr>
                <w:rFonts w:ascii="Arial" w:cs="Arial" w:eastAsia="Arial" w:hAnsi="Arial"/>
                <w:sz w:val="14"/>
                <w:szCs w:val="14"/>
                <w:color w:val="000000"/>
              </w:rPr>
              <w:t>Deferred compensation plan participation for</w:t>
            </w:r>
          </w:p>
        </w:tc>
        <w:tc>
          <w:tcPr>
            <w:tcW w:w="3040" w:type="dxa"/>
            <w:vAlign w:val="bottom"/>
            <w:shd w:val="clear" w:color="auto" w:fill="E5EAF5"/>
          </w:tcPr>
          <w:p>
            <w:pPr>
              <w:ind w:left="60"/>
              <w:spacing w:after="0"/>
              <w:rPr>
                <w:sz w:val="20"/>
                <w:szCs w:val="20"/>
                <w:color w:val="auto"/>
              </w:rPr>
            </w:pPr>
            <w:r>
              <w:rPr>
                <w:rFonts w:ascii="Arial" w:cs="Arial" w:eastAsia="Arial" w:hAnsi="Arial"/>
                <w:sz w:val="14"/>
                <w:szCs w:val="14"/>
                <w:color w:val="0033A0"/>
              </w:rPr>
              <w:t xml:space="preserve">• </w:t>
            </w:r>
            <w:r>
              <w:rPr>
                <w:rFonts w:ascii="Arial" w:cs="Arial" w:eastAsia="Arial" w:hAnsi="Arial"/>
                <w:sz w:val="14"/>
                <w:szCs w:val="14"/>
                <w:color w:val="000000"/>
              </w:rPr>
              <w:t>Provides for current and future needs of the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0" w:type="dxa"/>
            <w:vAlign w:val="bottom"/>
            <w:shd w:val="clear" w:color="auto" w:fill="0033A0"/>
          </w:tcPr>
          <w:p>
            <w:pPr>
              <w:spacing w:after="0"/>
              <w:rPr>
                <w:sz w:val="14"/>
                <w:szCs w:val="14"/>
                <w:color w:val="auto"/>
              </w:rPr>
            </w:pPr>
          </w:p>
        </w:tc>
        <w:tc>
          <w:tcPr>
            <w:tcW w:w="1480" w:type="dxa"/>
            <w:vAlign w:val="bottom"/>
            <w:tcBorders>
              <w:left w:val="single" w:sz="8" w:color="0033A0"/>
            </w:tcBorders>
            <w:shd w:val="clear" w:color="auto" w:fill="0033A0"/>
          </w:tcPr>
          <w:p>
            <w:pPr>
              <w:spacing w:after="0"/>
              <w:rPr>
                <w:sz w:val="14"/>
                <w:szCs w:val="14"/>
                <w:color w:val="auto"/>
              </w:rPr>
            </w:pPr>
          </w:p>
        </w:tc>
        <w:tc>
          <w:tcPr>
            <w:tcW w:w="460" w:type="dxa"/>
            <w:vAlign w:val="bottom"/>
            <w:shd w:val="clear" w:color="auto" w:fill="0033A0"/>
          </w:tcPr>
          <w:p>
            <w:pPr>
              <w:spacing w:after="0"/>
              <w:rPr>
                <w:sz w:val="14"/>
                <w:szCs w:val="14"/>
                <w:color w:val="auto"/>
              </w:rPr>
            </w:pPr>
          </w:p>
        </w:tc>
        <w:tc>
          <w:tcPr>
            <w:tcW w:w="2480" w:type="dxa"/>
            <w:vAlign w:val="bottom"/>
            <w:shd w:val="clear" w:color="auto" w:fill="E5EAF5"/>
          </w:tcPr>
          <w:p>
            <w:pPr>
              <w:spacing w:after="0"/>
              <w:rPr>
                <w:sz w:val="14"/>
                <w:szCs w:val="14"/>
                <w:color w:val="auto"/>
              </w:rPr>
            </w:pPr>
          </w:p>
        </w:tc>
        <w:tc>
          <w:tcPr>
            <w:tcW w:w="3240" w:type="dxa"/>
            <w:vAlign w:val="bottom"/>
            <w:shd w:val="clear" w:color="auto" w:fill="E5EAF5"/>
          </w:tcPr>
          <w:p>
            <w:pPr>
              <w:ind w:left="240"/>
              <w:spacing w:after="0"/>
              <w:rPr>
                <w:sz w:val="20"/>
                <w:szCs w:val="20"/>
                <w:color w:val="auto"/>
              </w:rPr>
            </w:pPr>
            <w:r>
              <w:rPr>
                <w:rFonts w:ascii="Arial" w:cs="Arial" w:eastAsia="Arial" w:hAnsi="Arial"/>
                <w:sz w:val="14"/>
                <w:szCs w:val="14"/>
                <w:color w:val="auto"/>
              </w:rPr>
              <w:t>U.S. named executive officers</w:t>
            </w:r>
          </w:p>
        </w:tc>
        <w:tc>
          <w:tcPr>
            <w:tcW w:w="3040" w:type="dxa"/>
            <w:vAlign w:val="bottom"/>
            <w:shd w:val="clear" w:color="auto" w:fill="E5EAF5"/>
          </w:tcPr>
          <w:p>
            <w:pPr>
              <w:ind w:left="200"/>
              <w:spacing w:after="0"/>
              <w:rPr>
                <w:sz w:val="20"/>
                <w:szCs w:val="20"/>
                <w:color w:val="auto"/>
              </w:rPr>
            </w:pPr>
            <w:r>
              <w:rPr>
                <w:rFonts w:ascii="Arial" w:cs="Arial" w:eastAsia="Arial" w:hAnsi="Arial"/>
                <w:sz w:val="14"/>
                <w:szCs w:val="14"/>
                <w:color w:val="auto"/>
              </w:rPr>
              <w:t>executives and their families</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20" w:type="dxa"/>
            <w:vAlign w:val="bottom"/>
            <w:shd w:val="clear" w:color="auto" w:fill="0033A0"/>
          </w:tcPr>
          <w:p>
            <w:pPr>
              <w:spacing w:after="0"/>
              <w:rPr>
                <w:sz w:val="16"/>
                <w:szCs w:val="16"/>
                <w:color w:val="auto"/>
              </w:rPr>
            </w:pPr>
          </w:p>
        </w:tc>
        <w:tc>
          <w:tcPr>
            <w:tcW w:w="1480" w:type="dxa"/>
            <w:vAlign w:val="bottom"/>
            <w:tcBorders>
              <w:left w:val="single" w:sz="8" w:color="0033A0"/>
            </w:tcBorders>
            <w:shd w:val="clear" w:color="auto" w:fill="0033A0"/>
          </w:tcPr>
          <w:p>
            <w:pPr>
              <w:spacing w:after="0"/>
              <w:rPr>
                <w:sz w:val="16"/>
                <w:szCs w:val="16"/>
                <w:color w:val="auto"/>
              </w:rPr>
            </w:pPr>
          </w:p>
        </w:tc>
        <w:tc>
          <w:tcPr>
            <w:tcW w:w="460" w:type="dxa"/>
            <w:vAlign w:val="bottom"/>
            <w:shd w:val="clear" w:color="auto" w:fill="0033A0"/>
          </w:tcPr>
          <w:p>
            <w:pPr>
              <w:spacing w:after="0"/>
              <w:rPr>
                <w:sz w:val="16"/>
                <w:szCs w:val="16"/>
                <w:color w:val="auto"/>
              </w:rPr>
            </w:pPr>
          </w:p>
        </w:tc>
        <w:tc>
          <w:tcPr>
            <w:tcW w:w="2480" w:type="dxa"/>
            <w:vAlign w:val="bottom"/>
            <w:shd w:val="clear" w:color="auto" w:fill="E5EAF5"/>
          </w:tcPr>
          <w:p>
            <w:pPr>
              <w:spacing w:after="0"/>
              <w:rPr>
                <w:sz w:val="16"/>
                <w:szCs w:val="16"/>
                <w:color w:val="auto"/>
              </w:rPr>
            </w:pPr>
          </w:p>
        </w:tc>
        <w:tc>
          <w:tcPr>
            <w:tcW w:w="3240" w:type="dxa"/>
            <w:vAlign w:val="bottom"/>
            <w:shd w:val="clear" w:color="auto" w:fill="E5EAF5"/>
          </w:tcPr>
          <w:p>
            <w:pPr>
              <w:ind w:left="100"/>
              <w:spacing w:after="0"/>
              <w:rPr>
                <w:sz w:val="20"/>
                <w:szCs w:val="20"/>
                <w:color w:val="auto"/>
              </w:rPr>
            </w:pPr>
            <w:r>
              <w:rPr>
                <w:rFonts w:ascii="Arial" w:cs="Arial" w:eastAsia="Arial" w:hAnsi="Arial"/>
                <w:sz w:val="14"/>
                <w:szCs w:val="14"/>
                <w:color w:val="0033A0"/>
              </w:rPr>
              <w:t xml:space="preserve">• </w:t>
            </w:r>
            <w:r>
              <w:rPr>
                <w:rFonts w:ascii="Arial" w:cs="Arial" w:eastAsia="Arial" w:hAnsi="Arial"/>
                <w:sz w:val="14"/>
                <w:szCs w:val="14"/>
                <w:color w:val="000000"/>
              </w:rPr>
              <w:t>Company matching contributions on amounts</w:t>
            </w:r>
          </w:p>
        </w:tc>
        <w:tc>
          <w:tcPr>
            <w:tcW w:w="3040" w:type="dxa"/>
            <w:vAlign w:val="bottom"/>
            <w:shd w:val="clear" w:color="auto" w:fill="E5EAF5"/>
          </w:tcPr>
          <w:p>
            <w:pPr>
              <w:ind w:left="60"/>
              <w:spacing w:after="0"/>
              <w:rPr>
                <w:sz w:val="20"/>
                <w:szCs w:val="20"/>
                <w:color w:val="auto"/>
              </w:rPr>
            </w:pPr>
            <w:r>
              <w:rPr>
                <w:rFonts w:ascii="Arial" w:cs="Arial" w:eastAsia="Arial" w:hAnsi="Arial"/>
                <w:sz w:val="14"/>
                <w:szCs w:val="14"/>
                <w:color w:val="0033A0"/>
              </w:rPr>
              <w:t xml:space="preserve">• </w:t>
            </w:r>
            <w:r>
              <w:rPr>
                <w:rFonts w:ascii="Arial" w:cs="Arial" w:eastAsia="Arial" w:hAnsi="Arial"/>
                <w:sz w:val="14"/>
                <w:szCs w:val="14"/>
                <w:color w:val="000000"/>
              </w:rPr>
              <w:t>Aligns management and shareholder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0" w:type="dxa"/>
            <w:vAlign w:val="bottom"/>
            <w:shd w:val="clear" w:color="auto" w:fill="0033A0"/>
          </w:tcPr>
          <w:p>
            <w:pPr>
              <w:spacing w:after="0"/>
              <w:rPr>
                <w:sz w:val="14"/>
                <w:szCs w:val="14"/>
                <w:color w:val="auto"/>
              </w:rPr>
            </w:pPr>
          </w:p>
        </w:tc>
        <w:tc>
          <w:tcPr>
            <w:tcW w:w="1480" w:type="dxa"/>
            <w:vAlign w:val="bottom"/>
            <w:tcBorders>
              <w:left w:val="single" w:sz="8" w:color="0033A0"/>
            </w:tcBorders>
            <w:shd w:val="clear" w:color="auto" w:fill="0033A0"/>
          </w:tcPr>
          <w:p>
            <w:pPr>
              <w:spacing w:after="0"/>
              <w:rPr>
                <w:sz w:val="14"/>
                <w:szCs w:val="14"/>
                <w:color w:val="auto"/>
              </w:rPr>
            </w:pPr>
          </w:p>
        </w:tc>
        <w:tc>
          <w:tcPr>
            <w:tcW w:w="460" w:type="dxa"/>
            <w:vAlign w:val="bottom"/>
            <w:shd w:val="clear" w:color="auto" w:fill="0033A0"/>
          </w:tcPr>
          <w:p>
            <w:pPr>
              <w:spacing w:after="0"/>
              <w:rPr>
                <w:sz w:val="14"/>
                <w:szCs w:val="14"/>
                <w:color w:val="auto"/>
              </w:rPr>
            </w:pPr>
          </w:p>
        </w:tc>
        <w:tc>
          <w:tcPr>
            <w:tcW w:w="2480" w:type="dxa"/>
            <w:vAlign w:val="bottom"/>
            <w:shd w:val="clear" w:color="auto" w:fill="E5EAF5"/>
          </w:tcPr>
          <w:p>
            <w:pPr>
              <w:spacing w:after="0"/>
              <w:rPr>
                <w:sz w:val="14"/>
                <w:szCs w:val="14"/>
                <w:color w:val="auto"/>
              </w:rPr>
            </w:pPr>
          </w:p>
        </w:tc>
        <w:tc>
          <w:tcPr>
            <w:tcW w:w="3240" w:type="dxa"/>
            <w:vAlign w:val="bottom"/>
            <w:shd w:val="clear" w:color="auto" w:fill="E5EAF5"/>
          </w:tcPr>
          <w:p>
            <w:pPr>
              <w:ind w:left="240"/>
              <w:spacing w:after="0"/>
              <w:rPr>
                <w:sz w:val="20"/>
                <w:szCs w:val="20"/>
                <w:color w:val="auto"/>
              </w:rPr>
            </w:pPr>
            <w:r>
              <w:rPr>
                <w:rFonts w:ascii="Arial" w:cs="Arial" w:eastAsia="Arial" w:hAnsi="Arial"/>
                <w:sz w:val="14"/>
                <w:szCs w:val="14"/>
                <w:color w:val="auto"/>
              </w:rPr>
              <w:t>deferred (up to 10% of salary and 10% of any</w:t>
            </w:r>
          </w:p>
        </w:tc>
        <w:tc>
          <w:tcPr>
            <w:tcW w:w="3040" w:type="dxa"/>
            <w:vAlign w:val="bottom"/>
            <w:shd w:val="clear" w:color="auto" w:fill="E5EAF5"/>
          </w:tcPr>
          <w:p>
            <w:pPr>
              <w:ind w:left="200"/>
              <w:spacing w:after="0"/>
              <w:rPr>
                <w:sz w:val="20"/>
                <w:szCs w:val="20"/>
                <w:color w:val="auto"/>
              </w:rPr>
            </w:pPr>
            <w:r>
              <w:rPr>
                <w:rFonts w:ascii="Arial" w:cs="Arial" w:eastAsia="Arial" w:hAnsi="Arial"/>
                <w:sz w:val="14"/>
                <w:szCs w:val="14"/>
                <w:color w:val="auto"/>
              </w:rPr>
              <w:t>interests by encouraging management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0" w:type="dxa"/>
            <w:vAlign w:val="bottom"/>
            <w:shd w:val="clear" w:color="auto" w:fill="0033A0"/>
          </w:tcPr>
          <w:p>
            <w:pPr>
              <w:spacing w:after="0"/>
              <w:rPr>
                <w:sz w:val="14"/>
                <w:szCs w:val="14"/>
                <w:color w:val="auto"/>
              </w:rPr>
            </w:pPr>
          </w:p>
        </w:tc>
        <w:tc>
          <w:tcPr>
            <w:tcW w:w="1480" w:type="dxa"/>
            <w:vAlign w:val="bottom"/>
            <w:tcBorders>
              <w:left w:val="single" w:sz="8" w:color="0033A0"/>
            </w:tcBorders>
            <w:shd w:val="clear" w:color="auto" w:fill="0033A0"/>
          </w:tcPr>
          <w:p>
            <w:pPr>
              <w:spacing w:after="0"/>
              <w:rPr>
                <w:sz w:val="14"/>
                <w:szCs w:val="14"/>
                <w:color w:val="auto"/>
              </w:rPr>
            </w:pPr>
          </w:p>
        </w:tc>
        <w:tc>
          <w:tcPr>
            <w:tcW w:w="460" w:type="dxa"/>
            <w:vAlign w:val="bottom"/>
            <w:shd w:val="clear" w:color="auto" w:fill="0033A0"/>
          </w:tcPr>
          <w:p>
            <w:pPr>
              <w:spacing w:after="0"/>
              <w:rPr>
                <w:sz w:val="14"/>
                <w:szCs w:val="14"/>
                <w:color w:val="auto"/>
              </w:rPr>
            </w:pPr>
          </w:p>
        </w:tc>
        <w:tc>
          <w:tcPr>
            <w:tcW w:w="2480" w:type="dxa"/>
            <w:vAlign w:val="bottom"/>
            <w:shd w:val="clear" w:color="auto" w:fill="E5EAF5"/>
          </w:tcPr>
          <w:p>
            <w:pPr>
              <w:spacing w:after="0"/>
              <w:rPr>
                <w:sz w:val="14"/>
                <w:szCs w:val="14"/>
                <w:color w:val="auto"/>
              </w:rPr>
            </w:pPr>
          </w:p>
        </w:tc>
        <w:tc>
          <w:tcPr>
            <w:tcW w:w="3240" w:type="dxa"/>
            <w:vAlign w:val="bottom"/>
            <w:shd w:val="clear" w:color="auto" w:fill="E5EAF5"/>
          </w:tcPr>
          <w:p>
            <w:pPr>
              <w:ind w:left="240"/>
              <w:spacing w:after="0"/>
              <w:rPr>
                <w:sz w:val="20"/>
                <w:szCs w:val="20"/>
                <w:color w:val="auto"/>
              </w:rPr>
            </w:pPr>
            <w:r>
              <w:rPr>
                <w:rFonts w:ascii="Arial" w:cs="Arial" w:eastAsia="Arial" w:hAnsi="Arial"/>
                <w:sz w:val="14"/>
                <w:szCs w:val="14"/>
                <w:color w:val="auto"/>
              </w:rPr>
              <w:t>annual incentive payout), the value of which</w:t>
            </w:r>
          </w:p>
        </w:tc>
        <w:tc>
          <w:tcPr>
            <w:tcW w:w="3040" w:type="dxa"/>
            <w:vAlign w:val="bottom"/>
            <w:shd w:val="clear" w:color="auto" w:fill="E5EAF5"/>
          </w:tcPr>
          <w:p>
            <w:pPr>
              <w:ind w:left="200"/>
              <w:spacing w:after="0"/>
              <w:rPr>
                <w:sz w:val="20"/>
                <w:szCs w:val="20"/>
                <w:color w:val="auto"/>
              </w:rPr>
            </w:pPr>
            <w:r>
              <w:rPr>
                <w:rFonts w:ascii="Arial" w:cs="Arial" w:eastAsia="Arial" w:hAnsi="Arial"/>
                <w:sz w:val="14"/>
                <w:szCs w:val="14"/>
                <w:color w:val="auto"/>
              </w:rPr>
              <w:t>ownership of Company stock through</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0" w:type="dxa"/>
            <w:vAlign w:val="bottom"/>
            <w:shd w:val="clear" w:color="auto" w:fill="0033A0"/>
          </w:tcPr>
          <w:p>
            <w:pPr>
              <w:spacing w:after="0"/>
              <w:rPr>
                <w:sz w:val="14"/>
                <w:szCs w:val="14"/>
                <w:color w:val="auto"/>
              </w:rPr>
            </w:pPr>
          </w:p>
        </w:tc>
        <w:tc>
          <w:tcPr>
            <w:tcW w:w="1480" w:type="dxa"/>
            <w:vAlign w:val="bottom"/>
            <w:tcBorders>
              <w:left w:val="single" w:sz="8" w:color="0033A0"/>
            </w:tcBorders>
            <w:shd w:val="clear" w:color="auto" w:fill="0033A0"/>
          </w:tcPr>
          <w:p>
            <w:pPr>
              <w:spacing w:after="0"/>
              <w:rPr>
                <w:sz w:val="14"/>
                <w:szCs w:val="14"/>
                <w:color w:val="auto"/>
              </w:rPr>
            </w:pPr>
          </w:p>
        </w:tc>
        <w:tc>
          <w:tcPr>
            <w:tcW w:w="460" w:type="dxa"/>
            <w:vAlign w:val="bottom"/>
            <w:shd w:val="clear" w:color="auto" w:fill="0033A0"/>
          </w:tcPr>
          <w:p>
            <w:pPr>
              <w:spacing w:after="0"/>
              <w:rPr>
                <w:sz w:val="14"/>
                <w:szCs w:val="14"/>
                <w:color w:val="auto"/>
              </w:rPr>
            </w:pPr>
          </w:p>
        </w:tc>
        <w:tc>
          <w:tcPr>
            <w:tcW w:w="2480" w:type="dxa"/>
            <w:vAlign w:val="bottom"/>
            <w:shd w:val="clear" w:color="auto" w:fill="E5EAF5"/>
          </w:tcPr>
          <w:p>
            <w:pPr>
              <w:spacing w:after="0"/>
              <w:rPr>
                <w:sz w:val="14"/>
                <w:szCs w:val="14"/>
                <w:color w:val="auto"/>
              </w:rPr>
            </w:pPr>
          </w:p>
        </w:tc>
        <w:tc>
          <w:tcPr>
            <w:tcW w:w="3240" w:type="dxa"/>
            <w:vAlign w:val="bottom"/>
            <w:shd w:val="clear" w:color="auto" w:fill="E5EAF5"/>
          </w:tcPr>
          <w:p>
            <w:pPr>
              <w:ind w:left="240"/>
              <w:spacing w:after="0"/>
              <w:rPr>
                <w:sz w:val="20"/>
                <w:szCs w:val="20"/>
                <w:color w:val="auto"/>
              </w:rPr>
            </w:pPr>
            <w:r>
              <w:rPr>
                <w:rFonts w:ascii="Arial" w:cs="Arial" w:eastAsia="Arial" w:hAnsi="Arial"/>
                <w:sz w:val="14"/>
                <w:szCs w:val="14"/>
                <w:color w:val="auto"/>
              </w:rPr>
              <w:t>is tied directly to the Company’s stock price</w:t>
            </w:r>
          </w:p>
        </w:tc>
        <w:tc>
          <w:tcPr>
            <w:tcW w:w="3040" w:type="dxa"/>
            <w:vAlign w:val="bottom"/>
            <w:shd w:val="clear" w:color="auto" w:fill="E5EAF5"/>
          </w:tcPr>
          <w:p>
            <w:pPr>
              <w:ind w:left="200"/>
              <w:spacing w:after="0"/>
              <w:rPr>
                <w:sz w:val="20"/>
                <w:szCs w:val="20"/>
                <w:color w:val="auto"/>
              </w:rPr>
            </w:pPr>
            <w:r>
              <w:rPr>
                <w:rFonts w:ascii="Arial" w:cs="Arial" w:eastAsia="Arial" w:hAnsi="Arial"/>
                <w:sz w:val="14"/>
                <w:szCs w:val="14"/>
                <w:color w:val="auto"/>
              </w:rPr>
              <w:t>participation in the deferred compensation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shd w:val="clear" w:color="auto" w:fill="0033A0"/>
          </w:tcPr>
          <w:p>
            <w:pPr>
              <w:spacing w:after="0"/>
              <w:rPr>
                <w:sz w:val="17"/>
                <w:szCs w:val="17"/>
                <w:color w:val="auto"/>
              </w:rPr>
            </w:pPr>
          </w:p>
        </w:tc>
        <w:tc>
          <w:tcPr>
            <w:tcW w:w="1480" w:type="dxa"/>
            <w:vAlign w:val="bottom"/>
            <w:tcBorders>
              <w:left w:val="single" w:sz="8" w:color="0033A0"/>
            </w:tcBorders>
            <w:shd w:val="clear" w:color="auto" w:fill="0033A0"/>
          </w:tcPr>
          <w:p>
            <w:pPr>
              <w:spacing w:after="0"/>
              <w:rPr>
                <w:sz w:val="17"/>
                <w:szCs w:val="17"/>
                <w:color w:val="auto"/>
              </w:rPr>
            </w:pPr>
          </w:p>
        </w:tc>
        <w:tc>
          <w:tcPr>
            <w:tcW w:w="460" w:type="dxa"/>
            <w:vAlign w:val="bottom"/>
            <w:shd w:val="clear" w:color="auto" w:fill="0033A0"/>
          </w:tcPr>
          <w:p>
            <w:pPr>
              <w:spacing w:after="0"/>
              <w:rPr>
                <w:sz w:val="17"/>
                <w:szCs w:val="17"/>
                <w:color w:val="auto"/>
              </w:rPr>
            </w:pPr>
          </w:p>
        </w:tc>
        <w:tc>
          <w:tcPr>
            <w:tcW w:w="2480" w:type="dxa"/>
            <w:vAlign w:val="bottom"/>
            <w:shd w:val="clear" w:color="auto" w:fill="E5EAF5"/>
          </w:tcPr>
          <w:p>
            <w:pPr>
              <w:spacing w:after="0"/>
              <w:rPr>
                <w:sz w:val="17"/>
                <w:szCs w:val="17"/>
                <w:color w:val="auto"/>
              </w:rPr>
            </w:pPr>
          </w:p>
        </w:tc>
        <w:tc>
          <w:tcPr>
            <w:tcW w:w="3240" w:type="dxa"/>
            <w:vAlign w:val="bottom"/>
            <w:shd w:val="clear" w:color="auto" w:fill="E5EAF5"/>
          </w:tcPr>
          <w:p>
            <w:pPr>
              <w:ind w:left="100"/>
              <w:spacing w:after="0"/>
              <w:rPr>
                <w:sz w:val="20"/>
                <w:szCs w:val="20"/>
                <w:color w:val="auto"/>
              </w:rPr>
            </w:pPr>
            <w:r>
              <w:rPr>
                <w:rFonts w:ascii="Arial" w:cs="Arial" w:eastAsia="Arial" w:hAnsi="Arial"/>
                <w:sz w:val="14"/>
                <w:szCs w:val="14"/>
                <w:color w:val="0033A0"/>
              </w:rPr>
              <w:t xml:space="preserve">• </w:t>
            </w:r>
            <w:r>
              <w:rPr>
                <w:rFonts w:ascii="Arial" w:cs="Arial" w:eastAsia="Arial" w:hAnsi="Arial"/>
                <w:sz w:val="14"/>
                <w:szCs w:val="14"/>
                <w:color w:val="000000"/>
              </w:rPr>
              <w:t>Defined benefit pension benefits (frozen in the</w:t>
            </w:r>
          </w:p>
        </w:tc>
        <w:tc>
          <w:tcPr>
            <w:tcW w:w="3040" w:type="dxa"/>
            <w:vAlign w:val="bottom"/>
            <w:shd w:val="clear" w:color="auto" w:fill="E5EAF5"/>
          </w:tcPr>
          <w:p>
            <w:pPr>
              <w:ind w:left="200"/>
              <w:spacing w:after="0"/>
              <w:rPr>
                <w:sz w:val="20"/>
                <w:szCs w:val="20"/>
                <w:color w:val="auto"/>
              </w:rPr>
            </w:pPr>
            <w:r>
              <w:rPr>
                <w:rFonts w:ascii="Arial" w:cs="Arial" w:eastAsia="Arial" w:hAnsi="Arial"/>
                <w:sz w:val="14"/>
                <w:szCs w:val="14"/>
                <w:color w:val="auto"/>
              </w:rPr>
              <w:t>program</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0" w:type="dxa"/>
            <w:vAlign w:val="bottom"/>
            <w:shd w:val="clear" w:color="auto" w:fill="0033A0"/>
          </w:tcPr>
          <w:p>
            <w:pPr>
              <w:spacing w:after="0"/>
              <w:rPr>
                <w:sz w:val="14"/>
                <w:szCs w:val="14"/>
                <w:color w:val="auto"/>
              </w:rPr>
            </w:pPr>
          </w:p>
        </w:tc>
        <w:tc>
          <w:tcPr>
            <w:tcW w:w="1480" w:type="dxa"/>
            <w:vAlign w:val="bottom"/>
            <w:tcBorders>
              <w:left w:val="single" w:sz="8" w:color="0033A0"/>
            </w:tcBorders>
            <w:shd w:val="clear" w:color="auto" w:fill="0033A0"/>
          </w:tcPr>
          <w:p>
            <w:pPr>
              <w:spacing w:after="0"/>
              <w:rPr>
                <w:sz w:val="14"/>
                <w:szCs w:val="14"/>
                <w:color w:val="auto"/>
              </w:rPr>
            </w:pPr>
          </w:p>
        </w:tc>
        <w:tc>
          <w:tcPr>
            <w:tcW w:w="460" w:type="dxa"/>
            <w:vAlign w:val="bottom"/>
            <w:shd w:val="clear" w:color="auto" w:fill="0033A0"/>
          </w:tcPr>
          <w:p>
            <w:pPr>
              <w:spacing w:after="0"/>
              <w:rPr>
                <w:sz w:val="14"/>
                <w:szCs w:val="14"/>
                <w:color w:val="auto"/>
              </w:rPr>
            </w:pPr>
          </w:p>
        </w:tc>
        <w:tc>
          <w:tcPr>
            <w:tcW w:w="2480" w:type="dxa"/>
            <w:vAlign w:val="bottom"/>
            <w:shd w:val="clear" w:color="auto" w:fill="E5EAF5"/>
          </w:tcPr>
          <w:p>
            <w:pPr>
              <w:spacing w:after="0"/>
              <w:rPr>
                <w:sz w:val="14"/>
                <w:szCs w:val="14"/>
                <w:color w:val="auto"/>
              </w:rPr>
            </w:pPr>
          </w:p>
        </w:tc>
        <w:tc>
          <w:tcPr>
            <w:tcW w:w="3240" w:type="dxa"/>
            <w:vAlign w:val="bottom"/>
            <w:shd w:val="clear" w:color="auto" w:fill="E5EAF5"/>
          </w:tcPr>
          <w:p>
            <w:pPr>
              <w:ind w:left="240"/>
              <w:spacing w:after="0"/>
              <w:rPr>
                <w:sz w:val="20"/>
                <w:szCs w:val="20"/>
                <w:color w:val="auto"/>
              </w:rPr>
            </w:pPr>
            <w:r>
              <w:rPr>
                <w:rFonts w:ascii="Arial" w:cs="Arial" w:eastAsia="Arial" w:hAnsi="Arial"/>
                <w:sz w:val="14"/>
                <w:szCs w:val="14"/>
                <w:color w:val="auto"/>
              </w:rPr>
              <w:t>U.S.)</w:t>
            </w:r>
          </w:p>
        </w:tc>
        <w:tc>
          <w:tcPr>
            <w:tcW w:w="3040" w:type="dxa"/>
            <w:vAlign w:val="bottom"/>
            <w:shd w:val="clear" w:color="auto" w:fill="E5EAF5"/>
          </w:tcPr>
          <w:p>
            <w:pPr>
              <w:ind w:left="60"/>
              <w:spacing w:after="0"/>
              <w:rPr>
                <w:sz w:val="20"/>
                <w:szCs w:val="20"/>
                <w:color w:val="auto"/>
              </w:rPr>
            </w:pPr>
            <w:r>
              <w:rPr>
                <w:rFonts w:ascii="Arial" w:cs="Arial" w:eastAsia="Arial" w:hAnsi="Arial"/>
                <w:sz w:val="14"/>
                <w:szCs w:val="14"/>
                <w:color w:val="0033A0"/>
              </w:rPr>
              <w:t xml:space="preserve">• </w:t>
            </w:r>
            <w:r>
              <w:rPr>
                <w:rFonts w:ascii="Arial" w:cs="Arial" w:eastAsia="Arial" w:hAnsi="Arial"/>
                <w:sz w:val="14"/>
                <w:szCs w:val="14"/>
                <w:color w:val="000000"/>
              </w:rPr>
              <w:t>Enhances recruitment and retention</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20" w:type="dxa"/>
            <w:vAlign w:val="bottom"/>
            <w:shd w:val="clear" w:color="auto" w:fill="0033A0"/>
          </w:tcPr>
          <w:p>
            <w:pPr>
              <w:spacing w:after="0"/>
              <w:rPr>
                <w:sz w:val="16"/>
                <w:szCs w:val="16"/>
                <w:color w:val="auto"/>
              </w:rPr>
            </w:pPr>
          </w:p>
        </w:tc>
        <w:tc>
          <w:tcPr>
            <w:tcW w:w="1480" w:type="dxa"/>
            <w:vAlign w:val="bottom"/>
            <w:tcBorders>
              <w:left w:val="single" w:sz="8" w:color="0033A0"/>
            </w:tcBorders>
            <w:shd w:val="clear" w:color="auto" w:fill="0033A0"/>
          </w:tcPr>
          <w:p>
            <w:pPr>
              <w:spacing w:after="0"/>
              <w:rPr>
                <w:sz w:val="16"/>
                <w:szCs w:val="16"/>
                <w:color w:val="auto"/>
              </w:rPr>
            </w:pPr>
          </w:p>
        </w:tc>
        <w:tc>
          <w:tcPr>
            <w:tcW w:w="460" w:type="dxa"/>
            <w:vAlign w:val="bottom"/>
            <w:shd w:val="clear" w:color="auto" w:fill="0033A0"/>
          </w:tcPr>
          <w:p>
            <w:pPr>
              <w:spacing w:after="0"/>
              <w:rPr>
                <w:sz w:val="16"/>
                <w:szCs w:val="16"/>
                <w:color w:val="auto"/>
              </w:rPr>
            </w:pPr>
          </w:p>
        </w:tc>
        <w:tc>
          <w:tcPr>
            <w:tcW w:w="2480" w:type="dxa"/>
            <w:vAlign w:val="bottom"/>
            <w:shd w:val="clear" w:color="auto" w:fill="E5EAF5"/>
          </w:tcPr>
          <w:p>
            <w:pPr>
              <w:spacing w:after="0"/>
              <w:rPr>
                <w:sz w:val="16"/>
                <w:szCs w:val="16"/>
                <w:color w:val="auto"/>
              </w:rPr>
            </w:pPr>
          </w:p>
        </w:tc>
        <w:tc>
          <w:tcPr>
            <w:tcW w:w="3240" w:type="dxa"/>
            <w:vAlign w:val="bottom"/>
            <w:shd w:val="clear" w:color="auto" w:fill="E5EAF5"/>
          </w:tcPr>
          <w:p>
            <w:pPr>
              <w:ind w:left="100"/>
              <w:spacing w:after="0"/>
              <w:rPr>
                <w:sz w:val="20"/>
                <w:szCs w:val="20"/>
                <w:color w:val="auto"/>
              </w:rPr>
            </w:pPr>
            <w:r>
              <w:rPr>
                <w:rFonts w:ascii="Arial" w:cs="Arial" w:eastAsia="Arial" w:hAnsi="Arial"/>
                <w:sz w:val="14"/>
                <w:szCs w:val="14"/>
                <w:color w:val="0033A0"/>
              </w:rPr>
              <w:t xml:space="preserve">• </w:t>
            </w:r>
            <w:r>
              <w:rPr>
                <w:rFonts w:ascii="Arial" w:cs="Arial" w:eastAsia="Arial" w:hAnsi="Arial"/>
                <w:sz w:val="14"/>
                <w:szCs w:val="14"/>
                <w:color w:val="000000"/>
              </w:rPr>
              <w:t>Executive salary continuation, long-term</w:t>
            </w:r>
          </w:p>
        </w:tc>
        <w:tc>
          <w:tcPr>
            <w:tcW w:w="3040" w:type="dxa"/>
            <w:vAlign w:val="bottom"/>
            <w:shd w:val="clear" w:color="auto" w:fill="E5EAF5"/>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0" w:type="dxa"/>
            <w:vAlign w:val="bottom"/>
            <w:shd w:val="clear" w:color="auto" w:fill="0033A0"/>
          </w:tcPr>
          <w:p>
            <w:pPr>
              <w:spacing w:after="0"/>
              <w:rPr>
                <w:sz w:val="14"/>
                <w:szCs w:val="14"/>
                <w:color w:val="auto"/>
              </w:rPr>
            </w:pPr>
          </w:p>
        </w:tc>
        <w:tc>
          <w:tcPr>
            <w:tcW w:w="1480" w:type="dxa"/>
            <w:vAlign w:val="bottom"/>
            <w:tcBorders>
              <w:left w:val="single" w:sz="8" w:color="0033A0"/>
            </w:tcBorders>
            <w:shd w:val="clear" w:color="auto" w:fill="0033A0"/>
          </w:tcPr>
          <w:p>
            <w:pPr>
              <w:spacing w:after="0"/>
              <w:rPr>
                <w:sz w:val="14"/>
                <w:szCs w:val="14"/>
                <w:color w:val="auto"/>
              </w:rPr>
            </w:pPr>
          </w:p>
        </w:tc>
        <w:tc>
          <w:tcPr>
            <w:tcW w:w="460" w:type="dxa"/>
            <w:vAlign w:val="bottom"/>
            <w:shd w:val="clear" w:color="auto" w:fill="0033A0"/>
          </w:tcPr>
          <w:p>
            <w:pPr>
              <w:spacing w:after="0"/>
              <w:rPr>
                <w:sz w:val="14"/>
                <w:szCs w:val="14"/>
                <w:color w:val="auto"/>
              </w:rPr>
            </w:pPr>
          </w:p>
        </w:tc>
        <w:tc>
          <w:tcPr>
            <w:tcW w:w="2480" w:type="dxa"/>
            <w:vAlign w:val="bottom"/>
            <w:shd w:val="clear" w:color="auto" w:fill="E5EAF5"/>
          </w:tcPr>
          <w:p>
            <w:pPr>
              <w:spacing w:after="0"/>
              <w:rPr>
                <w:sz w:val="14"/>
                <w:szCs w:val="14"/>
                <w:color w:val="auto"/>
              </w:rPr>
            </w:pPr>
          </w:p>
        </w:tc>
        <w:tc>
          <w:tcPr>
            <w:tcW w:w="3240" w:type="dxa"/>
            <w:vAlign w:val="bottom"/>
            <w:shd w:val="clear" w:color="auto" w:fill="E5EAF5"/>
          </w:tcPr>
          <w:p>
            <w:pPr>
              <w:ind w:left="240"/>
              <w:spacing w:after="0"/>
              <w:rPr>
                <w:sz w:val="20"/>
                <w:szCs w:val="20"/>
                <w:color w:val="auto"/>
              </w:rPr>
            </w:pPr>
            <w:r>
              <w:rPr>
                <w:rFonts w:ascii="Arial" w:cs="Arial" w:eastAsia="Arial" w:hAnsi="Arial"/>
                <w:sz w:val="14"/>
                <w:szCs w:val="14"/>
                <w:color w:val="auto"/>
              </w:rPr>
              <w:t>disability plan, and business accident</w:t>
            </w:r>
          </w:p>
        </w:tc>
        <w:tc>
          <w:tcPr>
            <w:tcW w:w="3040" w:type="dxa"/>
            <w:vAlign w:val="bottom"/>
            <w:shd w:val="clear" w:color="auto" w:fill="E5EAF5"/>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0" w:type="dxa"/>
            <w:vAlign w:val="bottom"/>
            <w:shd w:val="clear" w:color="auto" w:fill="0033A0"/>
          </w:tcPr>
          <w:p>
            <w:pPr>
              <w:spacing w:after="0"/>
              <w:rPr>
                <w:sz w:val="14"/>
                <w:szCs w:val="14"/>
                <w:color w:val="auto"/>
              </w:rPr>
            </w:pPr>
          </w:p>
        </w:tc>
        <w:tc>
          <w:tcPr>
            <w:tcW w:w="1480" w:type="dxa"/>
            <w:vAlign w:val="bottom"/>
            <w:tcBorders>
              <w:left w:val="single" w:sz="8" w:color="0033A0"/>
            </w:tcBorders>
            <w:shd w:val="clear" w:color="auto" w:fill="0033A0"/>
          </w:tcPr>
          <w:p>
            <w:pPr>
              <w:spacing w:after="0"/>
              <w:rPr>
                <w:sz w:val="14"/>
                <w:szCs w:val="14"/>
                <w:color w:val="auto"/>
              </w:rPr>
            </w:pPr>
          </w:p>
        </w:tc>
        <w:tc>
          <w:tcPr>
            <w:tcW w:w="460" w:type="dxa"/>
            <w:vAlign w:val="bottom"/>
            <w:shd w:val="clear" w:color="auto" w:fill="0033A0"/>
          </w:tcPr>
          <w:p>
            <w:pPr>
              <w:spacing w:after="0"/>
              <w:rPr>
                <w:sz w:val="14"/>
                <w:szCs w:val="14"/>
                <w:color w:val="auto"/>
              </w:rPr>
            </w:pPr>
          </w:p>
        </w:tc>
        <w:tc>
          <w:tcPr>
            <w:tcW w:w="2480" w:type="dxa"/>
            <w:vAlign w:val="bottom"/>
            <w:shd w:val="clear" w:color="auto" w:fill="E5EAF5"/>
          </w:tcPr>
          <w:p>
            <w:pPr>
              <w:spacing w:after="0"/>
              <w:rPr>
                <w:sz w:val="14"/>
                <w:szCs w:val="14"/>
                <w:color w:val="auto"/>
              </w:rPr>
            </w:pPr>
          </w:p>
        </w:tc>
        <w:tc>
          <w:tcPr>
            <w:tcW w:w="3240" w:type="dxa"/>
            <w:vAlign w:val="bottom"/>
            <w:shd w:val="clear" w:color="auto" w:fill="E5EAF5"/>
          </w:tcPr>
          <w:p>
            <w:pPr>
              <w:ind w:left="240"/>
              <w:spacing w:after="0"/>
              <w:rPr>
                <w:sz w:val="20"/>
                <w:szCs w:val="20"/>
                <w:color w:val="auto"/>
              </w:rPr>
            </w:pPr>
            <w:r>
              <w:rPr>
                <w:rFonts w:ascii="Arial" w:cs="Arial" w:eastAsia="Arial" w:hAnsi="Arial"/>
                <w:sz w:val="14"/>
                <w:szCs w:val="14"/>
                <w:color w:val="auto"/>
              </w:rPr>
              <w:t>insurance participation for U.S. named</w:t>
            </w:r>
          </w:p>
        </w:tc>
        <w:tc>
          <w:tcPr>
            <w:tcW w:w="3040" w:type="dxa"/>
            <w:vAlign w:val="bottom"/>
            <w:shd w:val="clear" w:color="auto" w:fill="E5EAF5"/>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0" w:type="dxa"/>
            <w:vAlign w:val="bottom"/>
            <w:shd w:val="clear" w:color="auto" w:fill="0033A0"/>
          </w:tcPr>
          <w:p>
            <w:pPr>
              <w:spacing w:after="0"/>
              <w:rPr>
                <w:sz w:val="14"/>
                <w:szCs w:val="14"/>
                <w:color w:val="auto"/>
              </w:rPr>
            </w:pPr>
          </w:p>
        </w:tc>
        <w:tc>
          <w:tcPr>
            <w:tcW w:w="1480" w:type="dxa"/>
            <w:vAlign w:val="bottom"/>
            <w:tcBorders>
              <w:left w:val="single" w:sz="8" w:color="0033A0"/>
            </w:tcBorders>
            <w:shd w:val="clear" w:color="auto" w:fill="0033A0"/>
          </w:tcPr>
          <w:p>
            <w:pPr>
              <w:spacing w:after="0"/>
              <w:rPr>
                <w:sz w:val="14"/>
                <w:szCs w:val="14"/>
                <w:color w:val="auto"/>
              </w:rPr>
            </w:pPr>
          </w:p>
        </w:tc>
        <w:tc>
          <w:tcPr>
            <w:tcW w:w="460" w:type="dxa"/>
            <w:vAlign w:val="bottom"/>
            <w:shd w:val="clear" w:color="auto" w:fill="0033A0"/>
          </w:tcPr>
          <w:p>
            <w:pPr>
              <w:spacing w:after="0"/>
              <w:rPr>
                <w:sz w:val="14"/>
                <w:szCs w:val="14"/>
                <w:color w:val="auto"/>
              </w:rPr>
            </w:pPr>
          </w:p>
        </w:tc>
        <w:tc>
          <w:tcPr>
            <w:tcW w:w="2480" w:type="dxa"/>
            <w:vAlign w:val="bottom"/>
            <w:shd w:val="clear" w:color="auto" w:fill="E5EAF5"/>
          </w:tcPr>
          <w:p>
            <w:pPr>
              <w:spacing w:after="0"/>
              <w:rPr>
                <w:sz w:val="14"/>
                <w:szCs w:val="14"/>
                <w:color w:val="auto"/>
              </w:rPr>
            </w:pPr>
          </w:p>
        </w:tc>
        <w:tc>
          <w:tcPr>
            <w:tcW w:w="3240" w:type="dxa"/>
            <w:vAlign w:val="bottom"/>
            <w:shd w:val="clear" w:color="auto" w:fill="E5EAF5"/>
          </w:tcPr>
          <w:p>
            <w:pPr>
              <w:ind w:left="240"/>
              <w:spacing w:after="0"/>
              <w:rPr>
                <w:sz w:val="20"/>
                <w:szCs w:val="20"/>
                <w:color w:val="auto"/>
              </w:rPr>
            </w:pPr>
            <w:r>
              <w:rPr>
                <w:rFonts w:ascii="Arial" w:cs="Arial" w:eastAsia="Arial" w:hAnsi="Arial"/>
                <w:sz w:val="14"/>
                <w:szCs w:val="14"/>
                <w:color w:val="auto"/>
              </w:rPr>
              <w:t>executive officers</w:t>
            </w:r>
          </w:p>
        </w:tc>
        <w:tc>
          <w:tcPr>
            <w:tcW w:w="3040" w:type="dxa"/>
            <w:vAlign w:val="bottom"/>
            <w:shd w:val="clear" w:color="auto" w:fill="E5EAF5"/>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20" w:type="dxa"/>
            <w:vAlign w:val="bottom"/>
            <w:shd w:val="clear" w:color="auto" w:fill="0033A0"/>
          </w:tcPr>
          <w:p>
            <w:pPr>
              <w:spacing w:after="0"/>
              <w:rPr>
                <w:sz w:val="16"/>
                <w:szCs w:val="16"/>
                <w:color w:val="auto"/>
              </w:rPr>
            </w:pPr>
          </w:p>
        </w:tc>
        <w:tc>
          <w:tcPr>
            <w:tcW w:w="1480" w:type="dxa"/>
            <w:vAlign w:val="bottom"/>
            <w:tcBorders>
              <w:left w:val="single" w:sz="8" w:color="0033A0"/>
            </w:tcBorders>
            <w:shd w:val="clear" w:color="auto" w:fill="0033A0"/>
          </w:tcPr>
          <w:p>
            <w:pPr>
              <w:spacing w:after="0"/>
              <w:rPr>
                <w:sz w:val="16"/>
                <w:szCs w:val="16"/>
                <w:color w:val="auto"/>
              </w:rPr>
            </w:pPr>
          </w:p>
        </w:tc>
        <w:tc>
          <w:tcPr>
            <w:tcW w:w="460" w:type="dxa"/>
            <w:vAlign w:val="bottom"/>
            <w:shd w:val="clear" w:color="auto" w:fill="0033A0"/>
          </w:tcPr>
          <w:p>
            <w:pPr>
              <w:spacing w:after="0"/>
              <w:rPr>
                <w:sz w:val="16"/>
                <w:szCs w:val="16"/>
                <w:color w:val="auto"/>
              </w:rPr>
            </w:pPr>
          </w:p>
        </w:tc>
        <w:tc>
          <w:tcPr>
            <w:tcW w:w="2480" w:type="dxa"/>
            <w:vAlign w:val="bottom"/>
            <w:shd w:val="clear" w:color="auto" w:fill="E5EAF5"/>
          </w:tcPr>
          <w:p>
            <w:pPr>
              <w:spacing w:after="0"/>
              <w:rPr>
                <w:sz w:val="16"/>
                <w:szCs w:val="16"/>
                <w:color w:val="auto"/>
              </w:rPr>
            </w:pPr>
          </w:p>
        </w:tc>
        <w:tc>
          <w:tcPr>
            <w:tcW w:w="3240" w:type="dxa"/>
            <w:vAlign w:val="bottom"/>
            <w:shd w:val="clear" w:color="auto" w:fill="E5EAF5"/>
          </w:tcPr>
          <w:p>
            <w:pPr>
              <w:ind w:left="100"/>
              <w:spacing w:after="0"/>
              <w:rPr>
                <w:sz w:val="20"/>
                <w:szCs w:val="20"/>
                <w:color w:val="auto"/>
              </w:rPr>
            </w:pPr>
            <w:r>
              <w:rPr>
                <w:rFonts w:ascii="Arial" w:cs="Arial" w:eastAsia="Arial" w:hAnsi="Arial"/>
                <w:sz w:val="14"/>
                <w:szCs w:val="14"/>
                <w:color w:val="0033A0"/>
              </w:rPr>
              <w:t xml:space="preserve">• </w:t>
            </w:r>
            <w:r>
              <w:rPr>
                <w:rFonts w:ascii="Arial" w:cs="Arial" w:eastAsia="Arial" w:hAnsi="Arial"/>
                <w:sz w:val="14"/>
                <w:szCs w:val="14"/>
                <w:color w:val="000000"/>
              </w:rPr>
              <w:t>Welfare plans and other arrangements that</w:t>
            </w:r>
          </w:p>
        </w:tc>
        <w:tc>
          <w:tcPr>
            <w:tcW w:w="3040" w:type="dxa"/>
            <w:vAlign w:val="bottom"/>
            <w:shd w:val="clear" w:color="auto" w:fill="E5EAF5"/>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0" w:type="dxa"/>
            <w:vAlign w:val="bottom"/>
            <w:shd w:val="clear" w:color="auto" w:fill="0033A0"/>
          </w:tcPr>
          <w:p>
            <w:pPr>
              <w:spacing w:after="0"/>
              <w:rPr>
                <w:sz w:val="14"/>
                <w:szCs w:val="14"/>
                <w:color w:val="auto"/>
              </w:rPr>
            </w:pPr>
          </w:p>
        </w:tc>
        <w:tc>
          <w:tcPr>
            <w:tcW w:w="1480" w:type="dxa"/>
            <w:vAlign w:val="bottom"/>
            <w:tcBorders>
              <w:left w:val="single" w:sz="8" w:color="0033A0"/>
            </w:tcBorders>
            <w:shd w:val="clear" w:color="auto" w:fill="0033A0"/>
          </w:tcPr>
          <w:p>
            <w:pPr>
              <w:spacing w:after="0"/>
              <w:rPr>
                <w:sz w:val="14"/>
                <w:szCs w:val="14"/>
                <w:color w:val="auto"/>
              </w:rPr>
            </w:pPr>
          </w:p>
        </w:tc>
        <w:tc>
          <w:tcPr>
            <w:tcW w:w="460" w:type="dxa"/>
            <w:vAlign w:val="bottom"/>
            <w:shd w:val="clear" w:color="auto" w:fill="0033A0"/>
          </w:tcPr>
          <w:p>
            <w:pPr>
              <w:spacing w:after="0"/>
              <w:rPr>
                <w:sz w:val="14"/>
                <w:szCs w:val="14"/>
                <w:color w:val="auto"/>
              </w:rPr>
            </w:pPr>
          </w:p>
        </w:tc>
        <w:tc>
          <w:tcPr>
            <w:tcW w:w="2480" w:type="dxa"/>
            <w:vAlign w:val="bottom"/>
            <w:shd w:val="clear" w:color="auto" w:fill="E5EAF5"/>
          </w:tcPr>
          <w:p>
            <w:pPr>
              <w:spacing w:after="0"/>
              <w:rPr>
                <w:sz w:val="14"/>
                <w:szCs w:val="14"/>
                <w:color w:val="auto"/>
              </w:rPr>
            </w:pPr>
          </w:p>
        </w:tc>
        <w:tc>
          <w:tcPr>
            <w:tcW w:w="3240" w:type="dxa"/>
            <w:vAlign w:val="bottom"/>
            <w:shd w:val="clear" w:color="auto" w:fill="E5EAF5"/>
          </w:tcPr>
          <w:p>
            <w:pPr>
              <w:ind w:left="240"/>
              <w:spacing w:after="0"/>
              <w:rPr>
                <w:sz w:val="20"/>
                <w:szCs w:val="20"/>
                <w:color w:val="auto"/>
              </w:rPr>
            </w:pPr>
            <w:r>
              <w:rPr>
                <w:rFonts w:ascii="Arial" w:cs="Arial" w:eastAsia="Arial" w:hAnsi="Arial"/>
                <w:sz w:val="14"/>
                <w:szCs w:val="14"/>
                <w:color w:val="auto"/>
              </w:rPr>
              <w:t>are available on a broad basis to U.S.</w:t>
            </w:r>
          </w:p>
        </w:tc>
        <w:tc>
          <w:tcPr>
            <w:tcW w:w="3040" w:type="dxa"/>
            <w:vAlign w:val="bottom"/>
            <w:shd w:val="clear" w:color="auto" w:fill="E5EAF5"/>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0" w:type="dxa"/>
            <w:vAlign w:val="bottom"/>
            <w:shd w:val="clear" w:color="auto" w:fill="0033A0"/>
          </w:tcPr>
          <w:p>
            <w:pPr>
              <w:spacing w:after="0"/>
              <w:rPr>
                <w:sz w:val="14"/>
                <w:szCs w:val="14"/>
                <w:color w:val="auto"/>
              </w:rPr>
            </w:pPr>
          </w:p>
        </w:tc>
        <w:tc>
          <w:tcPr>
            <w:tcW w:w="1480" w:type="dxa"/>
            <w:vAlign w:val="bottom"/>
            <w:tcBorders>
              <w:left w:val="single" w:sz="8" w:color="0033A0"/>
            </w:tcBorders>
            <w:shd w:val="clear" w:color="auto" w:fill="0033A0"/>
          </w:tcPr>
          <w:p>
            <w:pPr>
              <w:spacing w:after="0"/>
              <w:rPr>
                <w:sz w:val="14"/>
                <w:szCs w:val="14"/>
                <w:color w:val="auto"/>
              </w:rPr>
            </w:pPr>
          </w:p>
        </w:tc>
        <w:tc>
          <w:tcPr>
            <w:tcW w:w="460" w:type="dxa"/>
            <w:vAlign w:val="bottom"/>
            <w:shd w:val="clear" w:color="auto" w:fill="0033A0"/>
          </w:tcPr>
          <w:p>
            <w:pPr>
              <w:spacing w:after="0"/>
              <w:rPr>
                <w:sz w:val="14"/>
                <w:szCs w:val="14"/>
                <w:color w:val="auto"/>
              </w:rPr>
            </w:pPr>
          </w:p>
        </w:tc>
        <w:tc>
          <w:tcPr>
            <w:tcW w:w="2480" w:type="dxa"/>
            <w:vAlign w:val="bottom"/>
            <w:shd w:val="clear" w:color="auto" w:fill="E5EAF5"/>
          </w:tcPr>
          <w:p>
            <w:pPr>
              <w:spacing w:after="0"/>
              <w:rPr>
                <w:sz w:val="14"/>
                <w:szCs w:val="14"/>
                <w:color w:val="auto"/>
              </w:rPr>
            </w:pPr>
          </w:p>
        </w:tc>
        <w:tc>
          <w:tcPr>
            <w:tcW w:w="3240" w:type="dxa"/>
            <w:vAlign w:val="bottom"/>
            <w:shd w:val="clear" w:color="auto" w:fill="E5EAF5"/>
          </w:tcPr>
          <w:p>
            <w:pPr>
              <w:ind w:left="240"/>
              <w:spacing w:after="0"/>
              <w:rPr>
                <w:sz w:val="20"/>
                <w:szCs w:val="20"/>
                <w:color w:val="auto"/>
              </w:rPr>
            </w:pPr>
            <w:r>
              <w:rPr>
                <w:rFonts w:ascii="Arial" w:cs="Arial" w:eastAsia="Arial" w:hAnsi="Arial"/>
                <w:sz w:val="14"/>
                <w:szCs w:val="14"/>
                <w:color w:val="auto"/>
              </w:rPr>
              <w:t>employees and Switzerland employees, as</w:t>
            </w:r>
          </w:p>
        </w:tc>
        <w:tc>
          <w:tcPr>
            <w:tcW w:w="3040" w:type="dxa"/>
            <w:vAlign w:val="bottom"/>
            <w:shd w:val="clear" w:color="auto" w:fill="E5EAF5"/>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0" w:type="dxa"/>
            <w:vAlign w:val="bottom"/>
            <w:shd w:val="clear" w:color="auto" w:fill="0033A0"/>
          </w:tcPr>
          <w:p>
            <w:pPr>
              <w:spacing w:after="0"/>
              <w:rPr>
                <w:sz w:val="14"/>
                <w:szCs w:val="14"/>
                <w:color w:val="auto"/>
              </w:rPr>
            </w:pPr>
          </w:p>
        </w:tc>
        <w:tc>
          <w:tcPr>
            <w:tcW w:w="1480" w:type="dxa"/>
            <w:vAlign w:val="bottom"/>
            <w:tcBorders>
              <w:left w:val="single" w:sz="8" w:color="0033A0"/>
            </w:tcBorders>
            <w:shd w:val="clear" w:color="auto" w:fill="0033A0"/>
          </w:tcPr>
          <w:p>
            <w:pPr>
              <w:spacing w:after="0"/>
              <w:rPr>
                <w:sz w:val="14"/>
                <w:szCs w:val="14"/>
                <w:color w:val="auto"/>
              </w:rPr>
            </w:pPr>
          </w:p>
        </w:tc>
        <w:tc>
          <w:tcPr>
            <w:tcW w:w="460" w:type="dxa"/>
            <w:vAlign w:val="bottom"/>
            <w:shd w:val="clear" w:color="auto" w:fill="0033A0"/>
          </w:tcPr>
          <w:p>
            <w:pPr>
              <w:spacing w:after="0"/>
              <w:rPr>
                <w:sz w:val="14"/>
                <w:szCs w:val="14"/>
                <w:color w:val="auto"/>
              </w:rPr>
            </w:pPr>
          </w:p>
        </w:tc>
        <w:tc>
          <w:tcPr>
            <w:tcW w:w="2480" w:type="dxa"/>
            <w:vAlign w:val="bottom"/>
            <w:shd w:val="clear" w:color="auto" w:fill="E5EAF5"/>
          </w:tcPr>
          <w:p>
            <w:pPr>
              <w:spacing w:after="0"/>
              <w:rPr>
                <w:sz w:val="14"/>
                <w:szCs w:val="14"/>
                <w:color w:val="auto"/>
              </w:rPr>
            </w:pPr>
          </w:p>
        </w:tc>
        <w:tc>
          <w:tcPr>
            <w:tcW w:w="3240" w:type="dxa"/>
            <w:vAlign w:val="bottom"/>
            <w:shd w:val="clear" w:color="auto" w:fill="E5EAF5"/>
          </w:tcPr>
          <w:p>
            <w:pPr>
              <w:ind w:left="240"/>
              <w:spacing w:after="0"/>
              <w:rPr>
                <w:sz w:val="20"/>
                <w:szCs w:val="20"/>
                <w:color w:val="auto"/>
              </w:rPr>
            </w:pPr>
            <w:r>
              <w:rPr>
                <w:rFonts w:ascii="Arial" w:cs="Arial" w:eastAsia="Arial" w:hAnsi="Arial"/>
                <w:sz w:val="14"/>
                <w:szCs w:val="14"/>
                <w:color w:val="auto"/>
              </w:rPr>
              <w:t>applicable</w:t>
            </w:r>
          </w:p>
        </w:tc>
        <w:tc>
          <w:tcPr>
            <w:tcW w:w="3040" w:type="dxa"/>
            <w:vAlign w:val="bottom"/>
            <w:shd w:val="clear" w:color="auto" w:fill="E5EAF5"/>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800" w:type="dxa"/>
            <w:vAlign w:val="bottom"/>
            <w:gridSpan w:val="2"/>
            <w:shd w:val="clear" w:color="auto" w:fill="0033A0"/>
          </w:tcPr>
          <w:p>
            <w:pPr>
              <w:ind w:left="60"/>
              <w:spacing w:after="0"/>
              <w:rPr>
                <w:sz w:val="20"/>
                <w:szCs w:val="20"/>
                <w:color w:val="auto"/>
              </w:rPr>
            </w:pPr>
            <w:r>
              <w:rPr>
                <w:rFonts w:ascii="Arial" w:cs="Arial" w:eastAsia="Arial" w:hAnsi="Arial"/>
                <w:sz w:val="14"/>
                <w:szCs w:val="14"/>
                <w:b w:val="1"/>
                <w:bCs w:val="1"/>
                <w:color w:val="FFFFFF"/>
              </w:rPr>
              <w:t>Perquisites</w:t>
            </w:r>
          </w:p>
        </w:tc>
        <w:tc>
          <w:tcPr>
            <w:tcW w:w="460" w:type="dxa"/>
            <w:vAlign w:val="bottom"/>
            <w:shd w:val="clear" w:color="auto" w:fill="0033A0"/>
          </w:tcPr>
          <w:p>
            <w:pPr>
              <w:spacing w:after="0"/>
              <w:rPr>
                <w:sz w:val="21"/>
                <w:szCs w:val="21"/>
                <w:color w:val="auto"/>
              </w:rPr>
            </w:pPr>
          </w:p>
        </w:tc>
        <w:tc>
          <w:tcPr>
            <w:tcW w:w="2480" w:type="dxa"/>
            <w:vAlign w:val="bottom"/>
            <w:shd w:val="clear" w:color="auto" w:fill="E5EAF5"/>
          </w:tcPr>
          <w:p>
            <w:pPr>
              <w:ind w:left="100"/>
              <w:spacing w:after="0"/>
              <w:rPr>
                <w:sz w:val="20"/>
                <w:szCs w:val="20"/>
                <w:color w:val="auto"/>
              </w:rPr>
            </w:pPr>
            <w:r>
              <w:rPr>
                <w:rFonts w:ascii="Arial" w:cs="Arial" w:eastAsia="Arial" w:hAnsi="Arial"/>
                <w:sz w:val="14"/>
                <w:szCs w:val="14"/>
                <w:color w:val="auto"/>
              </w:rPr>
              <w:t>All Named Executive Officers</w:t>
            </w:r>
          </w:p>
        </w:tc>
        <w:tc>
          <w:tcPr>
            <w:tcW w:w="3240" w:type="dxa"/>
            <w:vAlign w:val="bottom"/>
            <w:shd w:val="clear" w:color="auto" w:fill="E5EAF5"/>
          </w:tcPr>
          <w:p>
            <w:pPr>
              <w:ind w:left="100"/>
              <w:spacing w:after="0"/>
              <w:rPr>
                <w:sz w:val="20"/>
                <w:szCs w:val="20"/>
                <w:color w:val="auto"/>
              </w:rPr>
            </w:pPr>
            <w:r>
              <w:rPr>
                <w:rFonts w:ascii="Arial" w:cs="Arial" w:eastAsia="Arial" w:hAnsi="Arial"/>
                <w:sz w:val="14"/>
                <w:szCs w:val="14"/>
                <w:color w:val="0033A0"/>
              </w:rPr>
              <w:t xml:space="preserve">• </w:t>
            </w:r>
            <w:r>
              <w:rPr>
                <w:rFonts w:ascii="Arial" w:cs="Arial" w:eastAsia="Arial" w:hAnsi="Arial"/>
                <w:sz w:val="14"/>
                <w:szCs w:val="14"/>
                <w:color w:val="000000"/>
              </w:rPr>
              <w:t>Limited personal and spouse travel,</w:t>
            </w:r>
          </w:p>
        </w:tc>
        <w:tc>
          <w:tcPr>
            <w:tcW w:w="3040" w:type="dxa"/>
            <w:vAlign w:val="bottom"/>
            <w:shd w:val="clear" w:color="auto" w:fill="E5EAF5"/>
          </w:tcPr>
          <w:p>
            <w:pPr>
              <w:ind w:left="60"/>
              <w:spacing w:after="0"/>
              <w:rPr>
                <w:sz w:val="20"/>
                <w:szCs w:val="20"/>
                <w:color w:val="auto"/>
              </w:rPr>
            </w:pPr>
            <w:r>
              <w:rPr>
                <w:rFonts w:ascii="Arial" w:cs="Arial" w:eastAsia="Arial" w:hAnsi="Arial"/>
                <w:sz w:val="14"/>
                <w:szCs w:val="14"/>
                <w:color w:val="0033A0"/>
              </w:rPr>
              <w:t xml:space="preserve">• </w:t>
            </w:r>
            <w:r>
              <w:rPr>
                <w:rFonts w:ascii="Arial" w:cs="Arial" w:eastAsia="Arial" w:hAnsi="Arial"/>
                <w:sz w:val="14"/>
                <w:szCs w:val="14"/>
                <w:color w:val="000000"/>
              </w:rPr>
              <w:t>Provides for safety and security of</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0" w:type="dxa"/>
            <w:vAlign w:val="bottom"/>
            <w:shd w:val="clear" w:color="auto" w:fill="0033A0"/>
          </w:tcPr>
          <w:p>
            <w:pPr>
              <w:spacing w:after="0"/>
              <w:rPr>
                <w:sz w:val="14"/>
                <w:szCs w:val="14"/>
                <w:color w:val="auto"/>
              </w:rPr>
            </w:pPr>
          </w:p>
        </w:tc>
        <w:tc>
          <w:tcPr>
            <w:tcW w:w="1480" w:type="dxa"/>
            <w:vAlign w:val="bottom"/>
            <w:tcBorders>
              <w:left w:val="single" w:sz="8" w:color="0033A0"/>
            </w:tcBorders>
            <w:shd w:val="clear" w:color="auto" w:fill="0033A0"/>
          </w:tcPr>
          <w:p>
            <w:pPr>
              <w:spacing w:after="0"/>
              <w:rPr>
                <w:sz w:val="14"/>
                <w:szCs w:val="14"/>
                <w:color w:val="auto"/>
              </w:rPr>
            </w:pPr>
          </w:p>
        </w:tc>
        <w:tc>
          <w:tcPr>
            <w:tcW w:w="460" w:type="dxa"/>
            <w:vAlign w:val="bottom"/>
            <w:shd w:val="clear" w:color="auto" w:fill="0033A0"/>
          </w:tcPr>
          <w:p>
            <w:pPr>
              <w:spacing w:after="0"/>
              <w:rPr>
                <w:sz w:val="14"/>
                <w:szCs w:val="14"/>
                <w:color w:val="auto"/>
              </w:rPr>
            </w:pPr>
          </w:p>
        </w:tc>
        <w:tc>
          <w:tcPr>
            <w:tcW w:w="2480" w:type="dxa"/>
            <w:vAlign w:val="bottom"/>
            <w:shd w:val="clear" w:color="auto" w:fill="E5EAF5"/>
          </w:tcPr>
          <w:p>
            <w:pPr>
              <w:spacing w:after="0"/>
              <w:rPr>
                <w:sz w:val="14"/>
                <w:szCs w:val="14"/>
                <w:color w:val="auto"/>
              </w:rPr>
            </w:pPr>
          </w:p>
        </w:tc>
        <w:tc>
          <w:tcPr>
            <w:tcW w:w="3240" w:type="dxa"/>
            <w:vAlign w:val="bottom"/>
            <w:shd w:val="clear" w:color="auto" w:fill="E5EAF5"/>
          </w:tcPr>
          <w:p>
            <w:pPr>
              <w:ind w:left="240"/>
              <w:spacing w:after="0"/>
              <w:rPr>
                <w:sz w:val="20"/>
                <w:szCs w:val="20"/>
                <w:color w:val="auto"/>
              </w:rPr>
            </w:pPr>
            <w:r>
              <w:rPr>
                <w:rFonts w:ascii="Arial" w:cs="Arial" w:eastAsia="Arial" w:hAnsi="Arial"/>
                <w:sz w:val="14"/>
                <w:szCs w:val="14"/>
                <w:color w:val="auto"/>
              </w:rPr>
              <w:t>entertainment and gifts</w:t>
            </w:r>
          </w:p>
        </w:tc>
        <w:tc>
          <w:tcPr>
            <w:tcW w:w="3040" w:type="dxa"/>
            <w:vAlign w:val="bottom"/>
            <w:shd w:val="clear" w:color="auto" w:fill="E5EAF5"/>
          </w:tcPr>
          <w:p>
            <w:pPr>
              <w:ind w:left="200"/>
              <w:spacing w:after="0"/>
              <w:rPr>
                <w:sz w:val="20"/>
                <w:szCs w:val="20"/>
                <w:color w:val="auto"/>
              </w:rPr>
            </w:pPr>
            <w:r>
              <w:rPr>
                <w:rFonts w:ascii="Arial" w:cs="Arial" w:eastAsia="Arial" w:hAnsi="Arial"/>
                <w:sz w:val="14"/>
                <w:szCs w:val="14"/>
                <w:color w:val="auto"/>
              </w:rPr>
              <w:t>executives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shd w:val="clear" w:color="auto" w:fill="0033A0"/>
          </w:tcPr>
          <w:p>
            <w:pPr>
              <w:spacing w:after="0"/>
              <w:rPr>
                <w:sz w:val="17"/>
                <w:szCs w:val="17"/>
                <w:color w:val="auto"/>
              </w:rPr>
            </w:pPr>
          </w:p>
        </w:tc>
        <w:tc>
          <w:tcPr>
            <w:tcW w:w="1480" w:type="dxa"/>
            <w:vAlign w:val="bottom"/>
            <w:tcBorders>
              <w:left w:val="single" w:sz="8" w:color="0033A0"/>
            </w:tcBorders>
            <w:shd w:val="clear" w:color="auto" w:fill="0033A0"/>
          </w:tcPr>
          <w:p>
            <w:pPr>
              <w:spacing w:after="0"/>
              <w:rPr>
                <w:sz w:val="17"/>
                <w:szCs w:val="17"/>
                <w:color w:val="auto"/>
              </w:rPr>
            </w:pPr>
          </w:p>
        </w:tc>
        <w:tc>
          <w:tcPr>
            <w:tcW w:w="460" w:type="dxa"/>
            <w:vAlign w:val="bottom"/>
            <w:shd w:val="clear" w:color="auto" w:fill="0033A0"/>
          </w:tcPr>
          <w:p>
            <w:pPr>
              <w:spacing w:after="0"/>
              <w:rPr>
                <w:sz w:val="17"/>
                <w:szCs w:val="17"/>
                <w:color w:val="auto"/>
              </w:rPr>
            </w:pPr>
          </w:p>
        </w:tc>
        <w:tc>
          <w:tcPr>
            <w:tcW w:w="2480" w:type="dxa"/>
            <w:vAlign w:val="bottom"/>
            <w:shd w:val="clear" w:color="auto" w:fill="E5EAF5"/>
          </w:tcPr>
          <w:p>
            <w:pPr>
              <w:spacing w:after="0"/>
              <w:rPr>
                <w:sz w:val="17"/>
                <w:szCs w:val="17"/>
                <w:color w:val="auto"/>
              </w:rPr>
            </w:pPr>
          </w:p>
        </w:tc>
        <w:tc>
          <w:tcPr>
            <w:tcW w:w="3240" w:type="dxa"/>
            <w:vAlign w:val="bottom"/>
            <w:shd w:val="clear" w:color="auto" w:fill="E5EAF5"/>
          </w:tcPr>
          <w:p>
            <w:pPr>
              <w:ind w:left="100"/>
              <w:spacing w:after="0"/>
              <w:rPr>
                <w:sz w:val="20"/>
                <w:szCs w:val="20"/>
                <w:color w:val="auto"/>
              </w:rPr>
            </w:pPr>
            <w:r>
              <w:rPr>
                <w:rFonts w:ascii="Arial" w:cs="Arial" w:eastAsia="Arial" w:hAnsi="Arial"/>
                <w:sz w:val="14"/>
                <w:szCs w:val="14"/>
                <w:color w:val="0033A0"/>
              </w:rPr>
              <w:t xml:space="preserve">• </w:t>
            </w:r>
            <w:r>
              <w:rPr>
                <w:rFonts w:ascii="Arial" w:cs="Arial" w:eastAsia="Arial" w:hAnsi="Arial"/>
                <w:sz w:val="14"/>
                <w:szCs w:val="14"/>
                <w:color w:val="000000"/>
              </w:rPr>
              <w:t>Executive physical examinations</w:t>
            </w:r>
          </w:p>
        </w:tc>
        <w:tc>
          <w:tcPr>
            <w:tcW w:w="3040" w:type="dxa"/>
            <w:vAlign w:val="bottom"/>
            <w:shd w:val="clear" w:color="auto" w:fill="E5EAF5"/>
          </w:tcPr>
          <w:p>
            <w:pPr>
              <w:ind w:left="60"/>
              <w:spacing w:after="0"/>
              <w:rPr>
                <w:sz w:val="20"/>
                <w:szCs w:val="20"/>
                <w:color w:val="auto"/>
              </w:rPr>
            </w:pPr>
            <w:r>
              <w:rPr>
                <w:rFonts w:ascii="Arial" w:cs="Arial" w:eastAsia="Arial" w:hAnsi="Arial"/>
                <w:sz w:val="14"/>
                <w:szCs w:val="14"/>
                <w:color w:val="0033A0"/>
              </w:rPr>
              <w:t xml:space="preserve">• </w:t>
            </w:r>
            <w:r>
              <w:rPr>
                <w:rFonts w:ascii="Arial" w:cs="Arial" w:eastAsia="Arial" w:hAnsi="Arial"/>
                <w:sz w:val="14"/>
                <w:szCs w:val="14"/>
                <w:color w:val="000000"/>
              </w:rPr>
              <w:t>Enhances recruitment and retention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shd w:val="clear" w:color="auto" w:fill="0033A0"/>
          </w:tcPr>
          <w:p>
            <w:pPr>
              <w:spacing w:after="0"/>
              <w:rPr>
                <w:sz w:val="17"/>
                <w:szCs w:val="17"/>
                <w:color w:val="auto"/>
              </w:rPr>
            </w:pPr>
          </w:p>
        </w:tc>
        <w:tc>
          <w:tcPr>
            <w:tcW w:w="1480" w:type="dxa"/>
            <w:vAlign w:val="bottom"/>
            <w:tcBorders>
              <w:left w:val="single" w:sz="8" w:color="0033A0"/>
            </w:tcBorders>
            <w:shd w:val="clear" w:color="auto" w:fill="0033A0"/>
          </w:tcPr>
          <w:p>
            <w:pPr>
              <w:spacing w:after="0"/>
              <w:rPr>
                <w:sz w:val="17"/>
                <w:szCs w:val="17"/>
                <w:color w:val="auto"/>
              </w:rPr>
            </w:pPr>
          </w:p>
        </w:tc>
        <w:tc>
          <w:tcPr>
            <w:tcW w:w="460" w:type="dxa"/>
            <w:vAlign w:val="bottom"/>
            <w:shd w:val="clear" w:color="auto" w:fill="0033A0"/>
          </w:tcPr>
          <w:p>
            <w:pPr>
              <w:spacing w:after="0"/>
              <w:rPr>
                <w:sz w:val="17"/>
                <w:szCs w:val="17"/>
                <w:color w:val="auto"/>
              </w:rPr>
            </w:pPr>
          </w:p>
        </w:tc>
        <w:tc>
          <w:tcPr>
            <w:tcW w:w="2480" w:type="dxa"/>
            <w:vAlign w:val="bottom"/>
            <w:shd w:val="clear" w:color="auto" w:fill="E5EAF5"/>
          </w:tcPr>
          <w:p>
            <w:pPr>
              <w:spacing w:after="0"/>
              <w:rPr>
                <w:sz w:val="17"/>
                <w:szCs w:val="17"/>
                <w:color w:val="auto"/>
              </w:rPr>
            </w:pPr>
          </w:p>
        </w:tc>
        <w:tc>
          <w:tcPr>
            <w:tcW w:w="3240" w:type="dxa"/>
            <w:vAlign w:val="bottom"/>
            <w:shd w:val="clear" w:color="auto" w:fill="E5EAF5"/>
          </w:tcPr>
          <w:p>
            <w:pPr>
              <w:ind w:left="100"/>
              <w:spacing w:after="0"/>
              <w:rPr>
                <w:sz w:val="20"/>
                <w:szCs w:val="20"/>
                <w:color w:val="auto"/>
              </w:rPr>
            </w:pPr>
            <w:r>
              <w:rPr>
                <w:rFonts w:ascii="Arial" w:cs="Arial" w:eastAsia="Arial" w:hAnsi="Arial"/>
                <w:sz w:val="14"/>
                <w:szCs w:val="14"/>
                <w:color w:val="0033A0"/>
              </w:rPr>
              <w:t xml:space="preserve">• </w:t>
            </w:r>
            <w:r>
              <w:rPr>
                <w:rFonts w:ascii="Arial" w:cs="Arial" w:eastAsia="Arial" w:hAnsi="Arial"/>
                <w:sz w:val="14"/>
                <w:szCs w:val="14"/>
                <w:color w:val="000000"/>
              </w:rPr>
              <w:t>Reimbursement of relocation expenses</w:t>
            </w:r>
          </w:p>
        </w:tc>
        <w:tc>
          <w:tcPr>
            <w:tcW w:w="3040" w:type="dxa"/>
            <w:vAlign w:val="bottom"/>
            <w:shd w:val="clear" w:color="auto" w:fill="E5EAF5"/>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20" w:type="dxa"/>
            <w:vAlign w:val="bottom"/>
            <w:shd w:val="clear" w:color="auto" w:fill="0033A0"/>
          </w:tcPr>
          <w:p>
            <w:pPr>
              <w:spacing w:after="0"/>
              <w:rPr>
                <w:sz w:val="16"/>
                <w:szCs w:val="16"/>
                <w:color w:val="auto"/>
              </w:rPr>
            </w:pPr>
          </w:p>
        </w:tc>
        <w:tc>
          <w:tcPr>
            <w:tcW w:w="1480" w:type="dxa"/>
            <w:vAlign w:val="bottom"/>
            <w:tcBorders>
              <w:left w:val="single" w:sz="8" w:color="0033A0"/>
            </w:tcBorders>
            <w:shd w:val="clear" w:color="auto" w:fill="0033A0"/>
          </w:tcPr>
          <w:p>
            <w:pPr>
              <w:spacing w:after="0"/>
              <w:rPr>
                <w:sz w:val="16"/>
                <w:szCs w:val="16"/>
                <w:color w:val="auto"/>
              </w:rPr>
            </w:pPr>
          </w:p>
        </w:tc>
        <w:tc>
          <w:tcPr>
            <w:tcW w:w="460" w:type="dxa"/>
            <w:vAlign w:val="bottom"/>
            <w:shd w:val="clear" w:color="auto" w:fill="0033A0"/>
          </w:tcPr>
          <w:p>
            <w:pPr>
              <w:spacing w:after="0"/>
              <w:rPr>
                <w:sz w:val="16"/>
                <w:szCs w:val="16"/>
                <w:color w:val="auto"/>
              </w:rPr>
            </w:pPr>
          </w:p>
        </w:tc>
        <w:tc>
          <w:tcPr>
            <w:tcW w:w="2480" w:type="dxa"/>
            <w:vAlign w:val="bottom"/>
            <w:shd w:val="clear" w:color="auto" w:fill="E5EAF5"/>
          </w:tcPr>
          <w:p>
            <w:pPr>
              <w:spacing w:after="0"/>
              <w:rPr>
                <w:sz w:val="16"/>
                <w:szCs w:val="16"/>
                <w:color w:val="auto"/>
              </w:rPr>
            </w:pPr>
          </w:p>
        </w:tc>
        <w:tc>
          <w:tcPr>
            <w:tcW w:w="3240" w:type="dxa"/>
            <w:vAlign w:val="bottom"/>
            <w:shd w:val="clear" w:color="auto" w:fill="E5EAF5"/>
          </w:tcPr>
          <w:p>
            <w:pPr>
              <w:ind w:left="100"/>
              <w:spacing w:after="0"/>
              <w:rPr>
                <w:sz w:val="20"/>
                <w:szCs w:val="20"/>
                <w:color w:val="auto"/>
              </w:rPr>
            </w:pPr>
            <w:r>
              <w:rPr>
                <w:rFonts w:ascii="Arial" w:cs="Arial" w:eastAsia="Arial" w:hAnsi="Arial"/>
                <w:sz w:val="14"/>
                <w:szCs w:val="14"/>
                <w:color w:val="0033A0"/>
              </w:rPr>
              <w:t xml:space="preserve">• </w:t>
            </w:r>
            <w:r>
              <w:rPr>
                <w:rFonts w:ascii="Arial" w:cs="Arial" w:eastAsia="Arial" w:hAnsi="Arial"/>
                <w:sz w:val="14"/>
                <w:szCs w:val="14"/>
                <w:color w:val="000000"/>
              </w:rPr>
              <w:t>Tax Preparation (available only to</w:t>
            </w:r>
          </w:p>
        </w:tc>
        <w:tc>
          <w:tcPr>
            <w:tcW w:w="3040" w:type="dxa"/>
            <w:vAlign w:val="bottom"/>
            <w:shd w:val="clear" w:color="auto" w:fill="E5EAF5"/>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0" w:type="dxa"/>
            <w:vAlign w:val="bottom"/>
            <w:shd w:val="clear" w:color="auto" w:fill="0033A0"/>
          </w:tcPr>
          <w:p>
            <w:pPr>
              <w:spacing w:after="0"/>
              <w:rPr>
                <w:sz w:val="14"/>
                <w:szCs w:val="14"/>
                <w:color w:val="auto"/>
              </w:rPr>
            </w:pPr>
          </w:p>
        </w:tc>
        <w:tc>
          <w:tcPr>
            <w:tcW w:w="1480" w:type="dxa"/>
            <w:vAlign w:val="bottom"/>
            <w:tcBorders>
              <w:left w:val="single" w:sz="8" w:color="0033A0"/>
            </w:tcBorders>
            <w:shd w:val="clear" w:color="auto" w:fill="0033A0"/>
          </w:tcPr>
          <w:p>
            <w:pPr>
              <w:spacing w:after="0"/>
              <w:rPr>
                <w:sz w:val="14"/>
                <w:szCs w:val="14"/>
                <w:color w:val="auto"/>
              </w:rPr>
            </w:pPr>
          </w:p>
        </w:tc>
        <w:tc>
          <w:tcPr>
            <w:tcW w:w="460" w:type="dxa"/>
            <w:vAlign w:val="bottom"/>
            <w:shd w:val="clear" w:color="auto" w:fill="0033A0"/>
          </w:tcPr>
          <w:p>
            <w:pPr>
              <w:spacing w:after="0"/>
              <w:rPr>
                <w:sz w:val="14"/>
                <w:szCs w:val="14"/>
                <w:color w:val="auto"/>
              </w:rPr>
            </w:pPr>
          </w:p>
        </w:tc>
        <w:tc>
          <w:tcPr>
            <w:tcW w:w="2480" w:type="dxa"/>
            <w:vAlign w:val="bottom"/>
            <w:shd w:val="clear" w:color="auto" w:fill="E5EAF5"/>
          </w:tcPr>
          <w:p>
            <w:pPr>
              <w:spacing w:after="0"/>
              <w:rPr>
                <w:sz w:val="14"/>
                <w:szCs w:val="14"/>
                <w:color w:val="auto"/>
              </w:rPr>
            </w:pPr>
          </w:p>
        </w:tc>
        <w:tc>
          <w:tcPr>
            <w:tcW w:w="3240" w:type="dxa"/>
            <w:vAlign w:val="bottom"/>
            <w:shd w:val="clear" w:color="auto" w:fill="E5EAF5"/>
          </w:tcPr>
          <w:p>
            <w:pPr>
              <w:ind w:left="240"/>
              <w:spacing w:after="0"/>
              <w:rPr>
                <w:sz w:val="20"/>
                <w:szCs w:val="20"/>
                <w:color w:val="auto"/>
              </w:rPr>
            </w:pPr>
            <w:r>
              <w:rPr>
                <w:rFonts w:ascii="Arial" w:cs="Arial" w:eastAsia="Arial" w:hAnsi="Arial"/>
                <w:sz w:val="14"/>
                <w:szCs w:val="14"/>
                <w:color w:val="auto"/>
              </w:rPr>
              <w:t>Mr. Zukerman)</w:t>
            </w:r>
          </w:p>
        </w:tc>
        <w:tc>
          <w:tcPr>
            <w:tcW w:w="3040" w:type="dxa"/>
            <w:vAlign w:val="bottom"/>
            <w:shd w:val="clear" w:color="auto" w:fill="E5EAF5"/>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800" w:type="dxa"/>
            <w:vAlign w:val="bottom"/>
            <w:gridSpan w:val="2"/>
            <w:shd w:val="clear" w:color="auto" w:fill="0033A0"/>
          </w:tcPr>
          <w:p>
            <w:pPr>
              <w:ind w:left="60"/>
              <w:spacing w:after="0"/>
              <w:rPr>
                <w:sz w:val="20"/>
                <w:szCs w:val="20"/>
                <w:color w:val="auto"/>
              </w:rPr>
            </w:pPr>
            <w:r>
              <w:rPr>
                <w:rFonts w:ascii="Arial" w:cs="Arial" w:eastAsia="Arial" w:hAnsi="Arial"/>
                <w:sz w:val="14"/>
                <w:szCs w:val="14"/>
                <w:b w:val="1"/>
                <w:bCs w:val="1"/>
                <w:color w:val="FFFFFF"/>
              </w:rPr>
              <w:t>Severance Pay Plan</w:t>
            </w:r>
          </w:p>
        </w:tc>
        <w:tc>
          <w:tcPr>
            <w:tcW w:w="460" w:type="dxa"/>
            <w:vAlign w:val="bottom"/>
            <w:shd w:val="clear" w:color="auto" w:fill="0033A0"/>
          </w:tcPr>
          <w:p>
            <w:pPr>
              <w:spacing w:after="0"/>
              <w:rPr>
                <w:sz w:val="21"/>
                <w:szCs w:val="21"/>
                <w:color w:val="auto"/>
              </w:rPr>
            </w:pPr>
          </w:p>
        </w:tc>
        <w:tc>
          <w:tcPr>
            <w:tcW w:w="2480" w:type="dxa"/>
            <w:vAlign w:val="bottom"/>
            <w:shd w:val="clear" w:color="auto" w:fill="E5EAF5"/>
          </w:tcPr>
          <w:p>
            <w:pPr>
              <w:ind w:left="100"/>
              <w:spacing w:after="0"/>
              <w:rPr>
                <w:sz w:val="20"/>
                <w:szCs w:val="20"/>
                <w:color w:val="auto"/>
              </w:rPr>
            </w:pPr>
            <w:r>
              <w:rPr>
                <w:rFonts w:ascii="Arial" w:cs="Arial" w:eastAsia="Arial" w:hAnsi="Arial"/>
                <w:sz w:val="14"/>
                <w:szCs w:val="14"/>
                <w:color w:val="auto"/>
              </w:rPr>
              <w:t>All Named Executive Officers</w:t>
            </w:r>
          </w:p>
        </w:tc>
        <w:tc>
          <w:tcPr>
            <w:tcW w:w="3240" w:type="dxa"/>
            <w:vAlign w:val="bottom"/>
            <w:shd w:val="clear" w:color="auto" w:fill="E5EAF5"/>
          </w:tcPr>
          <w:p>
            <w:pPr>
              <w:ind w:left="120"/>
              <w:spacing w:after="0"/>
              <w:rPr>
                <w:sz w:val="20"/>
                <w:szCs w:val="20"/>
                <w:color w:val="auto"/>
              </w:rPr>
            </w:pPr>
            <w:r>
              <w:rPr>
                <w:rFonts w:ascii="Arial" w:cs="Arial" w:eastAsia="Arial" w:hAnsi="Arial"/>
                <w:sz w:val="14"/>
                <w:szCs w:val="14"/>
                <w:color w:val="auto"/>
              </w:rPr>
              <w:t>Contingent amounts payable only if employment</w:t>
            </w:r>
          </w:p>
        </w:tc>
        <w:tc>
          <w:tcPr>
            <w:tcW w:w="3040" w:type="dxa"/>
            <w:vAlign w:val="bottom"/>
            <w:shd w:val="clear" w:color="auto" w:fill="E5EAF5"/>
          </w:tcPr>
          <w:p>
            <w:pPr>
              <w:ind w:left="60"/>
              <w:spacing w:after="0"/>
              <w:rPr>
                <w:sz w:val="20"/>
                <w:szCs w:val="20"/>
                <w:color w:val="auto"/>
              </w:rPr>
            </w:pPr>
            <w:r>
              <w:rPr>
                <w:rFonts w:ascii="Arial" w:cs="Arial" w:eastAsia="Arial" w:hAnsi="Arial"/>
                <w:sz w:val="14"/>
                <w:szCs w:val="14"/>
                <w:color w:val="0033A0"/>
              </w:rPr>
              <w:t xml:space="preserve">• </w:t>
            </w:r>
            <w:r>
              <w:rPr>
                <w:rFonts w:ascii="Arial" w:cs="Arial" w:eastAsia="Arial" w:hAnsi="Arial"/>
                <w:sz w:val="14"/>
                <w:szCs w:val="14"/>
                <w:color w:val="000000"/>
              </w:rPr>
              <w:t>Reflects current market practice and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0" w:type="dxa"/>
            <w:vAlign w:val="bottom"/>
            <w:shd w:val="clear" w:color="auto" w:fill="0033A0"/>
          </w:tcPr>
          <w:p>
            <w:pPr>
              <w:spacing w:after="0"/>
              <w:rPr>
                <w:sz w:val="14"/>
                <w:szCs w:val="14"/>
                <w:color w:val="auto"/>
              </w:rPr>
            </w:pPr>
          </w:p>
        </w:tc>
        <w:tc>
          <w:tcPr>
            <w:tcW w:w="1480" w:type="dxa"/>
            <w:vAlign w:val="bottom"/>
            <w:tcBorders>
              <w:left w:val="single" w:sz="8" w:color="0033A0"/>
            </w:tcBorders>
            <w:shd w:val="clear" w:color="auto" w:fill="0033A0"/>
          </w:tcPr>
          <w:p>
            <w:pPr>
              <w:spacing w:after="0"/>
              <w:rPr>
                <w:sz w:val="14"/>
                <w:szCs w:val="14"/>
                <w:color w:val="auto"/>
              </w:rPr>
            </w:pPr>
          </w:p>
        </w:tc>
        <w:tc>
          <w:tcPr>
            <w:tcW w:w="460" w:type="dxa"/>
            <w:vAlign w:val="bottom"/>
            <w:shd w:val="clear" w:color="auto" w:fill="0033A0"/>
          </w:tcPr>
          <w:p>
            <w:pPr>
              <w:spacing w:after="0"/>
              <w:rPr>
                <w:sz w:val="14"/>
                <w:szCs w:val="14"/>
                <w:color w:val="auto"/>
              </w:rPr>
            </w:pPr>
          </w:p>
        </w:tc>
        <w:tc>
          <w:tcPr>
            <w:tcW w:w="2480" w:type="dxa"/>
            <w:vAlign w:val="bottom"/>
            <w:shd w:val="clear" w:color="auto" w:fill="E5EAF5"/>
          </w:tcPr>
          <w:p>
            <w:pPr>
              <w:spacing w:after="0"/>
              <w:rPr>
                <w:sz w:val="14"/>
                <w:szCs w:val="14"/>
                <w:color w:val="auto"/>
              </w:rPr>
            </w:pPr>
          </w:p>
        </w:tc>
        <w:tc>
          <w:tcPr>
            <w:tcW w:w="3240" w:type="dxa"/>
            <w:vAlign w:val="bottom"/>
            <w:shd w:val="clear" w:color="auto" w:fill="E5EAF5"/>
          </w:tcPr>
          <w:p>
            <w:pPr>
              <w:ind w:left="120"/>
              <w:spacing w:after="0"/>
              <w:rPr>
                <w:sz w:val="20"/>
                <w:szCs w:val="20"/>
                <w:color w:val="auto"/>
              </w:rPr>
            </w:pPr>
            <w:r>
              <w:rPr>
                <w:rFonts w:ascii="Arial" w:cs="Arial" w:eastAsia="Arial" w:hAnsi="Arial"/>
                <w:sz w:val="14"/>
                <w:szCs w:val="14"/>
                <w:color w:val="auto"/>
              </w:rPr>
              <w:t>is terminated without cause, other than by</w:t>
            </w:r>
          </w:p>
        </w:tc>
        <w:tc>
          <w:tcPr>
            <w:tcW w:w="3040" w:type="dxa"/>
            <w:vAlign w:val="bottom"/>
            <w:shd w:val="clear" w:color="auto" w:fill="E5EAF5"/>
          </w:tcPr>
          <w:p>
            <w:pPr>
              <w:ind w:left="200"/>
              <w:spacing w:after="0"/>
              <w:rPr>
                <w:sz w:val="20"/>
                <w:szCs w:val="20"/>
                <w:color w:val="auto"/>
              </w:rPr>
            </w:pPr>
            <w:r>
              <w:rPr>
                <w:rFonts w:ascii="Arial" w:cs="Arial" w:eastAsia="Arial" w:hAnsi="Arial"/>
                <w:sz w:val="14"/>
                <w:szCs w:val="14"/>
                <w:color w:val="auto"/>
              </w:rPr>
              <w:t>enhances retention</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0" w:type="dxa"/>
            <w:vAlign w:val="bottom"/>
            <w:shd w:val="clear" w:color="auto" w:fill="0033A0"/>
          </w:tcPr>
          <w:p>
            <w:pPr>
              <w:spacing w:after="0"/>
              <w:rPr>
                <w:sz w:val="14"/>
                <w:szCs w:val="14"/>
                <w:color w:val="auto"/>
              </w:rPr>
            </w:pPr>
          </w:p>
        </w:tc>
        <w:tc>
          <w:tcPr>
            <w:tcW w:w="1480" w:type="dxa"/>
            <w:vAlign w:val="bottom"/>
            <w:tcBorders>
              <w:left w:val="single" w:sz="8" w:color="0033A0"/>
            </w:tcBorders>
            <w:shd w:val="clear" w:color="auto" w:fill="0033A0"/>
          </w:tcPr>
          <w:p>
            <w:pPr>
              <w:spacing w:after="0"/>
              <w:rPr>
                <w:sz w:val="14"/>
                <w:szCs w:val="14"/>
                <w:color w:val="auto"/>
              </w:rPr>
            </w:pPr>
          </w:p>
        </w:tc>
        <w:tc>
          <w:tcPr>
            <w:tcW w:w="460" w:type="dxa"/>
            <w:vAlign w:val="bottom"/>
            <w:shd w:val="clear" w:color="auto" w:fill="0033A0"/>
          </w:tcPr>
          <w:p>
            <w:pPr>
              <w:spacing w:after="0"/>
              <w:rPr>
                <w:sz w:val="14"/>
                <w:szCs w:val="14"/>
                <w:color w:val="auto"/>
              </w:rPr>
            </w:pPr>
          </w:p>
        </w:tc>
        <w:tc>
          <w:tcPr>
            <w:tcW w:w="2480" w:type="dxa"/>
            <w:vAlign w:val="bottom"/>
            <w:shd w:val="clear" w:color="auto" w:fill="E5EAF5"/>
          </w:tcPr>
          <w:p>
            <w:pPr>
              <w:spacing w:after="0"/>
              <w:rPr>
                <w:sz w:val="14"/>
                <w:szCs w:val="14"/>
                <w:color w:val="auto"/>
              </w:rPr>
            </w:pPr>
          </w:p>
        </w:tc>
        <w:tc>
          <w:tcPr>
            <w:tcW w:w="3240" w:type="dxa"/>
            <w:vAlign w:val="bottom"/>
            <w:shd w:val="clear" w:color="auto" w:fill="E5EAF5"/>
          </w:tcPr>
          <w:p>
            <w:pPr>
              <w:ind w:left="120"/>
              <w:spacing w:after="0"/>
              <w:rPr>
                <w:sz w:val="20"/>
                <w:szCs w:val="20"/>
                <w:color w:val="auto"/>
              </w:rPr>
            </w:pPr>
            <w:r>
              <w:rPr>
                <w:rFonts w:ascii="Arial" w:cs="Arial" w:eastAsia="Arial" w:hAnsi="Arial"/>
                <w:sz w:val="14"/>
                <w:szCs w:val="14"/>
                <w:color w:val="auto"/>
              </w:rPr>
              <w:t>reason of incapacity, or is terminated by the</w:t>
            </w:r>
          </w:p>
        </w:tc>
        <w:tc>
          <w:tcPr>
            <w:tcW w:w="3040" w:type="dxa"/>
            <w:vAlign w:val="bottom"/>
            <w:shd w:val="clear" w:color="auto" w:fill="E5EAF5"/>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0" w:type="dxa"/>
            <w:vAlign w:val="bottom"/>
            <w:shd w:val="clear" w:color="auto" w:fill="0033A0"/>
          </w:tcPr>
          <w:p>
            <w:pPr>
              <w:spacing w:after="0"/>
              <w:rPr>
                <w:sz w:val="14"/>
                <w:szCs w:val="14"/>
                <w:color w:val="auto"/>
              </w:rPr>
            </w:pPr>
          </w:p>
        </w:tc>
        <w:tc>
          <w:tcPr>
            <w:tcW w:w="1480" w:type="dxa"/>
            <w:vAlign w:val="bottom"/>
            <w:tcBorders>
              <w:left w:val="single" w:sz="8" w:color="0033A0"/>
            </w:tcBorders>
            <w:shd w:val="clear" w:color="auto" w:fill="0033A0"/>
          </w:tcPr>
          <w:p>
            <w:pPr>
              <w:spacing w:after="0"/>
              <w:rPr>
                <w:sz w:val="14"/>
                <w:szCs w:val="14"/>
                <w:color w:val="auto"/>
              </w:rPr>
            </w:pPr>
          </w:p>
        </w:tc>
        <w:tc>
          <w:tcPr>
            <w:tcW w:w="460" w:type="dxa"/>
            <w:vAlign w:val="bottom"/>
            <w:shd w:val="clear" w:color="auto" w:fill="0033A0"/>
          </w:tcPr>
          <w:p>
            <w:pPr>
              <w:spacing w:after="0"/>
              <w:rPr>
                <w:sz w:val="14"/>
                <w:szCs w:val="14"/>
                <w:color w:val="auto"/>
              </w:rPr>
            </w:pPr>
          </w:p>
        </w:tc>
        <w:tc>
          <w:tcPr>
            <w:tcW w:w="2480" w:type="dxa"/>
            <w:vAlign w:val="bottom"/>
            <w:shd w:val="clear" w:color="auto" w:fill="E5EAF5"/>
          </w:tcPr>
          <w:p>
            <w:pPr>
              <w:spacing w:after="0"/>
              <w:rPr>
                <w:sz w:val="14"/>
                <w:szCs w:val="14"/>
                <w:color w:val="auto"/>
              </w:rPr>
            </w:pPr>
          </w:p>
        </w:tc>
        <w:tc>
          <w:tcPr>
            <w:tcW w:w="3240" w:type="dxa"/>
            <w:vAlign w:val="bottom"/>
            <w:shd w:val="clear" w:color="auto" w:fill="E5EAF5"/>
          </w:tcPr>
          <w:p>
            <w:pPr>
              <w:ind w:left="120"/>
              <w:spacing w:after="0"/>
              <w:rPr>
                <w:sz w:val="20"/>
                <w:szCs w:val="20"/>
                <w:color w:val="auto"/>
              </w:rPr>
            </w:pPr>
            <w:r>
              <w:rPr>
                <w:rFonts w:ascii="Arial" w:cs="Arial" w:eastAsia="Arial" w:hAnsi="Arial"/>
                <w:sz w:val="14"/>
                <w:szCs w:val="14"/>
                <w:color w:val="auto"/>
              </w:rPr>
              <w:t>executive with good reason (as defined in the</w:t>
            </w:r>
          </w:p>
        </w:tc>
        <w:tc>
          <w:tcPr>
            <w:tcW w:w="3040" w:type="dxa"/>
            <w:vAlign w:val="bottom"/>
            <w:shd w:val="clear" w:color="auto" w:fill="E5EAF5"/>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0" w:type="dxa"/>
            <w:vAlign w:val="bottom"/>
            <w:shd w:val="clear" w:color="auto" w:fill="0033A0"/>
          </w:tcPr>
          <w:p>
            <w:pPr>
              <w:spacing w:after="0"/>
              <w:rPr>
                <w:sz w:val="14"/>
                <w:szCs w:val="14"/>
                <w:color w:val="auto"/>
              </w:rPr>
            </w:pPr>
          </w:p>
        </w:tc>
        <w:tc>
          <w:tcPr>
            <w:tcW w:w="1480" w:type="dxa"/>
            <w:vAlign w:val="bottom"/>
            <w:tcBorders>
              <w:left w:val="single" w:sz="8" w:color="0033A0"/>
            </w:tcBorders>
            <w:shd w:val="clear" w:color="auto" w:fill="0033A0"/>
          </w:tcPr>
          <w:p>
            <w:pPr>
              <w:spacing w:after="0"/>
              <w:rPr>
                <w:sz w:val="14"/>
                <w:szCs w:val="14"/>
                <w:color w:val="auto"/>
              </w:rPr>
            </w:pPr>
          </w:p>
        </w:tc>
        <w:tc>
          <w:tcPr>
            <w:tcW w:w="460" w:type="dxa"/>
            <w:vAlign w:val="bottom"/>
            <w:shd w:val="clear" w:color="auto" w:fill="0033A0"/>
          </w:tcPr>
          <w:p>
            <w:pPr>
              <w:spacing w:after="0"/>
              <w:rPr>
                <w:sz w:val="14"/>
                <w:szCs w:val="14"/>
                <w:color w:val="auto"/>
              </w:rPr>
            </w:pPr>
          </w:p>
        </w:tc>
        <w:tc>
          <w:tcPr>
            <w:tcW w:w="2480" w:type="dxa"/>
            <w:vAlign w:val="bottom"/>
            <w:shd w:val="clear" w:color="auto" w:fill="E5EAF5"/>
          </w:tcPr>
          <w:p>
            <w:pPr>
              <w:spacing w:after="0"/>
              <w:rPr>
                <w:sz w:val="14"/>
                <w:szCs w:val="14"/>
                <w:color w:val="auto"/>
              </w:rPr>
            </w:pPr>
          </w:p>
        </w:tc>
        <w:tc>
          <w:tcPr>
            <w:tcW w:w="3240" w:type="dxa"/>
            <w:vAlign w:val="bottom"/>
            <w:shd w:val="clear" w:color="auto" w:fill="E5EAF5"/>
          </w:tcPr>
          <w:p>
            <w:pPr>
              <w:ind w:left="120"/>
              <w:spacing w:after="0"/>
              <w:rPr>
                <w:sz w:val="20"/>
                <w:szCs w:val="20"/>
                <w:color w:val="auto"/>
              </w:rPr>
            </w:pPr>
            <w:r>
              <w:rPr>
                <w:rFonts w:ascii="Arial" w:cs="Arial" w:eastAsia="Arial" w:hAnsi="Arial"/>
                <w:sz w:val="14"/>
                <w:szCs w:val="14"/>
                <w:color w:val="auto"/>
              </w:rPr>
              <w:t>plan)</w:t>
            </w:r>
          </w:p>
        </w:tc>
        <w:tc>
          <w:tcPr>
            <w:tcW w:w="3040" w:type="dxa"/>
            <w:vAlign w:val="bottom"/>
            <w:shd w:val="clear" w:color="auto" w:fill="E5EAF5"/>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260" w:type="dxa"/>
            <w:vAlign w:val="bottom"/>
            <w:gridSpan w:val="3"/>
            <w:shd w:val="clear" w:color="auto" w:fill="0033A0"/>
          </w:tcPr>
          <w:p>
            <w:pPr>
              <w:ind w:left="60"/>
              <w:spacing w:after="0"/>
              <w:rPr>
                <w:sz w:val="20"/>
                <w:szCs w:val="20"/>
                <w:color w:val="auto"/>
              </w:rPr>
            </w:pPr>
            <w:r>
              <w:rPr>
                <w:rFonts w:ascii="Arial" w:cs="Arial" w:eastAsia="Arial" w:hAnsi="Arial"/>
                <w:sz w:val="14"/>
                <w:szCs w:val="14"/>
                <w:b w:val="1"/>
                <w:bCs w:val="1"/>
                <w:color w:val="FFFFFF"/>
              </w:rPr>
              <w:t>Change in Control Severance</w:t>
            </w:r>
          </w:p>
        </w:tc>
        <w:tc>
          <w:tcPr>
            <w:tcW w:w="2480" w:type="dxa"/>
            <w:vAlign w:val="bottom"/>
            <w:shd w:val="clear" w:color="auto" w:fill="E5EAF5"/>
          </w:tcPr>
          <w:p>
            <w:pPr>
              <w:ind w:left="100"/>
              <w:spacing w:after="0"/>
              <w:rPr>
                <w:sz w:val="20"/>
                <w:szCs w:val="20"/>
                <w:color w:val="auto"/>
              </w:rPr>
            </w:pPr>
            <w:r>
              <w:rPr>
                <w:rFonts w:ascii="Arial" w:cs="Arial" w:eastAsia="Arial" w:hAnsi="Arial"/>
                <w:sz w:val="14"/>
                <w:szCs w:val="14"/>
                <w:color w:val="auto"/>
              </w:rPr>
              <w:t>All Named Executive Officers</w:t>
            </w:r>
          </w:p>
        </w:tc>
        <w:tc>
          <w:tcPr>
            <w:tcW w:w="3240" w:type="dxa"/>
            <w:vAlign w:val="bottom"/>
            <w:shd w:val="clear" w:color="auto" w:fill="E5EAF5"/>
          </w:tcPr>
          <w:p>
            <w:pPr>
              <w:ind w:left="120"/>
              <w:spacing w:after="0"/>
              <w:rPr>
                <w:sz w:val="20"/>
                <w:szCs w:val="20"/>
                <w:color w:val="auto"/>
              </w:rPr>
            </w:pPr>
            <w:r>
              <w:rPr>
                <w:rFonts w:ascii="Arial" w:cs="Arial" w:eastAsia="Arial" w:hAnsi="Arial"/>
                <w:sz w:val="14"/>
                <w:szCs w:val="14"/>
                <w:color w:val="auto"/>
              </w:rPr>
              <w:t>Contingent amounts payable only if employment</w:t>
            </w:r>
          </w:p>
        </w:tc>
        <w:tc>
          <w:tcPr>
            <w:tcW w:w="3040" w:type="dxa"/>
            <w:vAlign w:val="bottom"/>
            <w:shd w:val="clear" w:color="auto" w:fill="E5EAF5"/>
          </w:tcPr>
          <w:p>
            <w:pPr>
              <w:ind w:left="60"/>
              <w:spacing w:after="0"/>
              <w:rPr>
                <w:sz w:val="20"/>
                <w:szCs w:val="20"/>
                <w:color w:val="auto"/>
              </w:rPr>
            </w:pPr>
            <w:r>
              <w:rPr>
                <w:rFonts w:ascii="Arial" w:cs="Arial" w:eastAsia="Arial" w:hAnsi="Arial"/>
                <w:sz w:val="14"/>
                <w:szCs w:val="14"/>
                <w:color w:val="0033A0"/>
              </w:rPr>
              <w:t xml:space="preserve">• </w:t>
            </w:r>
            <w:r>
              <w:rPr>
                <w:rFonts w:ascii="Arial" w:cs="Arial" w:eastAsia="Arial" w:hAnsi="Arial"/>
                <w:sz w:val="14"/>
                <w:szCs w:val="14"/>
                <w:color w:val="000000"/>
              </w:rPr>
              <w:t>Encourages the objective evaluation and</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800" w:type="dxa"/>
            <w:vAlign w:val="bottom"/>
            <w:gridSpan w:val="2"/>
            <w:shd w:val="clear" w:color="auto" w:fill="0033A0"/>
          </w:tcPr>
          <w:p>
            <w:pPr>
              <w:ind w:left="60"/>
              <w:spacing w:after="0"/>
              <w:rPr>
                <w:sz w:val="20"/>
                <w:szCs w:val="20"/>
                <w:color w:val="auto"/>
              </w:rPr>
            </w:pPr>
            <w:r>
              <w:rPr>
                <w:rFonts w:ascii="Arial" w:cs="Arial" w:eastAsia="Arial" w:hAnsi="Arial"/>
                <w:sz w:val="14"/>
                <w:szCs w:val="14"/>
                <w:b w:val="1"/>
                <w:bCs w:val="1"/>
                <w:color w:val="FFFFFF"/>
              </w:rPr>
              <w:t>Benefits</w:t>
            </w:r>
          </w:p>
        </w:tc>
        <w:tc>
          <w:tcPr>
            <w:tcW w:w="460" w:type="dxa"/>
            <w:vAlign w:val="bottom"/>
            <w:shd w:val="clear" w:color="auto" w:fill="0033A0"/>
          </w:tcPr>
          <w:p>
            <w:pPr>
              <w:spacing w:after="0"/>
              <w:rPr>
                <w:sz w:val="15"/>
                <w:szCs w:val="15"/>
                <w:color w:val="auto"/>
              </w:rPr>
            </w:pPr>
          </w:p>
        </w:tc>
        <w:tc>
          <w:tcPr>
            <w:tcW w:w="2480" w:type="dxa"/>
            <w:vAlign w:val="bottom"/>
            <w:shd w:val="clear" w:color="auto" w:fill="E5EAF5"/>
          </w:tcPr>
          <w:p>
            <w:pPr>
              <w:spacing w:after="0"/>
              <w:rPr>
                <w:sz w:val="15"/>
                <w:szCs w:val="15"/>
                <w:color w:val="auto"/>
              </w:rPr>
            </w:pPr>
          </w:p>
        </w:tc>
        <w:tc>
          <w:tcPr>
            <w:tcW w:w="3240" w:type="dxa"/>
            <w:vAlign w:val="bottom"/>
            <w:shd w:val="clear" w:color="auto" w:fill="E5EAF5"/>
          </w:tcPr>
          <w:p>
            <w:pPr>
              <w:ind w:left="120"/>
              <w:spacing w:after="0"/>
              <w:rPr>
                <w:sz w:val="20"/>
                <w:szCs w:val="20"/>
                <w:color w:val="auto"/>
              </w:rPr>
            </w:pPr>
            <w:r>
              <w:rPr>
                <w:rFonts w:ascii="Arial" w:cs="Arial" w:eastAsia="Arial" w:hAnsi="Arial"/>
                <w:sz w:val="14"/>
                <w:szCs w:val="14"/>
                <w:color w:val="auto"/>
              </w:rPr>
              <w:t>is terminated following a change in control</w:t>
            </w:r>
          </w:p>
        </w:tc>
        <w:tc>
          <w:tcPr>
            <w:tcW w:w="3040" w:type="dxa"/>
            <w:vAlign w:val="bottom"/>
            <w:shd w:val="clear" w:color="auto" w:fill="E5EAF5"/>
          </w:tcPr>
          <w:p>
            <w:pPr>
              <w:ind w:left="200"/>
              <w:spacing w:after="0"/>
              <w:rPr>
                <w:sz w:val="20"/>
                <w:szCs w:val="20"/>
                <w:color w:val="auto"/>
              </w:rPr>
            </w:pPr>
            <w:r>
              <w:rPr>
                <w:rFonts w:ascii="Arial" w:cs="Arial" w:eastAsia="Arial" w:hAnsi="Arial"/>
                <w:sz w:val="14"/>
                <w:szCs w:val="14"/>
                <w:color w:val="auto"/>
              </w:rPr>
              <w:t>execution of potential changes to the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0" w:type="dxa"/>
            <w:vAlign w:val="bottom"/>
            <w:shd w:val="clear" w:color="auto" w:fill="0033A0"/>
          </w:tcPr>
          <w:p>
            <w:pPr>
              <w:spacing w:after="0"/>
              <w:rPr>
                <w:sz w:val="14"/>
                <w:szCs w:val="14"/>
                <w:color w:val="auto"/>
              </w:rPr>
            </w:pPr>
          </w:p>
        </w:tc>
        <w:tc>
          <w:tcPr>
            <w:tcW w:w="1480" w:type="dxa"/>
            <w:vAlign w:val="bottom"/>
            <w:tcBorders>
              <w:left w:val="single" w:sz="8" w:color="0033A0"/>
            </w:tcBorders>
            <w:shd w:val="clear" w:color="auto" w:fill="0033A0"/>
          </w:tcPr>
          <w:p>
            <w:pPr>
              <w:spacing w:after="0"/>
              <w:rPr>
                <w:sz w:val="14"/>
                <w:szCs w:val="14"/>
                <w:color w:val="auto"/>
              </w:rPr>
            </w:pPr>
          </w:p>
        </w:tc>
        <w:tc>
          <w:tcPr>
            <w:tcW w:w="460" w:type="dxa"/>
            <w:vAlign w:val="bottom"/>
            <w:shd w:val="clear" w:color="auto" w:fill="0033A0"/>
          </w:tcPr>
          <w:p>
            <w:pPr>
              <w:spacing w:after="0"/>
              <w:rPr>
                <w:sz w:val="14"/>
                <w:szCs w:val="14"/>
                <w:color w:val="auto"/>
              </w:rPr>
            </w:pPr>
          </w:p>
        </w:tc>
        <w:tc>
          <w:tcPr>
            <w:tcW w:w="2480" w:type="dxa"/>
            <w:vAlign w:val="bottom"/>
            <w:shd w:val="clear" w:color="auto" w:fill="E5EAF5"/>
          </w:tcPr>
          <w:p>
            <w:pPr>
              <w:spacing w:after="0"/>
              <w:rPr>
                <w:sz w:val="14"/>
                <w:szCs w:val="14"/>
                <w:color w:val="auto"/>
              </w:rPr>
            </w:pPr>
          </w:p>
        </w:tc>
        <w:tc>
          <w:tcPr>
            <w:tcW w:w="3240" w:type="dxa"/>
            <w:vAlign w:val="bottom"/>
            <w:shd w:val="clear" w:color="auto" w:fill="E5EAF5"/>
          </w:tcPr>
          <w:p>
            <w:pPr>
              <w:spacing w:after="0"/>
              <w:rPr>
                <w:sz w:val="14"/>
                <w:szCs w:val="14"/>
                <w:color w:val="auto"/>
              </w:rPr>
            </w:pPr>
          </w:p>
        </w:tc>
        <w:tc>
          <w:tcPr>
            <w:tcW w:w="3040" w:type="dxa"/>
            <w:vAlign w:val="bottom"/>
            <w:shd w:val="clear" w:color="auto" w:fill="E5EAF5"/>
          </w:tcPr>
          <w:p>
            <w:pPr>
              <w:ind w:left="200"/>
              <w:spacing w:after="0"/>
              <w:rPr>
                <w:sz w:val="20"/>
                <w:szCs w:val="20"/>
                <w:color w:val="auto"/>
              </w:rPr>
            </w:pPr>
            <w:r>
              <w:rPr>
                <w:rFonts w:ascii="Arial" w:cs="Arial" w:eastAsia="Arial" w:hAnsi="Arial"/>
                <w:sz w:val="14"/>
                <w:szCs w:val="14"/>
                <w:color w:val="auto"/>
              </w:rPr>
              <w:t>Company’s strategy and structure</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20" w:type="dxa"/>
            <w:vAlign w:val="bottom"/>
            <w:shd w:val="clear" w:color="auto" w:fill="0033A0"/>
          </w:tcPr>
          <w:p>
            <w:pPr>
              <w:spacing w:after="0"/>
              <w:rPr>
                <w:sz w:val="5"/>
                <w:szCs w:val="5"/>
                <w:color w:val="auto"/>
              </w:rPr>
            </w:pPr>
          </w:p>
        </w:tc>
        <w:tc>
          <w:tcPr>
            <w:tcW w:w="1480" w:type="dxa"/>
            <w:vAlign w:val="bottom"/>
            <w:tcBorders>
              <w:left w:val="single" w:sz="8" w:color="0033A0"/>
            </w:tcBorders>
            <w:shd w:val="clear" w:color="auto" w:fill="0033A0"/>
          </w:tcPr>
          <w:p>
            <w:pPr>
              <w:spacing w:after="0"/>
              <w:rPr>
                <w:sz w:val="5"/>
                <w:szCs w:val="5"/>
                <w:color w:val="auto"/>
              </w:rPr>
            </w:pPr>
          </w:p>
        </w:tc>
        <w:tc>
          <w:tcPr>
            <w:tcW w:w="460" w:type="dxa"/>
            <w:vAlign w:val="bottom"/>
            <w:shd w:val="clear" w:color="auto" w:fill="0033A0"/>
          </w:tcPr>
          <w:p>
            <w:pPr>
              <w:spacing w:after="0"/>
              <w:rPr>
                <w:sz w:val="5"/>
                <w:szCs w:val="5"/>
                <w:color w:val="auto"/>
              </w:rPr>
            </w:pPr>
          </w:p>
        </w:tc>
        <w:tc>
          <w:tcPr>
            <w:tcW w:w="2480" w:type="dxa"/>
            <w:vAlign w:val="bottom"/>
            <w:shd w:val="clear" w:color="auto" w:fill="E5EAF5"/>
          </w:tcPr>
          <w:p>
            <w:pPr>
              <w:spacing w:after="0"/>
              <w:rPr>
                <w:sz w:val="5"/>
                <w:szCs w:val="5"/>
                <w:color w:val="auto"/>
              </w:rPr>
            </w:pPr>
          </w:p>
        </w:tc>
        <w:tc>
          <w:tcPr>
            <w:tcW w:w="3240" w:type="dxa"/>
            <w:vAlign w:val="bottom"/>
            <w:shd w:val="clear" w:color="auto" w:fill="E5EAF5"/>
          </w:tcPr>
          <w:p>
            <w:pPr>
              <w:spacing w:after="0"/>
              <w:rPr>
                <w:sz w:val="5"/>
                <w:szCs w:val="5"/>
                <w:color w:val="auto"/>
              </w:rPr>
            </w:pPr>
          </w:p>
        </w:tc>
        <w:tc>
          <w:tcPr>
            <w:tcW w:w="3040" w:type="dxa"/>
            <w:vAlign w:val="bottom"/>
            <w:shd w:val="clear" w:color="auto" w:fill="E5EAF5"/>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340" w:type="dxa"/>
            <w:vAlign w:val="bottom"/>
            <w:gridSpan w:val="2"/>
            <w:vMerge w:val="restart"/>
          </w:tcPr>
          <w:p>
            <w:pPr>
              <w:jc w:val="right"/>
              <w:ind w:right="68"/>
              <w:spacing w:after="0"/>
              <w:rPr>
                <w:sz w:val="20"/>
                <w:szCs w:val="20"/>
                <w:color w:val="auto"/>
              </w:rPr>
            </w:pPr>
            <w:r>
              <w:rPr>
                <w:rFonts w:ascii="Arial" w:cs="Arial" w:eastAsia="Arial" w:hAnsi="Arial"/>
                <w:sz w:val="18"/>
                <w:szCs w:val="18"/>
                <w:b w:val="1"/>
                <w:bCs w:val="1"/>
                <w:color w:val="auto"/>
                <w:w w:val="89"/>
              </w:rPr>
              <w:t>28</w:t>
            </w:r>
          </w:p>
        </w:tc>
        <w:tc>
          <w:tcPr>
            <w:tcW w:w="1480" w:type="dxa"/>
            <w:vAlign w:val="bottom"/>
          </w:tcPr>
          <w:p>
            <w:pPr>
              <w:spacing w:after="0"/>
              <w:rPr>
                <w:sz w:val="12"/>
                <w:szCs w:val="12"/>
                <w:color w:val="auto"/>
              </w:rPr>
            </w:pPr>
          </w:p>
        </w:tc>
        <w:tc>
          <w:tcPr>
            <w:tcW w:w="2940" w:type="dxa"/>
            <w:vAlign w:val="bottom"/>
            <w:gridSpan w:val="2"/>
            <w:vMerge w:val="restart"/>
          </w:tcPr>
          <w:p>
            <w:pPr>
              <w:ind w:left="140"/>
              <w:spacing w:after="0"/>
              <w:rPr>
                <w:sz w:val="20"/>
                <w:szCs w:val="20"/>
                <w:color w:val="auto"/>
              </w:rPr>
            </w:pPr>
            <w:r>
              <w:rPr>
                <w:rFonts w:ascii="Arial" w:cs="Arial" w:eastAsia="Arial" w:hAnsi="Arial"/>
                <w:sz w:val="18"/>
                <w:szCs w:val="18"/>
                <w:i w:val="1"/>
                <w:iCs w:val="1"/>
                <w:color w:val="auto"/>
              </w:rPr>
              <w:t>2019 Proxy Statement</w:t>
            </w:r>
          </w:p>
        </w:tc>
        <w:tc>
          <w:tcPr>
            <w:tcW w:w="324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340" w:type="dxa"/>
            <w:vAlign w:val="bottom"/>
            <w:gridSpan w:val="2"/>
            <w:vMerge w:val="continue"/>
          </w:tcPr>
          <w:p>
            <w:pPr>
              <w:spacing w:after="0"/>
              <w:rPr>
                <w:sz w:val="24"/>
                <w:szCs w:val="24"/>
                <w:color w:val="auto"/>
              </w:rPr>
            </w:pPr>
          </w:p>
        </w:tc>
        <w:tc>
          <w:tcPr>
            <w:tcW w:w="1480" w:type="dxa"/>
            <w:vAlign w:val="bottom"/>
            <w:tcBorders>
              <w:left w:val="single" w:sz="8" w:color="0033A0"/>
            </w:tcBorders>
          </w:tcPr>
          <w:p>
            <w:pPr>
              <w:spacing w:after="0"/>
              <w:rPr>
                <w:sz w:val="24"/>
                <w:szCs w:val="24"/>
                <w:color w:val="auto"/>
              </w:rPr>
            </w:pPr>
          </w:p>
        </w:tc>
        <w:tc>
          <w:tcPr>
            <w:tcW w:w="2940" w:type="dxa"/>
            <w:vAlign w:val="bottom"/>
            <w:gridSpan w:val="2"/>
            <w:vMerge w:val="continue"/>
          </w:tcPr>
          <w:p>
            <w:pPr>
              <w:spacing w:after="0"/>
              <w:rPr>
                <w:sz w:val="24"/>
                <w:szCs w:val="24"/>
                <w:color w:val="auto"/>
              </w:rPr>
            </w:pPr>
          </w:p>
        </w:tc>
        <w:tc>
          <w:tcPr>
            <w:tcW w:w="32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-3781425</wp:posOffset>
            </wp:positionV>
            <wp:extent cx="6997700" cy="373888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997700" cy="3738880"/>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right"/>
        <w:ind w:right="20"/>
        <w:spacing w:after="0"/>
        <w:rPr>
          <w:sz w:val="20"/>
          <w:szCs w:val="20"/>
          <w:color w:val="auto"/>
        </w:rPr>
      </w:pPr>
      <w:r>
        <w:rPr>
          <w:rFonts w:ascii="Arial" w:cs="Arial" w:eastAsia="Arial" w:hAnsi="Arial"/>
          <w:sz w:val="20"/>
          <w:szCs w:val="20"/>
          <w:b w:val="1"/>
          <w:bCs w:val="1"/>
          <w:color w:val="0033A0"/>
        </w:rPr>
        <w:t>COMPENSATION DISCUSSION AND ANALYSIS</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auto"/>
        </w:rPr>
        <w:t>Process for Setting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68580</wp:posOffset>
            </wp:positionV>
            <wp:extent cx="6997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spacing w:after="0" w:line="31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 xml:space="preserve">Compensation Committee Review Process. </w:t>
      </w:r>
      <w:r>
        <w:rPr>
          <w:rFonts w:ascii="Arial" w:cs="Arial" w:eastAsia="Arial" w:hAnsi="Arial"/>
          <w:sz w:val="18"/>
          <w:szCs w:val="18"/>
          <w:color w:val="auto"/>
        </w:rPr>
        <w:t>The Compensation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sets each component of target compensation for the Company’s named executive officers. At least annually, the Compensation Committee undertakes a comprehensive review of competitive market data and information regarding the value of target compensation levels provided to the Company’s Chief Executive Officer and other senior executives, including base salary, target annual incentive and LTI awards.</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Compensation Committee reviews the Chief Executive Officer’s evaluation of the performance of the other named executive officers, as well as his recommendations related to their compensation, when considering named executive officer target compensation and payout determinations. When the Compensation Committee considers base salary adjustments and sets annual incentive and LTI targets, it takes the following factors into account:</w:t>
      </w:r>
    </w:p>
    <w:p>
      <w:pPr>
        <w:spacing w:after="0" w:line="403" w:lineRule="exact"/>
        <w:rPr>
          <w:sz w:val="20"/>
          <w:szCs w:val="20"/>
          <w:color w:val="auto"/>
        </w:rPr>
      </w:pPr>
    </w:p>
    <w:p>
      <w:pPr>
        <w:sectPr>
          <w:pgSz w:w="11900" w:h="16838" w:orient="portrait"/>
          <w:cols w:equalWidth="0" w:num="2">
            <w:col w:w="5480" w:space="340"/>
            <w:col w:w="5420"/>
          </w:cols>
          <w:pgMar w:left="240" w:top="459" w:right="419" w:bottom="1440" w:gutter="0" w:footer="0" w:header="0"/>
          <w:type w:val="continuous"/>
        </w:sectPr>
      </w:pPr>
    </w:p>
    <w:p>
      <w:pPr>
        <w:spacing w:after="0" w:line="166" w:lineRule="exact"/>
        <w:rPr>
          <w:sz w:val="20"/>
          <w:szCs w:val="20"/>
          <w:color w:val="auto"/>
        </w:rPr>
      </w:pPr>
    </w:p>
    <w:tbl>
      <w:tblPr>
        <w:tblLayout w:type="fixed"/>
        <w:tblInd w:w="220" w:type="dxa"/>
        <w:tblCellMar>
          <w:top w:w="0" w:type="dxa"/>
          <w:left w:w="0" w:type="dxa"/>
          <w:bottom w:w="0" w:type="dxa"/>
          <w:right w:w="0" w:type="dxa"/>
        </w:tblCellMar>
      </w:tblPr>
      <w:tr>
        <w:trPr>
          <w:trHeight w:val="175"/>
        </w:trPr>
        <w:tc>
          <w:tcPr>
            <w:tcW w:w="37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Compensation Action</w:t>
            </w:r>
          </w:p>
        </w:tc>
        <w:tc>
          <w:tcPr>
            <w:tcW w:w="7240" w:type="dxa"/>
            <w:vAlign w:val="bottom"/>
            <w:tcBorders>
              <w:bottom w:val="single" w:sz="8" w:color="auto"/>
            </w:tcBorders>
          </w:tcPr>
          <w:p>
            <w:pPr>
              <w:ind w:left="1940"/>
              <w:spacing w:after="0"/>
              <w:rPr>
                <w:sz w:val="20"/>
                <w:szCs w:val="20"/>
                <w:color w:val="auto"/>
              </w:rPr>
            </w:pPr>
            <w:r>
              <w:rPr>
                <w:rFonts w:ascii="Arial" w:cs="Arial" w:eastAsia="Arial" w:hAnsi="Arial"/>
                <w:sz w:val="14"/>
                <w:szCs w:val="14"/>
                <w:b w:val="1"/>
                <w:bCs w:val="1"/>
                <w:color w:val="auto"/>
              </w:rPr>
              <w:t>Factors Considered in Determining Target Awards</w:t>
            </w:r>
          </w:p>
        </w:tc>
      </w:tr>
      <w:tr>
        <w:trPr>
          <w:trHeight w:val="21"/>
        </w:trPr>
        <w:tc>
          <w:tcPr>
            <w:tcW w:w="378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r>
      <w:tr>
        <w:trPr>
          <w:trHeight w:val="239"/>
        </w:trPr>
        <w:tc>
          <w:tcPr>
            <w:tcW w:w="3780" w:type="dxa"/>
            <w:vAlign w:val="bottom"/>
            <w:shd w:val="clear" w:color="auto" w:fill="0033A0"/>
          </w:tcPr>
          <w:p>
            <w:pPr>
              <w:ind w:left="60"/>
              <w:spacing w:after="0"/>
              <w:rPr>
                <w:sz w:val="20"/>
                <w:szCs w:val="20"/>
                <w:color w:val="auto"/>
              </w:rPr>
            </w:pPr>
            <w:r>
              <w:rPr>
                <w:rFonts w:ascii="Arial" w:cs="Arial" w:eastAsia="Arial" w:hAnsi="Arial"/>
                <w:sz w:val="18"/>
                <w:szCs w:val="18"/>
                <w:b w:val="1"/>
                <w:bCs w:val="1"/>
                <w:color w:val="FFFFFF"/>
              </w:rPr>
              <w:t>Base Salary Adjustments</w:t>
            </w:r>
          </w:p>
        </w:tc>
        <w:tc>
          <w:tcPr>
            <w:tcW w:w="7240" w:type="dxa"/>
            <w:vAlign w:val="bottom"/>
            <w:shd w:val="clear" w:color="auto" w:fill="E5EAF5"/>
          </w:tcPr>
          <w:p>
            <w:pPr>
              <w:ind w:left="100"/>
              <w:spacing w:after="0"/>
              <w:rPr>
                <w:sz w:val="20"/>
                <w:szCs w:val="20"/>
                <w:color w:val="auto"/>
              </w:rPr>
            </w:pPr>
            <w:r>
              <w:rPr>
                <w:rFonts w:ascii="Arial" w:cs="Arial" w:eastAsia="Arial" w:hAnsi="Arial"/>
                <w:sz w:val="18"/>
                <w:szCs w:val="18"/>
                <w:color w:val="0033A0"/>
              </w:rPr>
              <w:t xml:space="preserve">• </w:t>
            </w:r>
            <w:r>
              <w:rPr>
                <w:rFonts w:ascii="Arial" w:cs="Arial" w:eastAsia="Arial" w:hAnsi="Arial"/>
                <w:sz w:val="18"/>
                <w:szCs w:val="18"/>
                <w:color w:val="000000"/>
              </w:rPr>
              <w:t>Competitive market information</w:t>
            </w:r>
          </w:p>
        </w:tc>
      </w:tr>
      <w:tr>
        <w:trPr>
          <w:trHeight w:val="220"/>
        </w:trPr>
        <w:tc>
          <w:tcPr>
            <w:tcW w:w="3780" w:type="dxa"/>
            <w:vAlign w:val="bottom"/>
            <w:shd w:val="clear" w:color="auto" w:fill="0033A0"/>
          </w:tcPr>
          <w:p>
            <w:pPr>
              <w:spacing w:after="0"/>
              <w:rPr>
                <w:sz w:val="19"/>
                <w:szCs w:val="19"/>
                <w:color w:val="auto"/>
              </w:rPr>
            </w:pPr>
          </w:p>
        </w:tc>
        <w:tc>
          <w:tcPr>
            <w:tcW w:w="7240" w:type="dxa"/>
            <w:vAlign w:val="bottom"/>
            <w:shd w:val="clear" w:color="auto" w:fill="E5EAF5"/>
          </w:tcPr>
          <w:p>
            <w:pPr>
              <w:ind w:left="100"/>
              <w:spacing w:after="0"/>
              <w:rPr>
                <w:sz w:val="20"/>
                <w:szCs w:val="20"/>
                <w:color w:val="auto"/>
              </w:rPr>
            </w:pPr>
            <w:r>
              <w:rPr>
                <w:rFonts w:ascii="Arial" w:cs="Arial" w:eastAsia="Arial" w:hAnsi="Arial"/>
                <w:sz w:val="18"/>
                <w:szCs w:val="18"/>
                <w:color w:val="0033A0"/>
              </w:rPr>
              <w:t xml:space="preserve">• </w:t>
            </w:r>
            <w:r>
              <w:rPr>
                <w:rFonts w:ascii="Arial" w:cs="Arial" w:eastAsia="Arial" w:hAnsi="Arial"/>
                <w:sz w:val="18"/>
                <w:szCs w:val="18"/>
                <w:color w:val="000000"/>
              </w:rPr>
              <w:t>Retention</w:t>
            </w:r>
          </w:p>
        </w:tc>
      </w:tr>
      <w:tr>
        <w:trPr>
          <w:trHeight w:val="243"/>
        </w:trPr>
        <w:tc>
          <w:tcPr>
            <w:tcW w:w="3780" w:type="dxa"/>
            <w:vAlign w:val="bottom"/>
            <w:shd w:val="clear" w:color="auto" w:fill="0033A0"/>
          </w:tcPr>
          <w:p>
            <w:pPr>
              <w:spacing w:after="0"/>
              <w:rPr>
                <w:sz w:val="21"/>
                <w:szCs w:val="21"/>
                <w:color w:val="auto"/>
              </w:rPr>
            </w:pPr>
          </w:p>
        </w:tc>
        <w:tc>
          <w:tcPr>
            <w:tcW w:w="7240" w:type="dxa"/>
            <w:vAlign w:val="bottom"/>
            <w:shd w:val="clear" w:color="auto" w:fill="E5EAF5"/>
          </w:tcPr>
          <w:p>
            <w:pPr>
              <w:ind w:left="100"/>
              <w:spacing w:after="0"/>
              <w:rPr>
                <w:sz w:val="20"/>
                <w:szCs w:val="20"/>
                <w:color w:val="auto"/>
              </w:rPr>
            </w:pPr>
            <w:r>
              <w:rPr>
                <w:rFonts w:ascii="Arial" w:cs="Arial" w:eastAsia="Arial" w:hAnsi="Arial"/>
                <w:sz w:val="18"/>
                <w:szCs w:val="18"/>
                <w:color w:val="0033A0"/>
              </w:rPr>
              <w:t xml:space="preserve">• </w:t>
            </w:r>
            <w:r>
              <w:rPr>
                <w:rFonts w:ascii="Arial" w:cs="Arial" w:eastAsia="Arial" w:hAnsi="Arial"/>
                <w:sz w:val="18"/>
                <w:szCs w:val="18"/>
                <w:color w:val="000000"/>
              </w:rPr>
              <w:t>Executive’s performance in his or her role</w:t>
            </w:r>
          </w:p>
        </w:tc>
      </w:tr>
      <w:tr>
        <w:trPr>
          <w:trHeight w:val="297"/>
        </w:trPr>
        <w:tc>
          <w:tcPr>
            <w:tcW w:w="3780" w:type="dxa"/>
            <w:vAlign w:val="bottom"/>
            <w:shd w:val="clear" w:color="auto" w:fill="0033A0"/>
          </w:tcPr>
          <w:p>
            <w:pPr>
              <w:ind w:left="60"/>
              <w:spacing w:after="0"/>
              <w:rPr>
                <w:sz w:val="20"/>
                <w:szCs w:val="20"/>
                <w:color w:val="auto"/>
              </w:rPr>
            </w:pPr>
            <w:r>
              <w:rPr>
                <w:rFonts w:ascii="Arial" w:cs="Arial" w:eastAsia="Arial" w:hAnsi="Arial"/>
                <w:sz w:val="18"/>
                <w:szCs w:val="18"/>
                <w:b w:val="1"/>
                <w:bCs w:val="1"/>
                <w:color w:val="FFFFFF"/>
              </w:rPr>
              <w:t>Annual Incentive Targets</w:t>
            </w:r>
          </w:p>
        </w:tc>
        <w:tc>
          <w:tcPr>
            <w:tcW w:w="7240" w:type="dxa"/>
            <w:vAlign w:val="bottom"/>
            <w:shd w:val="clear" w:color="auto" w:fill="E5EAF5"/>
          </w:tcPr>
          <w:p>
            <w:pPr>
              <w:ind w:left="100"/>
              <w:spacing w:after="0"/>
              <w:rPr>
                <w:sz w:val="20"/>
                <w:szCs w:val="20"/>
                <w:color w:val="auto"/>
              </w:rPr>
            </w:pPr>
            <w:r>
              <w:rPr>
                <w:rFonts w:ascii="Arial" w:cs="Arial" w:eastAsia="Arial" w:hAnsi="Arial"/>
                <w:sz w:val="18"/>
                <w:szCs w:val="18"/>
                <w:color w:val="0033A0"/>
              </w:rPr>
              <w:t xml:space="preserve">• </w:t>
            </w:r>
            <w:r>
              <w:rPr>
                <w:rFonts w:ascii="Arial" w:cs="Arial" w:eastAsia="Arial" w:hAnsi="Arial"/>
                <w:sz w:val="18"/>
                <w:szCs w:val="18"/>
                <w:color w:val="000000"/>
              </w:rPr>
              <w:t>Competitive market information</w:t>
            </w:r>
          </w:p>
        </w:tc>
      </w:tr>
      <w:tr>
        <w:trPr>
          <w:trHeight w:val="243"/>
        </w:trPr>
        <w:tc>
          <w:tcPr>
            <w:tcW w:w="3780" w:type="dxa"/>
            <w:vAlign w:val="bottom"/>
            <w:shd w:val="clear" w:color="auto" w:fill="0033A0"/>
          </w:tcPr>
          <w:p>
            <w:pPr>
              <w:spacing w:after="0"/>
              <w:rPr>
                <w:sz w:val="21"/>
                <w:szCs w:val="21"/>
                <w:color w:val="auto"/>
              </w:rPr>
            </w:pPr>
          </w:p>
        </w:tc>
        <w:tc>
          <w:tcPr>
            <w:tcW w:w="7240" w:type="dxa"/>
            <w:vAlign w:val="bottom"/>
            <w:shd w:val="clear" w:color="auto" w:fill="E5EAF5"/>
          </w:tcPr>
          <w:p>
            <w:pPr>
              <w:ind w:left="100"/>
              <w:spacing w:after="0"/>
              <w:rPr>
                <w:sz w:val="20"/>
                <w:szCs w:val="20"/>
                <w:color w:val="auto"/>
              </w:rPr>
            </w:pPr>
            <w:r>
              <w:rPr>
                <w:rFonts w:ascii="Arial" w:cs="Arial" w:eastAsia="Arial" w:hAnsi="Arial"/>
                <w:sz w:val="18"/>
                <w:szCs w:val="18"/>
                <w:color w:val="0033A0"/>
              </w:rPr>
              <w:t xml:space="preserve">• </w:t>
            </w:r>
            <w:r>
              <w:rPr>
                <w:rFonts w:ascii="Arial" w:cs="Arial" w:eastAsia="Arial" w:hAnsi="Arial"/>
                <w:sz w:val="18"/>
                <w:szCs w:val="18"/>
                <w:color w:val="000000"/>
              </w:rPr>
              <w:t>Criticality of role</w:t>
            </w:r>
          </w:p>
        </w:tc>
      </w:tr>
      <w:tr>
        <w:trPr>
          <w:trHeight w:val="297"/>
        </w:trPr>
        <w:tc>
          <w:tcPr>
            <w:tcW w:w="3780" w:type="dxa"/>
            <w:vAlign w:val="bottom"/>
            <w:shd w:val="clear" w:color="auto" w:fill="0033A0"/>
          </w:tcPr>
          <w:p>
            <w:pPr>
              <w:ind w:left="60"/>
              <w:spacing w:after="0"/>
              <w:rPr>
                <w:sz w:val="20"/>
                <w:szCs w:val="20"/>
                <w:color w:val="auto"/>
              </w:rPr>
            </w:pPr>
            <w:r>
              <w:rPr>
                <w:rFonts w:ascii="Arial" w:cs="Arial" w:eastAsia="Arial" w:hAnsi="Arial"/>
                <w:sz w:val="18"/>
                <w:szCs w:val="18"/>
                <w:b w:val="1"/>
                <w:bCs w:val="1"/>
                <w:color w:val="FFFFFF"/>
              </w:rPr>
              <w:t>LTI Targets</w:t>
            </w:r>
          </w:p>
        </w:tc>
        <w:tc>
          <w:tcPr>
            <w:tcW w:w="7240" w:type="dxa"/>
            <w:vAlign w:val="bottom"/>
            <w:shd w:val="clear" w:color="auto" w:fill="E5EAF5"/>
          </w:tcPr>
          <w:p>
            <w:pPr>
              <w:ind w:left="100"/>
              <w:spacing w:after="0"/>
              <w:rPr>
                <w:sz w:val="20"/>
                <w:szCs w:val="20"/>
                <w:color w:val="auto"/>
              </w:rPr>
            </w:pPr>
            <w:r>
              <w:rPr>
                <w:rFonts w:ascii="Arial" w:cs="Arial" w:eastAsia="Arial" w:hAnsi="Arial"/>
                <w:sz w:val="18"/>
                <w:szCs w:val="18"/>
                <w:color w:val="0033A0"/>
              </w:rPr>
              <w:t xml:space="preserve">• </w:t>
            </w:r>
            <w:r>
              <w:rPr>
                <w:rFonts w:ascii="Arial" w:cs="Arial" w:eastAsia="Arial" w:hAnsi="Arial"/>
                <w:sz w:val="18"/>
                <w:szCs w:val="18"/>
                <w:color w:val="000000"/>
              </w:rPr>
              <w:t>Competitive market information</w:t>
            </w:r>
          </w:p>
        </w:tc>
      </w:tr>
      <w:tr>
        <w:trPr>
          <w:trHeight w:val="243"/>
        </w:trPr>
        <w:tc>
          <w:tcPr>
            <w:tcW w:w="3780" w:type="dxa"/>
            <w:vAlign w:val="bottom"/>
            <w:shd w:val="clear" w:color="auto" w:fill="0033A0"/>
          </w:tcPr>
          <w:p>
            <w:pPr>
              <w:spacing w:after="0"/>
              <w:rPr>
                <w:sz w:val="21"/>
                <w:szCs w:val="21"/>
                <w:color w:val="auto"/>
              </w:rPr>
            </w:pPr>
          </w:p>
        </w:tc>
        <w:tc>
          <w:tcPr>
            <w:tcW w:w="7240" w:type="dxa"/>
            <w:vAlign w:val="bottom"/>
            <w:shd w:val="clear" w:color="auto" w:fill="E5EAF5"/>
          </w:tcPr>
          <w:p>
            <w:pPr>
              <w:ind w:left="100"/>
              <w:spacing w:after="0"/>
              <w:rPr>
                <w:sz w:val="20"/>
                <w:szCs w:val="20"/>
                <w:color w:val="auto"/>
              </w:rPr>
            </w:pPr>
            <w:r>
              <w:rPr>
                <w:rFonts w:ascii="Arial" w:cs="Arial" w:eastAsia="Arial" w:hAnsi="Arial"/>
                <w:sz w:val="18"/>
                <w:szCs w:val="18"/>
                <w:color w:val="0033A0"/>
              </w:rPr>
              <w:t xml:space="preserve">• </w:t>
            </w:r>
            <w:r>
              <w:rPr>
                <w:rFonts w:ascii="Arial" w:cs="Arial" w:eastAsia="Arial" w:hAnsi="Arial"/>
                <w:sz w:val="18"/>
                <w:szCs w:val="18"/>
                <w:color w:val="000000"/>
              </w:rPr>
              <w:t>Executive’s potential future contributions to the Company</w:t>
            </w:r>
          </w:p>
        </w:tc>
      </w:tr>
      <w:tr>
        <w:trPr>
          <w:trHeight w:val="243"/>
        </w:trPr>
        <w:tc>
          <w:tcPr>
            <w:tcW w:w="3780" w:type="dxa"/>
            <w:vAlign w:val="bottom"/>
            <w:shd w:val="clear" w:color="auto" w:fill="0033A0"/>
          </w:tcPr>
          <w:p>
            <w:pPr>
              <w:spacing w:after="0"/>
              <w:rPr>
                <w:sz w:val="21"/>
                <w:szCs w:val="21"/>
                <w:color w:val="auto"/>
              </w:rPr>
            </w:pPr>
          </w:p>
        </w:tc>
        <w:tc>
          <w:tcPr>
            <w:tcW w:w="7240" w:type="dxa"/>
            <w:vAlign w:val="bottom"/>
            <w:shd w:val="clear" w:color="auto" w:fill="E5EAF5"/>
          </w:tcPr>
          <w:p>
            <w:pPr>
              <w:ind w:left="100"/>
              <w:spacing w:after="0"/>
              <w:rPr>
                <w:sz w:val="20"/>
                <w:szCs w:val="20"/>
                <w:color w:val="auto"/>
              </w:rPr>
            </w:pPr>
            <w:r>
              <w:rPr>
                <w:rFonts w:ascii="Arial" w:cs="Arial" w:eastAsia="Arial" w:hAnsi="Arial"/>
                <w:sz w:val="18"/>
                <w:szCs w:val="18"/>
                <w:color w:val="0033A0"/>
              </w:rPr>
              <w:t xml:space="preserve">• </w:t>
            </w:r>
            <w:r>
              <w:rPr>
                <w:rFonts w:ascii="Arial" w:cs="Arial" w:eastAsia="Arial" w:hAnsi="Arial"/>
                <w:sz w:val="18"/>
                <w:szCs w:val="18"/>
                <w:color w:val="000000"/>
              </w:rPr>
              <w:t>Retention</w:t>
            </w:r>
          </w:p>
        </w:tc>
      </w:tr>
      <w:tr>
        <w:trPr>
          <w:trHeight w:val="122"/>
        </w:trPr>
        <w:tc>
          <w:tcPr>
            <w:tcW w:w="3780" w:type="dxa"/>
            <w:vAlign w:val="bottom"/>
            <w:shd w:val="clear" w:color="auto" w:fill="0033A0"/>
          </w:tcPr>
          <w:p>
            <w:pPr>
              <w:spacing w:after="0"/>
              <w:rPr>
                <w:sz w:val="10"/>
                <w:szCs w:val="10"/>
                <w:color w:val="auto"/>
              </w:rPr>
            </w:pPr>
          </w:p>
        </w:tc>
        <w:tc>
          <w:tcPr>
            <w:tcW w:w="7240" w:type="dxa"/>
            <w:vAlign w:val="bottom"/>
            <w:shd w:val="clear" w:color="auto" w:fill="E5EAF5"/>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-530860</wp:posOffset>
            </wp:positionV>
            <wp:extent cx="69977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-874395</wp:posOffset>
            </wp:positionV>
            <wp:extent cx="6997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type w:val="continuous"/>
        </w:sectPr>
      </w:pPr>
    </w:p>
    <w:p>
      <w:pPr>
        <w:spacing w:after="0" w:line="175"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With respect to the Chief Executive Officer, the Compensation Committee reviews performance relative to annual objectives and competitive market data in order to make base salary and target annual incentive and LTI determinations and to make recommendations to the Board regarding annual incentive payments. The Compensation Committee is supported in its work by the Company’s Human Resources Department and an independent executive compensation consultant as described below.</w:t>
      </w:r>
    </w:p>
    <w:p>
      <w:pPr>
        <w:spacing w:after="0" w:line="77" w:lineRule="exact"/>
        <w:rPr>
          <w:sz w:val="20"/>
          <w:szCs w:val="20"/>
          <w:color w:val="auto"/>
        </w:rPr>
      </w:pPr>
    </w:p>
    <w:p>
      <w:pPr>
        <w:ind w:left="200"/>
        <w:spacing w:after="0" w:line="244" w:lineRule="auto"/>
        <w:rPr>
          <w:sz w:val="20"/>
          <w:szCs w:val="20"/>
          <w:color w:val="auto"/>
        </w:rPr>
      </w:pPr>
      <w:r>
        <w:rPr>
          <w:rFonts w:ascii="Arial" w:cs="Arial" w:eastAsia="Arial" w:hAnsi="Arial"/>
          <w:sz w:val="18"/>
          <w:szCs w:val="18"/>
          <w:b w:val="1"/>
          <w:bCs w:val="1"/>
          <w:i w:val="1"/>
          <w:iCs w:val="1"/>
          <w:color w:val="auto"/>
        </w:rPr>
        <w:t xml:space="preserve">Role of the Compensation Consultant. </w:t>
      </w:r>
      <w:r>
        <w:rPr>
          <w:rFonts w:ascii="Arial" w:cs="Arial" w:eastAsia="Arial" w:hAnsi="Arial"/>
          <w:sz w:val="18"/>
          <w:szCs w:val="18"/>
          <w:color w:val="auto"/>
        </w:rPr>
        <w:t>The Compensation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receives data, analysis and support from Frederic W. Cook &amp; Co., Inc. (“FW Cook”), which serves as the Compensation Committee’s and the Corporate Governance Committee’s independent compensation consultant.</w:t>
      </w:r>
    </w:p>
    <w:p>
      <w:pPr>
        <w:spacing w:after="0" w:line="8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2018, FW Cook provided the following services to the</w:t>
      </w:r>
    </w:p>
    <w:p>
      <w:pPr>
        <w:ind w:left="200"/>
        <w:spacing w:after="0"/>
        <w:rPr>
          <w:sz w:val="20"/>
          <w:szCs w:val="20"/>
          <w:color w:val="auto"/>
        </w:rPr>
      </w:pPr>
      <w:r>
        <w:rPr>
          <w:rFonts w:ascii="Arial" w:cs="Arial" w:eastAsia="Arial" w:hAnsi="Arial"/>
          <w:sz w:val="18"/>
          <w:szCs w:val="18"/>
          <w:color w:val="auto"/>
        </w:rPr>
        <w:t>Compensation Committee:</w:t>
      </w:r>
    </w:p>
    <w:p>
      <w:pPr>
        <w:spacing w:after="0" w:line="117" w:lineRule="exact"/>
        <w:rPr>
          <w:sz w:val="20"/>
          <w:szCs w:val="20"/>
          <w:color w:val="auto"/>
        </w:rPr>
      </w:pPr>
    </w:p>
    <w:p>
      <w:pPr>
        <w:ind w:left="980" w:right="60" w:hanging="317"/>
        <w:spacing w:after="0" w:line="239" w:lineRule="auto"/>
        <w:tabs>
          <w:tab w:leader="none" w:pos="980" w:val="left"/>
        </w:tabs>
        <w:numPr>
          <w:ilvl w:val="0"/>
          <w:numId w:val="33"/>
        </w:numPr>
        <w:rPr>
          <w:rFonts w:ascii="Arial" w:cs="Arial" w:eastAsia="Arial" w:hAnsi="Arial"/>
          <w:sz w:val="18"/>
          <w:szCs w:val="18"/>
          <w:color w:val="0033A0"/>
        </w:rPr>
      </w:pPr>
      <w:r>
        <w:rPr>
          <w:rFonts w:ascii="Arial" w:cs="Arial" w:eastAsia="Arial" w:hAnsi="Arial"/>
          <w:sz w:val="18"/>
          <w:szCs w:val="18"/>
          <w:color w:val="auto"/>
        </w:rPr>
        <w:t>Reviewed the materials prepared for the Compensation Committee by management relative to the 2018 compensation program design for the named executive officers;</w:t>
      </w:r>
    </w:p>
    <w:p>
      <w:pPr>
        <w:spacing w:after="0" w:line="107" w:lineRule="exact"/>
        <w:rPr>
          <w:rFonts w:ascii="Arial" w:cs="Arial" w:eastAsia="Arial" w:hAnsi="Arial"/>
          <w:sz w:val="18"/>
          <w:szCs w:val="18"/>
          <w:color w:val="0033A0"/>
        </w:rPr>
      </w:pPr>
    </w:p>
    <w:p>
      <w:pPr>
        <w:ind w:left="980" w:right="220" w:hanging="317"/>
        <w:spacing w:after="0"/>
        <w:tabs>
          <w:tab w:leader="none" w:pos="980" w:val="left"/>
        </w:tabs>
        <w:numPr>
          <w:ilvl w:val="0"/>
          <w:numId w:val="33"/>
        </w:numPr>
        <w:rPr>
          <w:rFonts w:ascii="Arial" w:cs="Arial" w:eastAsia="Arial" w:hAnsi="Arial"/>
          <w:sz w:val="18"/>
          <w:szCs w:val="18"/>
          <w:color w:val="0033A0"/>
        </w:rPr>
      </w:pPr>
      <w:r>
        <w:rPr>
          <w:rFonts w:ascii="Arial" w:cs="Arial" w:eastAsia="Arial" w:hAnsi="Arial"/>
          <w:sz w:val="18"/>
          <w:szCs w:val="18"/>
          <w:color w:val="auto"/>
        </w:rPr>
        <w:t>Presented market data and analysis for the Compensation Committee to set target compensation for named executive officers;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780" w:right="160" w:hanging="317"/>
        <w:spacing w:after="0"/>
        <w:tabs>
          <w:tab w:leader="none" w:pos="780" w:val="left"/>
        </w:tabs>
        <w:numPr>
          <w:ilvl w:val="0"/>
          <w:numId w:val="34"/>
        </w:numPr>
        <w:rPr>
          <w:rFonts w:ascii="Arial" w:cs="Arial" w:eastAsia="Arial" w:hAnsi="Arial"/>
          <w:sz w:val="18"/>
          <w:szCs w:val="18"/>
          <w:color w:val="0033A0"/>
        </w:rPr>
      </w:pPr>
      <w:r>
        <w:rPr>
          <w:rFonts w:ascii="Arial" w:cs="Arial" w:eastAsia="Arial" w:hAnsi="Arial"/>
          <w:sz w:val="18"/>
          <w:szCs w:val="18"/>
          <w:color w:val="auto"/>
        </w:rPr>
        <w:t>Reviewed and advised the Compensation Committee on the peer group used for 2018 executive compensation; and</w:t>
      </w:r>
    </w:p>
    <w:p>
      <w:pPr>
        <w:spacing w:after="0" w:line="108" w:lineRule="exact"/>
        <w:rPr>
          <w:rFonts w:ascii="Arial" w:cs="Arial" w:eastAsia="Arial" w:hAnsi="Arial"/>
          <w:sz w:val="18"/>
          <w:szCs w:val="18"/>
          <w:color w:val="0033A0"/>
        </w:rPr>
      </w:pPr>
    </w:p>
    <w:p>
      <w:pPr>
        <w:ind w:left="780" w:right="180" w:hanging="317"/>
        <w:spacing w:after="0" w:line="275" w:lineRule="auto"/>
        <w:tabs>
          <w:tab w:leader="none" w:pos="780" w:val="left"/>
        </w:tabs>
        <w:numPr>
          <w:ilvl w:val="0"/>
          <w:numId w:val="34"/>
        </w:numPr>
        <w:rPr>
          <w:rFonts w:ascii="Arial" w:cs="Arial" w:eastAsia="Arial" w:hAnsi="Arial"/>
          <w:sz w:val="17"/>
          <w:szCs w:val="17"/>
          <w:color w:val="0033A0"/>
        </w:rPr>
      </w:pPr>
      <w:r>
        <w:rPr>
          <w:rFonts w:ascii="Arial" w:cs="Arial" w:eastAsia="Arial" w:hAnsi="Arial"/>
          <w:sz w:val="17"/>
          <w:szCs w:val="17"/>
          <w:color w:val="auto"/>
        </w:rPr>
        <w:t>Reviewed the Company’s proxy statement disclosure, including the CD&amp;A and executive compensation tables.</w:t>
      </w:r>
    </w:p>
    <w:p>
      <w:pPr>
        <w:spacing w:after="0" w:line="43" w:lineRule="exact"/>
        <w:rPr>
          <w:sz w:val="20"/>
          <w:szCs w:val="20"/>
          <w:color w:val="auto"/>
        </w:rPr>
      </w:pPr>
    </w:p>
    <w:p>
      <w:pPr>
        <w:ind w:right="140"/>
        <w:spacing w:after="0" w:line="254" w:lineRule="auto"/>
        <w:rPr>
          <w:sz w:val="20"/>
          <w:szCs w:val="20"/>
          <w:color w:val="auto"/>
        </w:rPr>
      </w:pPr>
      <w:r>
        <w:rPr>
          <w:rFonts w:ascii="Arial" w:cs="Arial" w:eastAsia="Arial" w:hAnsi="Arial"/>
          <w:sz w:val="17"/>
          <w:szCs w:val="17"/>
          <w:b w:val="1"/>
          <w:bCs w:val="1"/>
          <w:i w:val="1"/>
          <w:iCs w:val="1"/>
          <w:color w:val="auto"/>
        </w:rPr>
        <w:t xml:space="preserve">Role of Chief Executive Officer. </w:t>
      </w:r>
      <w:r>
        <w:rPr>
          <w:rFonts w:ascii="Arial" w:cs="Arial" w:eastAsia="Arial" w:hAnsi="Arial"/>
          <w:sz w:val="17"/>
          <w:szCs w:val="17"/>
          <w:color w:val="auto"/>
        </w:rPr>
        <w:t>The Chief Executive Officer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annually reviews each named executive officer’s target compensation (other than his own) and recommends changes to elements of a named executive officer’s target total compensation, as necessary, based on the factors identified under “Process for Setting Executive Compensation” above. The Chief Executive Officer makes recommendations regarding payouts for annual incentives in accordance with the terms of the awards. The Compensation Committee considers the Chief Executive Officer’s recommendations in making its own determinations regarding compensation awarded to the named executive officers.</w:t>
      </w:r>
    </w:p>
    <w:p>
      <w:pPr>
        <w:spacing w:after="0" w:line="83"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The Chief Executive Officer does not play any role in determining his own compensation.</w:t>
      </w:r>
    </w:p>
    <w:p>
      <w:pPr>
        <w:spacing w:after="0" w:line="1328" w:lineRule="exact"/>
        <w:rPr>
          <w:sz w:val="20"/>
          <w:szCs w:val="20"/>
          <w:color w:val="auto"/>
        </w:rPr>
      </w:pPr>
    </w:p>
    <w:p>
      <w:pPr>
        <w:sectPr>
          <w:pgSz w:w="11900" w:h="16838" w:orient="portrait"/>
          <w:cols w:equalWidth="0" w:num="2">
            <w:col w:w="5440" w:space="380"/>
            <w:col w:w="5420"/>
          </w:cols>
          <w:pgMar w:left="240" w:top="459" w:right="419" w:bottom="1440" w:gutter="0" w:footer="0" w:header="0"/>
          <w:type w:val="continuous"/>
        </w:sectPr>
      </w:pPr>
    </w:p>
    <w:p>
      <w:pPr>
        <w:spacing w:after="0" w:line="71" w:lineRule="exact"/>
        <w:rPr>
          <w:sz w:val="20"/>
          <w:szCs w:val="20"/>
          <w:color w:val="auto"/>
        </w:rPr>
      </w:pPr>
    </w:p>
    <w:tbl>
      <w:tblPr>
        <w:tblLayout w:type="fixed"/>
        <w:tblInd w:w="8820" w:type="dxa"/>
        <w:tblCellMar>
          <w:top w:w="0" w:type="dxa"/>
          <w:left w:w="0" w:type="dxa"/>
          <w:bottom w:w="0" w:type="dxa"/>
          <w:right w:w="0" w:type="dxa"/>
        </w:tblCellMar>
      </w:tblPr>
      <w:tr>
        <w:trPr>
          <w:trHeight w:val="297"/>
        </w:trPr>
        <w:tc>
          <w:tcPr>
            <w:tcW w:w="1900" w:type="dxa"/>
            <w:vAlign w:val="bottom"/>
            <w:tcBorders>
              <w:right w:val="single" w:sz="8" w:color="0033A0"/>
            </w:tcBorders>
          </w:tcPr>
          <w:p>
            <w:pPr>
              <w:spacing w:after="0"/>
              <w:rPr>
                <w:sz w:val="20"/>
                <w:szCs w:val="20"/>
                <w:color w:val="auto"/>
              </w:rPr>
            </w:pPr>
            <w:r>
              <w:rPr>
                <w:rFonts w:ascii="Arial" w:cs="Arial" w:eastAsia="Arial" w:hAnsi="Arial"/>
                <w:sz w:val="18"/>
                <w:szCs w:val="18"/>
                <w:i w:val="1"/>
                <w:iCs w:val="1"/>
                <w:color w:val="auto"/>
              </w:rPr>
              <w:t>2019 Proxy Statement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-170815</wp:posOffset>
            </wp:positionV>
            <wp:extent cx="720090" cy="1289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0090" cy="12890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00"/>
        <w:spacing w:after="0"/>
        <w:rPr>
          <w:sz w:val="20"/>
          <w:szCs w:val="20"/>
          <w:color w:val="auto"/>
        </w:rPr>
      </w:pPr>
      <w:r>
        <w:rPr>
          <w:rFonts w:ascii="Arial" w:cs="Arial" w:eastAsia="Arial" w:hAnsi="Arial"/>
          <w:sz w:val="19"/>
          <w:szCs w:val="19"/>
          <w:b w:val="1"/>
          <w:bCs w:val="1"/>
          <w:color w:val="0033A0"/>
        </w:rPr>
        <w:t>The Brink’s Company</w:t>
      </w:r>
    </w:p>
    <w:p>
      <w:pPr>
        <w:sectPr>
          <w:pgSz w:w="11900" w:h="16838" w:orient="portrait"/>
          <w:cols w:equalWidth="0" w:num="1">
            <w:col w:w="11240"/>
          </w:cols>
          <w:pgMar w:left="240" w:top="459"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00"/>
        <w:spacing w:after="0" w:line="244" w:lineRule="auto"/>
        <w:rPr>
          <w:sz w:val="20"/>
          <w:szCs w:val="20"/>
          <w:color w:val="auto"/>
        </w:rPr>
      </w:pPr>
      <w:r>
        <w:rPr>
          <w:rFonts w:ascii="Arial" w:cs="Arial" w:eastAsia="Arial" w:hAnsi="Arial"/>
          <w:sz w:val="18"/>
          <w:szCs w:val="18"/>
          <w:b w:val="1"/>
          <w:bCs w:val="1"/>
          <w:i w:val="1"/>
          <w:iCs w:val="1"/>
          <w:color w:val="auto"/>
        </w:rPr>
        <w:t xml:space="preserve">Compensation Consultant Conflicts of Interest. </w:t>
      </w:r>
      <w:r>
        <w:rPr>
          <w:rFonts w:ascii="Arial" w:cs="Arial" w:eastAsia="Arial" w:hAnsi="Arial"/>
          <w:sz w:val="18"/>
          <w:szCs w:val="18"/>
          <w:color w:val="auto"/>
        </w:rPr>
        <w:t>In retaining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FW Cook, the Compensation Committee considered the six factors set forth in Rule 10C-1(b)(4)(i) through (vi) of the Exchange Act. In addition, after review of information provided by each of the members of the Compensation Committee as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well as information provided by FW Cook and members of the FW Cook team, the Compensation Committee determined that there are no conflicts of interest raised by the firm’s work with the Compensation Committee.</w:t>
      </w:r>
    </w:p>
    <w:p>
      <w:pPr>
        <w:spacing w:after="0" w:line="405" w:lineRule="exact"/>
        <w:rPr>
          <w:sz w:val="20"/>
          <w:szCs w:val="20"/>
          <w:color w:val="auto"/>
        </w:rPr>
      </w:pPr>
    </w:p>
    <w:p>
      <w:pPr>
        <w:sectPr>
          <w:pgSz w:w="11900" w:h="16838" w:orient="portrait"/>
          <w:cols w:equalWidth="0" w:num="2">
            <w:col w:w="5400" w:space="420"/>
            <w:col w:w="5420"/>
          </w:cols>
          <w:pgMar w:left="240" w:top="459" w:right="419" w:bottom="1440" w:gutter="0" w:footer="0" w:header="0"/>
          <w:type w:val="continuous"/>
        </w:sectPr>
      </w:pPr>
    </w:p>
    <w:p>
      <w:pPr>
        <w:spacing w:after="0" w:line="145"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auto"/>
        </w:rPr>
        <w:t>Factors Considered in Making Compensation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68580</wp:posOffset>
            </wp:positionV>
            <wp:extent cx="6997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type w:val="continuous"/>
        </w:sectPr>
      </w:pPr>
    </w:p>
    <w:p>
      <w:pPr>
        <w:spacing w:after="0" w:line="336" w:lineRule="exact"/>
        <w:rPr>
          <w:sz w:val="20"/>
          <w:szCs w:val="20"/>
          <w:color w:val="auto"/>
        </w:rPr>
      </w:pPr>
    </w:p>
    <w:p>
      <w:pPr>
        <w:ind w:left="200" w:right="380"/>
        <w:spacing w:after="0"/>
        <w:rPr>
          <w:sz w:val="20"/>
          <w:szCs w:val="20"/>
          <w:color w:val="auto"/>
        </w:rPr>
      </w:pPr>
      <w:r>
        <w:rPr>
          <w:rFonts w:ascii="Arial" w:cs="Arial" w:eastAsia="Arial" w:hAnsi="Arial"/>
          <w:sz w:val="18"/>
          <w:szCs w:val="18"/>
          <w:color w:val="auto"/>
        </w:rPr>
        <w:t>In determining target and actual compensation for the named executive officers in 2018, the Compensation Committee considered the following key factors.</w:t>
      </w:r>
    </w:p>
    <w:p>
      <w:pPr>
        <w:spacing w:after="0" w:line="73" w:lineRule="exact"/>
        <w:rPr>
          <w:sz w:val="20"/>
          <w:szCs w:val="20"/>
          <w:color w:val="auto"/>
        </w:rPr>
      </w:pPr>
    </w:p>
    <w:p>
      <w:pPr>
        <w:ind w:left="200"/>
        <w:spacing w:after="0" w:line="244" w:lineRule="auto"/>
        <w:rPr>
          <w:sz w:val="20"/>
          <w:szCs w:val="20"/>
          <w:color w:val="auto"/>
        </w:rPr>
      </w:pPr>
      <w:r>
        <w:rPr>
          <w:rFonts w:ascii="Arial" w:cs="Arial" w:eastAsia="Arial" w:hAnsi="Arial"/>
          <w:sz w:val="18"/>
          <w:szCs w:val="18"/>
          <w:b w:val="1"/>
          <w:bCs w:val="1"/>
          <w:i w:val="1"/>
          <w:iCs w:val="1"/>
          <w:color w:val="auto"/>
        </w:rPr>
        <w:t xml:space="preserve">Performance. </w:t>
      </w:r>
      <w:r>
        <w:rPr>
          <w:rFonts w:ascii="Arial" w:cs="Arial" w:eastAsia="Arial" w:hAnsi="Arial"/>
          <w:sz w:val="18"/>
          <w:szCs w:val="18"/>
          <w:color w:val="auto"/>
        </w:rPr>
        <w:t>The executive compensation program provides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named executive officers with opportunities to receive actual compensation that is greater or less than targeted compensation, depending upon the Company’s financial performance and their individual performance.</w:t>
      </w:r>
    </w:p>
    <w:p>
      <w:pPr>
        <w:spacing w:after="0" w:line="69" w:lineRule="exact"/>
        <w:rPr>
          <w:sz w:val="20"/>
          <w:szCs w:val="20"/>
          <w:color w:val="auto"/>
        </w:rPr>
      </w:pPr>
    </w:p>
    <w:p>
      <w:pPr>
        <w:ind w:left="200" w:right="100"/>
        <w:spacing w:after="0" w:line="242" w:lineRule="auto"/>
        <w:rPr>
          <w:sz w:val="20"/>
          <w:szCs w:val="20"/>
          <w:color w:val="auto"/>
        </w:rPr>
      </w:pPr>
      <w:r>
        <w:rPr>
          <w:rFonts w:ascii="Arial" w:cs="Arial" w:eastAsia="Arial" w:hAnsi="Arial"/>
          <w:sz w:val="18"/>
          <w:szCs w:val="18"/>
          <w:b w:val="1"/>
          <w:bCs w:val="1"/>
          <w:i w:val="1"/>
          <w:iCs w:val="1"/>
          <w:color w:val="auto"/>
        </w:rPr>
        <w:t xml:space="preserve">Market Competitiveness. </w:t>
      </w:r>
      <w:r>
        <w:rPr>
          <w:rFonts w:ascii="Arial" w:cs="Arial" w:eastAsia="Arial" w:hAnsi="Arial"/>
          <w:sz w:val="18"/>
          <w:szCs w:val="18"/>
          <w:color w:val="auto"/>
        </w:rPr>
        <w:t>For the named executive officers,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Committee generally aims to set base salary, target annual incentive and target LTI compensation (in the aggregate) at approximately the market median relative to comparable positions within a relevant comparison group of companies (the</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“Peer Group”), Brink’s uses the market median as a reference to ensure pay practices are competitive overall and generally sets named executive officers’ individual total target compensation between the 25</w:t>
      </w:r>
      <w:r>
        <w:rPr>
          <w:rFonts w:ascii="Arial" w:cs="Arial" w:eastAsia="Arial" w:hAnsi="Arial"/>
          <w:sz w:val="15"/>
          <w:szCs w:val="15"/>
          <w:color w:val="auto"/>
        </w:rPr>
        <w:t>th</w:t>
      </w:r>
      <w:r>
        <w:rPr>
          <w:rFonts w:ascii="Arial" w:cs="Arial" w:eastAsia="Arial" w:hAnsi="Arial"/>
          <w:sz w:val="18"/>
          <w:szCs w:val="18"/>
          <w:color w:val="auto"/>
        </w:rPr>
        <w:t xml:space="preserve"> and 75</w:t>
      </w:r>
      <w:r>
        <w:rPr>
          <w:rFonts w:ascii="Arial" w:cs="Arial" w:eastAsia="Arial" w:hAnsi="Arial"/>
          <w:sz w:val="15"/>
          <w:szCs w:val="15"/>
          <w:color w:val="auto"/>
        </w:rPr>
        <w:t>th</w:t>
      </w:r>
      <w:r>
        <w:rPr>
          <w:rFonts w:ascii="Arial" w:cs="Arial" w:eastAsia="Arial" w:hAnsi="Arial"/>
          <w:sz w:val="18"/>
          <w:szCs w:val="18"/>
          <w:color w:val="auto"/>
        </w:rPr>
        <w:t xml:space="preserve"> percentile of Peer Group compensation, depending on the criticality of the role, individual performance and long-term potential to create value for shareholders.</w:t>
      </w:r>
    </w:p>
    <w:p>
      <w:pPr>
        <w:spacing w:after="0" w:line="97"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The Company’s peer group is designed to include companies of comparable size, companies with similar business characteristics (including revenue and market capitalization) and companies with which Brink’s competes for talent and investor capital. Below is the list of companies included in the Peer Group for 2018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-3561080</wp:posOffset>
            </wp:positionH>
            <wp:positionV relativeFrom="paragraph">
              <wp:posOffset>559435</wp:posOffset>
            </wp:positionV>
            <wp:extent cx="6997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717" w:lineRule="exact"/>
        <w:rPr>
          <w:sz w:val="20"/>
          <w:szCs w:val="20"/>
          <w:color w:val="auto"/>
        </w:rPr>
      </w:pPr>
    </w:p>
    <w:p>
      <w:pPr>
        <w:sectPr>
          <w:pgSz w:w="11900" w:h="16838" w:orient="portrait"/>
          <w:cols w:equalWidth="0" w:num="2">
            <w:col w:w="5440" w:space="380"/>
            <w:col w:w="5420"/>
          </w:cols>
          <w:pgMar w:left="240" w:top="459" w:right="419" w:bottom="1440" w:gutter="0" w:footer="0" w:header="0"/>
          <w:type w:val="continuous"/>
        </w:sectPr>
      </w:pPr>
    </w:p>
    <w:p>
      <w:pPr>
        <w:spacing w:after="0" w:line="178"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0033A0"/>
        </w:rPr>
        <w:t>2018 Peer Group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4893310</wp:posOffset>
            </wp:positionH>
            <wp:positionV relativeFrom="paragraph">
              <wp:posOffset>17780</wp:posOffset>
            </wp:positionV>
            <wp:extent cx="8890" cy="9347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890" cy="934720"/>
                    </a:xfrm>
                    <a:prstGeom prst="rect">
                      <a:avLst/>
                    </a:prstGeom>
                    <a:noFill/>
                  </pic:spPr>
                </pic:pic>
              </a:graphicData>
            </a:graphic>
          </wp:anchor>
        </w:drawing>
        <w:drawing>
          <wp:anchor simplePos="0" relativeHeight="251657728" behindDoc="1" locked="0" layoutInCell="0" allowOverlap="1">
            <wp:simplePos x="0" y="0"/>
            <wp:positionH relativeFrom="column">
              <wp:posOffset>2578100</wp:posOffset>
            </wp:positionH>
            <wp:positionV relativeFrom="paragraph">
              <wp:posOffset>17780</wp:posOffset>
            </wp:positionV>
            <wp:extent cx="8890" cy="9347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890" cy="934720"/>
                    </a:xfrm>
                    <a:prstGeom prst="rect">
                      <a:avLst/>
                    </a:prstGeom>
                    <a:noFill/>
                  </pic:spPr>
                </pic:pic>
              </a:graphicData>
            </a:graphic>
          </wp:anchor>
        </w:drawing>
      </w:r>
    </w:p>
    <w:p>
      <w:pPr>
        <w:spacing w:after="0" w:line="8" w:lineRule="exact"/>
        <w:rPr>
          <w:sz w:val="20"/>
          <w:szCs w:val="20"/>
          <w:color w:val="auto"/>
        </w:rPr>
      </w:pPr>
    </w:p>
    <w:tbl>
      <w:tblPr>
        <w:tblLayout w:type="fixed"/>
        <w:tblInd w:w="220" w:type="dxa"/>
        <w:tblCellMar>
          <w:top w:w="0" w:type="dxa"/>
          <w:left w:w="0" w:type="dxa"/>
          <w:bottom w:w="0" w:type="dxa"/>
          <w:right w:w="0" w:type="dxa"/>
        </w:tblCellMar>
      </w:tblPr>
      <w:tr>
        <w:trPr>
          <w:trHeight w:val="217"/>
        </w:trPr>
        <w:tc>
          <w:tcPr>
            <w:tcW w:w="3840" w:type="dxa"/>
            <w:vAlign w:val="bottom"/>
            <w:tcBorders>
              <w:top w:val="single" w:sz="8" w:color="auto"/>
              <w:bottom w:val="single" w:sz="8" w:color="E5EAF5"/>
            </w:tcBorders>
            <w:shd w:val="clear" w:color="auto" w:fill="E5EAF5"/>
          </w:tcPr>
          <w:p>
            <w:pPr>
              <w:ind w:left="60"/>
              <w:spacing w:after="0" w:line="196" w:lineRule="exact"/>
              <w:rPr>
                <w:sz w:val="20"/>
                <w:szCs w:val="20"/>
                <w:color w:val="auto"/>
              </w:rPr>
            </w:pPr>
            <w:r>
              <w:rPr>
                <w:rFonts w:ascii="Arial" w:cs="Arial" w:eastAsia="Arial" w:hAnsi="Arial"/>
                <w:sz w:val="18"/>
                <w:szCs w:val="18"/>
                <w:color w:val="auto"/>
              </w:rPr>
              <w:t>ABM Industries Incorporated</w:t>
            </w:r>
          </w:p>
        </w:tc>
        <w:tc>
          <w:tcPr>
            <w:tcW w:w="3320" w:type="dxa"/>
            <w:vAlign w:val="bottom"/>
            <w:tcBorders>
              <w:top w:val="single" w:sz="8" w:color="auto"/>
              <w:bottom w:val="single" w:sz="8" w:color="E5EAF5"/>
            </w:tcBorders>
            <w:shd w:val="clear" w:color="auto" w:fill="E5EAF5"/>
          </w:tcPr>
          <w:p>
            <w:pPr>
              <w:ind w:left="120"/>
              <w:spacing w:after="0" w:line="196" w:lineRule="exact"/>
              <w:rPr>
                <w:sz w:val="20"/>
                <w:szCs w:val="20"/>
                <w:color w:val="auto"/>
              </w:rPr>
            </w:pPr>
            <w:r>
              <w:rPr>
                <w:rFonts w:ascii="Arial" w:cs="Arial" w:eastAsia="Arial" w:hAnsi="Arial"/>
                <w:sz w:val="18"/>
                <w:szCs w:val="18"/>
                <w:color w:val="auto"/>
              </w:rPr>
              <w:t>The GEO Group, Inc.</w:t>
            </w:r>
          </w:p>
        </w:tc>
        <w:tc>
          <w:tcPr>
            <w:tcW w:w="3860" w:type="dxa"/>
            <w:vAlign w:val="bottom"/>
            <w:tcBorders>
              <w:top w:val="single" w:sz="8" w:color="auto"/>
              <w:bottom w:val="single" w:sz="8" w:color="E5EAF5"/>
            </w:tcBorders>
            <w:shd w:val="clear" w:color="auto" w:fill="E5EAF5"/>
          </w:tcPr>
          <w:p>
            <w:pPr>
              <w:ind w:left="440"/>
              <w:spacing w:after="0" w:line="196" w:lineRule="exact"/>
              <w:rPr>
                <w:sz w:val="20"/>
                <w:szCs w:val="20"/>
                <w:color w:val="auto"/>
              </w:rPr>
            </w:pPr>
            <w:r>
              <w:rPr>
                <w:rFonts w:ascii="Arial" w:cs="Arial" w:eastAsia="Arial" w:hAnsi="Arial"/>
                <w:sz w:val="18"/>
                <w:szCs w:val="18"/>
                <w:color w:val="auto"/>
              </w:rPr>
              <w:t>Ryder System, Inc.</w:t>
            </w:r>
          </w:p>
        </w:tc>
      </w:tr>
      <w:tr>
        <w:trPr>
          <w:trHeight w:val="217"/>
        </w:trPr>
        <w:tc>
          <w:tcPr>
            <w:tcW w:w="3840" w:type="dxa"/>
            <w:vAlign w:val="bottom"/>
          </w:tcPr>
          <w:p>
            <w:pPr>
              <w:ind w:left="60"/>
              <w:spacing w:after="0"/>
              <w:rPr>
                <w:sz w:val="20"/>
                <w:szCs w:val="20"/>
                <w:color w:val="auto"/>
              </w:rPr>
            </w:pPr>
            <w:r>
              <w:rPr>
                <w:rFonts w:ascii="Arial" w:cs="Arial" w:eastAsia="Arial" w:hAnsi="Arial"/>
                <w:sz w:val="18"/>
                <w:szCs w:val="18"/>
                <w:color w:val="auto"/>
              </w:rPr>
              <w:t>Blackhawk Network</w:t>
            </w:r>
          </w:p>
        </w:tc>
        <w:tc>
          <w:tcPr>
            <w:tcW w:w="3320" w:type="dxa"/>
            <w:vAlign w:val="bottom"/>
          </w:tcPr>
          <w:p>
            <w:pPr>
              <w:ind w:left="120"/>
              <w:spacing w:after="0"/>
              <w:rPr>
                <w:sz w:val="20"/>
                <w:szCs w:val="20"/>
                <w:color w:val="auto"/>
              </w:rPr>
            </w:pPr>
            <w:r>
              <w:rPr>
                <w:rFonts w:ascii="Arial" w:cs="Arial" w:eastAsia="Arial" w:hAnsi="Arial"/>
                <w:sz w:val="18"/>
                <w:szCs w:val="18"/>
                <w:color w:val="auto"/>
              </w:rPr>
              <w:t>Hub Group, Inc.</w:t>
            </w:r>
          </w:p>
        </w:tc>
        <w:tc>
          <w:tcPr>
            <w:tcW w:w="3860" w:type="dxa"/>
            <w:vAlign w:val="bottom"/>
          </w:tcPr>
          <w:p>
            <w:pPr>
              <w:ind w:left="440"/>
              <w:spacing w:after="0"/>
              <w:rPr>
                <w:sz w:val="20"/>
                <w:szCs w:val="20"/>
                <w:color w:val="auto"/>
              </w:rPr>
            </w:pPr>
            <w:r>
              <w:rPr>
                <w:rFonts w:ascii="Arial" w:cs="Arial" w:eastAsia="Arial" w:hAnsi="Arial"/>
                <w:sz w:val="18"/>
                <w:szCs w:val="18"/>
                <w:color w:val="auto"/>
              </w:rPr>
              <w:t>Stericycle</w:t>
            </w:r>
          </w:p>
        </w:tc>
      </w:tr>
      <w:tr>
        <w:trPr>
          <w:trHeight w:val="26"/>
        </w:trPr>
        <w:tc>
          <w:tcPr>
            <w:tcW w:w="38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3860" w:type="dxa"/>
            <w:vAlign w:val="bottom"/>
          </w:tcPr>
          <w:p>
            <w:pPr>
              <w:spacing w:after="0"/>
              <w:rPr>
                <w:sz w:val="2"/>
                <w:szCs w:val="2"/>
                <w:color w:val="auto"/>
              </w:rPr>
            </w:pPr>
          </w:p>
        </w:tc>
      </w:tr>
      <w:tr>
        <w:trPr>
          <w:trHeight w:val="223"/>
        </w:trPr>
        <w:tc>
          <w:tcPr>
            <w:tcW w:w="3840" w:type="dxa"/>
            <w:vAlign w:val="bottom"/>
            <w:tcBorders>
              <w:bottom w:val="single" w:sz="8" w:color="E5EAF5"/>
            </w:tcBorders>
            <w:shd w:val="clear" w:color="auto" w:fill="E5EAF5"/>
          </w:tcPr>
          <w:p>
            <w:pPr>
              <w:ind w:left="60"/>
              <w:spacing w:after="0" w:line="202" w:lineRule="exact"/>
              <w:rPr>
                <w:sz w:val="20"/>
                <w:szCs w:val="20"/>
                <w:color w:val="auto"/>
              </w:rPr>
            </w:pPr>
            <w:r>
              <w:rPr>
                <w:rFonts w:ascii="Arial" w:cs="Arial" w:eastAsia="Arial" w:hAnsi="Arial"/>
                <w:sz w:val="18"/>
                <w:szCs w:val="18"/>
                <w:color w:val="auto"/>
              </w:rPr>
              <w:t>Celestica, Inc.</w:t>
            </w:r>
          </w:p>
        </w:tc>
        <w:tc>
          <w:tcPr>
            <w:tcW w:w="3320" w:type="dxa"/>
            <w:vAlign w:val="bottom"/>
            <w:tcBorders>
              <w:bottom w:val="single" w:sz="8" w:color="E5EAF5"/>
            </w:tcBorders>
            <w:shd w:val="clear" w:color="auto" w:fill="E5EAF5"/>
          </w:tcPr>
          <w:p>
            <w:pPr>
              <w:ind w:left="120"/>
              <w:spacing w:after="0" w:line="202" w:lineRule="exact"/>
              <w:rPr>
                <w:sz w:val="20"/>
                <w:szCs w:val="20"/>
                <w:color w:val="auto"/>
              </w:rPr>
            </w:pPr>
            <w:r>
              <w:rPr>
                <w:rFonts w:ascii="Arial" w:cs="Arial" w:eastAsia="Arial" w:hAnsi="Arial"/>
                <w:sz w:val="18"/>
                <w:szCs w:val="18"/>
                <w:color w:val="auto"/>
              </w:rPr>
              <w:t>Iron Mountain Incorporated</w:t>
            </w:r>
          </w:p>
        </w:tc>
        <w:tc>
          <w:tcPr>
            <w:tcW w:w="3860" w:type="dxa"/>
            <w:vAlign w:val="bottom"/>
            <w:tcBorders>
              <w:bottom w:val="single" w:sz="8" w:color="E5EAF5"/>
            </w:tcBorders>
            <w:shd w:val="clear" w:color="auto" w:fill="E5EAF5"/>
          </w:tcPr>
          <w:p>
            <w:pPr>
              <w:ind w:left="440"/>
              <w:spacing w:after="0" w:line="202" w:lineRule="exact"/>
              <w:rPr>
                <w:sz w:val="20"/>
                <w:szCs w:val="20"/>
                <w:color w:val="auto"/>
              </w:rPr>
            </w:pPr>
            <w:r>
              <w:rPr>
                <w:rFonts w:ascii="Arial" w:cs="Arial" w:eastAsia="Arial" w:hAnsi="Arial"/>
                <w:sz w:val="18"/>
                <w:szCs w:val="18"/>
                <w:color w:val="auto"/>
              </w:rPr>
              <w:t>TFI International</w:t>
            </w:r>
          </w:p>
        </w:tc>
      </w:tr>
      <w:tr>
        <w:trPr>
          <w:trHeight w:val="217"/>
        </w:trPr>
        <w:tc>
          <w:tcPr>
            <w:tcW w:w="3840" w:type="dxa"/>
            <w:vAlign w:val="bottom"/>
          </w:tcPr>
          <w:p>
            <w:pPr>
              <w:ind w:left="60"/>
              <w:spacing w:after="0"/>
              <w:rPr>
                <w:sz w:val="20"/>
                <w:szCs w:val="20"/>
                <w:color w:val="auto"/>
              </w:rPr>
            </w:pPr>
            <w:r>
              <w:rPr>
                <w:rFonts w:ascii="Arial" w:cs="Arial" w:eastAsia="Arial" w:hAnsi="Arial"/>
                <w:sz w:val="18"/>
                <w:szCs w:val="18"/>
                <w:color w:val="auto"/>
              </w:rPr>
              <w:t>Cintas Corporation</w:t>
            </w:r>
          </w:p>
        </w:tc>
        <w:tc>
          <w:tcPr>
            <w:tcW w:w="3320" w:type="dxa"/>
            <w:vAlign w:val="bottom"/>
          </w:tcPr>
          <w:p>
            <w:pPr>
              <w:ind w:left="120"/>
              <w:spacing w:after="0"/>
              <w:rPr>
                <w:sz w:val="20"/>
                <w:szCs w:val="20"/>
                <w:color w:val="auto"/>
              </w:rPr>
            </w:pPr>
            <w:r>
              <w:rPr>
                <w:rFonts w:ascii="Arial" w:cs="Arial" w:eastAsia="Arial" w:hAnsi="Arial"/>
                <w:sz w:val="18"/>
                <w:szCs w:val="18"/>
                <w:color w:val="auto"/>
              </w:rPr>
              <w:t>ManTech International Corporation</w:t>
            </w:r>
          </w:p>
        </w:tc>
        <w:tc>
          <w:tcPr>
            <w:tcW w:w="3860" w:type="dxa"/>
            <w:vAlign w:val="bottom"/>
          </w:tcPr>
          <w:p>
            <w:pPr>
              <w:ind w:left="440"/>
              <w:spacing w:after="0"/>
              <w:rPr>
                <w:sz w:val="20"/>
                <w:szCs w:val="20"/>
                <w:color w:val="auto"/>
              </w:rPr>
            </w:pPr>
            <w:r>
              <w:rPr>
                <w:rFonts w:ascii="Arial" w:cs="Arial" w:eastAsia="Arial" w:hAnsi="Arial"/>
                <w:sz w:val="18"/>
                <w:szCs w:val="18"/>
                <w:color w:val="auto"/>
              </w:rPr>
              <w:t>Unisys Corporation</w:t>
            </w:r>
          </w:p>
        </w:tc>
      </w:tr>
      <w:tr>
        <w:trPr>
          <w:trHeight w:val="26"/>
        </w:trPr>
        <w:tc>
          <w:tcPr>
            <w:tcW w:w="38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3860" w:type="dxa"/>
            <w:vAlign w:val="bottom"/>
          </w:tcPr>
          <w:p>
            <w:pPr>
              <w:spacing w:after="0"/>
              <w:rPr>
                <w:sz w:val="2"/>
                <w:szCs w:val="2"/>
                <w:color w:val="auto"/>
              </w:rPr>
            </w:pPr>
          </w:p>
        </w:tc>
      </w:tr>
      <w:tr>
        <w:trPr>
          <w:trHeight w:val="223"/>
        </w:trPr>
        <w:tc>
          <w:tcPr>
            <w:tcW w:w="3840" w:type="dxa"/>
            <w:vAlign w:val="bottom"/>
            <w:tcBorders>
              <w:bottom w:val="single" w:sz="8" w:color="E5EAF5"/>
            </w:tcBorders>
            <w:shd w:val="clear" w:color="auto" w:fill="E5EAF5"/>
          </w:tcPr>
          <w:p>
            <w:pPr>
              <w:ind w:left="60"/>
              <w:spacing w:after="0" w:line="202" w:lineRule="exact"/>
              <w:rPr>
                <w:sz w:val="20"/>
                <w:szCs w:val="20"/>
                <w:color w:val="auto"/>
              </w:rPr>
            </w:pPr>
            <w:r>
              <w:rPr>
                <w:rFonts w:ascii="Arial" w:cs="Arial" w:eastAsia="Arial" w:hAnsi="Arial"/>
                <w:sz w:val="18"/>
                <w:szCs w:val="18"/>
                <w:color w:val="auto"/>
              </w:rPr>
              <w:t>Diebold, Incorporated</w:t>
            </w:r>
          </w:p>
        </w:tc>
        <w:tc>
          <w:tcPr>
            <w:tcW w:w="3320" w:type="dxa"/>
            <w:vAlign w:val="bottom"/>
            <w:tcBorders>
              <w:bottom w:val="single" w:sz="8" w:color="E5EAF5"/>
            </w:tcBorders>
            <w:shd w:val="clear" w:color="auto" w:fill="E5EAF5"/>
          </w:tcPr>
          <w:p>
            <w:pPr>
              <w:ind w:left="120"/>
              <w:spacing w:after="0" w:line="202" w:lineRule="exact"/>
              <w:rPr>
                <w:sz w:val="20"/>
                <w:szCs w:val="20"/>
                <w:color w:val="auto"/>
              </w:rPr>
            </w:pPr>
            <w:r>
              <w:rPr>
                <w:rFonts w:ascii="Arial" w:cs="Arial" w:eastAsia="Arial" w:hAnsi="Arial"/>
                <w:sz w:val="18"/>
                <w:szCs w:val="18"/>
                <w:color w:val="auto"/>
              </w:rPr>
              <w:t>Moneygram International</w:t>
            </w:r>
          </w:p>
        </w:tc>
        <w:tc>
          <w:tcPr>
            <w:tcW w:w="3860" w:type="dxa"/>
            <w:vAlign w:val="bottom"/>
            <w:tcBorders>
              <w:bottom w:val="single" w:sz="8" w:color="E5EAF5"/>
            </w:tcBorders>
            <w:shd w:val="clear" w:color="auto" w:fill="E5EAF5"/>
          </w:tcPr>
          <w:p>
            <w:pPr>
              <w:ind w:left="440"/>
              <w:spacing w:after="0" w:line="202" w:lineRule="exact"/>
              <w:rPr>
                <w:sz w:val="20"/>
                <w:szCs w:val="20"/>
                <w:color w:val="auto"/>
              </w:rPr>
            </w:pPr>
            <w:r>
              <w:rPr>
                <w:rFonts w:ascii="Arial" w:cs="Arial" w:eastAsia="Arial" w:hAnsi="Arial"/>
                <w:sz w:val="18"/>
                <w:szCs w:val="18"/>
                <w:color w:val="auto"/>
              </w:rPr>
              <w:t>United Rentals, Inc.</w:t>
            </w:r>
          </w:p>
        </w:tc>
      </w:tr>
      <w:tr>
        <w:trPr>
          <w:trHeight w:val="217"/>
        </w:trPr>
        <w:tc>
          <w:tcPr>
            <w:tcW w:w="3840" w:type="dxa"/>
            <w:vAlign w:val="bottom"/>
          </w:tcPr>
          <w:p>
            <w:pPr>
              <w:ind w:left="60"/>
              <w:spacing w:after="0"/>
              <w:rPr>
                <w:sz w:val="20"/>
                <w:szCs w:val="20"/>
                <w:color w:val="auto"/>
              </w:rPr>
            </w:pPr>
            <w:r>
              <w:rPr>
                <w:rFonts w:ascii="Arial" w:cs="Arial" w:eastAsia="Arial" w:hAnsi="Arial"/>
                <w:sz w:val="18"/>
                <w:szCs w:val="18"/>
                <w:color w:val="auto"/>
              </w:rPr>
              <w:t>DST Systems</w:t>
            </w:r>
          </w:p>
        </w:tc>
        <w:tc>
          <w:tcPr>
            <w:tcW w:w="3320" w:type="dxa"/>
            <w:vAlign w:val="bottom"/>
          </w:tcPr>
          <w:p>
            <w:pPr>
              <w:ind w:left="120"/>
              <w:spacing w:after="0"/>
              <w:rPr>
                <w:sz w:val="20"/>
                <w:szCs w:val="20"/>
                <w:color w:val="auto"/>
              </w:rPr>
            </w:pPr>
            <w:r>
              <w:rPr>
                <w:rFonts w:ascii="Arial" w:cs="Arial" w:eastAsia="Arial" w:hAnsi="Arial"/>
                <w:sz w:val="18"/>
                <w:szCs w:val="18"/>
                <w:color w:val="auto"/>
              </w:rPr>
              <w:t>Pitney Bowes, Inc.</w:t>
            </w:r>
          </w:p>
        </w:tc>
        <w:tc>
          <w:tcPr>
            <w:tcW w:w="3860" w:type="dxa"/>
            <w:vAlign w:val="bottom"/>
          </w:tcPr>
          <w:p>
            <w:pPr>
              <w:spacing w:after="0"/>
              <w:rPr>
                <w:sz w:val="18"/>
                <w:szCs w:val="18"/>
                <w:color w:val="auto"/>
              </w:rPr>
            </w:pPr>
          </w:p>
        </w:tc>
      </w:tr>
      <w:tr>
        <w:trPr>
          <w:trHeight w:val="40"/>
        </w:trPr>
        <w:tc>
          <w:tcPr>
            <w:tcW w:w="3840" w:type="dxa"/>
            <w:vAlign w:val="bottom"/>
            <w:tcBorders>
              <w:bottom w:val="single" w:sz="8" w:color="0033A0"/>
            </w:tcBorders>
          </w:tcPr>
          <w:p>
            <w:pPr>
              <w:spacing w:after="0"/>
              <w:rPr>
                <w:sz w:val="3"/>
                <w:szCs w:val="3"/>
                <w:color w:val="auto"/>
              </w:rPr>
            </w:pPr>
          </w:p>
        </w:tc>
        <w:tc>
          <w:tcPr>
            <w:tcW w:w="3320" w:type="dxa"/>
            <w:vAlign w:val="bottom"/>
            <w:tcBorders>
              <w:bottom w:val="single" w:sz="8" w:color="0033A0"/>
            </w:tcBorders>
          </w:tcPr>
          <w:p>
            <w:pPr>
              <w:spacing w:after="0"/>
              <w:rPr>
                <w:sz w:val="3"/>
                <w:szCs w:val="3"/>
                <w:color w:val="auto"/>
              </w:rPr>
            </w:pPr>
          </w:p>
        </w:tc>
        <w:tc>
          <w:tcPr>
            <w:tcW w:w="3860" w:type="dxa"/>
            <w:vAlign w:val="bottom"/>
            <w:tcBorders>
              <w:bottom w:val="single" w:sz="8" w:color="0033A0"/>
            </w:tcBorders>
          </w:tcPr>
          <w:p>
            <w:pPr>
              <w:spacing w:after="0"/>
              <w:rPr>
                <w:sz w:val="3"/>
                <w:szCs w:val="3"/>
                <w:color w:val="auto"/>
              </w:rPr>
            </w:pPr>
          </w:p>
        </w:tc>
      </w:tr>
    </w:tbl>
    <w:p>
      <w:pPr>
        <w:spacing w:after="0" w:line="172" w:lineRule="exact"/>
        <w:rPr>
          <w:sz w:val="20"/>
          <w:szCs w:val="20"/>
          <w:color w:val="auto"/>
        </w:rPr>
      </w:pPr>
    </w:p>
    <w:p>
      <w:pPr>
        <w:sectPr>
          <w:pgSz w:w="11900" w:h="16838" w:orient="portrait"/>
          <w:cols w:equalWidth="0" w:num="1">
            <w:col w:w="11240"/>
          </w:cols>
          <w:pgMar w:left="240" w:top="459" w:right="419" w:bottom="1440" w:gutter="0" w:footer="0" w:header="0"/>
          <w:type w:val="continuous"/>
        </w:sectPr>
      </w:pPr>
    </w:p>
    <w:p>
      <w:pPr>
        <w:spacing w:after="0" w:line="3" w:lineRule="exact"/>
        <w:rPr>
          <w:sz w:val="20"/>
          <w:szCs w:val="20"/>
          <w:color w:val="auto"/>
        </w:rPr>
      </w:pPr>
    </w:p>
    <w:p>
      <w:pPr>
        <w:ind w:left="220"/>
        <w:spacing w:after="0" w:line="235" w:lineRule="auto"/>
        <w:rPr>
          <w:sz w:val="20"/>
          <w:szCs w:val="20"/>
          <w:color w:val="auto"/>
        </w:rPr>
      </w:pPr>
      <w:r>
        <w:rPr>
          <w:rFonts w:ascii="Arial" w:cs="Arial" w:eastAsia="Arial" w:hAnsi="Arial"/>
          <w:sz w:val="18"/>
          <w:szCs w:val="18"/>
          <w:color w:val="auto"/>
        </w:rPr>
        <w:t>The Compensation Committee periodically reviews market information, including Peer Group compensation data, survey data and other reports on executive compensation practices in making its compensation decisions for named executive officers. Survey data is used as the primary reference point for all named executive officers. The Committee uses Peer Group data as an additional reference point for the Chief Executive Officer and Chief Financial Officer roles and for Mr. Zukerman’s role. Based on its analysis and the compensation levels set for the Company’s named executive officers in 2018, FW Cook has concluded that the Company’s overall current total target direct compensation (including base salary and target annual incentive and LTI compensation) was between the 25</w:t>
      </w:r>
      <w:r>
        <w:rPr>
          <w:rFonts w:ascii="Arial" w:cs="Arial" w:eastAsia="Arial" w:hAnsi="Arial"/>
          <w:sz w:val="15"/>
          <w:szCs w:val="15"/>
          <w:color w:val="auto"/>
        </w:rPr>
        <w:t>th</w:t>
      </w:r>
      <w:r>
        <w:rPr>
          <w:rFonts w:ascii="Arial" w:cs="Arial" w:eastAsia="Arial" w:hAnsi="Arial"/>
          <w:sz w:val="18"/>
          <w:szCs w:val="18"/>
          <w:color w:val="auto"/>
        </w:rPr>
        <w:t xml:space="preserve"> and 75</w:t>
      </w:r>
      <w:r>
        <w:rPr>
          <w:rFonts w:ascii="Arial" w:cs="Arial" w:eastAsia="Arial" w:hAnsi="Arial"/>
          <w:sz w:val="15"/>
          <w:szCs w:val="15"/>
          <w:color w:val="auto"/>
        </w:rPr>
        <w:t>th</w:t>
      </w:r>
      <w:r>
        <w:rPr>
          <w:rFonts w:ascii="Arial" w:cs="Arial" w:eastAsia="Arial" w:hAnsi="Arial"/>
          <w:sz w:val="18"/>
          <w:szCs w:val="18"/>
          <w:color w:val="auto"/>
        </w:rPr>
        <w:t xml:space="preserve"> percentile of the relevant market data for each of the named executive officers, with the exception of the Chief Executive Officer, whose total target direct</w:t>
      </w:r>
    </w:p>
    <w:p>
      <w:pPr>
        <w:spacing w:after="0" w:line="296" w:lineRule="exact"/>
        <w:rPr>
          <w:sz w:val="20"/>
          <w:szCs w:val="20"/>
          <w:color w:val="auto"/>
        </w:rPr>
      </w:pPr>
    </w:p>
    <w:tbl>
      <w:tblPr>
        <w:tblLayout w:type="fixed"/>
        <w:tblInd w:w="200" w:type="dxa"/>
        <w:tblCellMar>
          <w:top w:w="0" w:type="dxa"/>
          <w:left w:w="0" w:type="dxa"/>
          <w:bottom w:w="0" w:type="dxa"/>
          <w:right w:w="0" w:type="dxa"/>
        </w:tblCellMar>
      </w:tblPr>
      <w:tr>
        <w:trPr>
          <w:trHeight w:val="297"/>
        </w:trPr>
        <w:tc>
          <w:tcPr>
            <w:tcW w:w="360" w:type="dxa"/>
            <w:vAlign w:val="bottom"/>
            <w:tcBorders>
              <w:right w:val="single" w:sz="8" w:color="0033A0"/>
            </w:tcBorders>
          </w:tcPr>
          <w:p>
            <w:pPr>
              <w:jc w:val="right"/>
              <w:ind w:right="70"/>
              <w:spacing w:after="0"/>
              <w:rPr>
                <w:sz w:val="20"/>
                <w:szCs w:val="20"/>
                <w:color w:val="auto"/>
              </w:rPr>
            </w:pPr>
            <w:r>
              <w:rPr>
                <w:rFonts w:ascii="Arial" w:cs="Arial" w:eastAsia="Arial" w:hAnsi="Arial"/>
                <w:sz w:val="18"/>
                <w:szCs w:val="18"/>
                <w:b w:val="1"/>
                <w:bCs w:val="1"/>
                <w:color w:val="auto"/>
                <w:w w:val="89"/>
              </w:rPr>
              <w:t>30</w:t>
            </w:r>
          </w:p>
        </w:tc>
        <w:tc>
          <w:tcPr>
            <w:tcW w:w="3380" w:type="dxa"/>
            <w:vAlign w:val="bottom"/>
          </w:tcPr>
          <w:p>
            <w:pPr>
              <w:ind w:left="1600"/>
              <w:spacing w:after="0"/>
              <w:rPr>
                <w:sz w:val="20"/>
                <w:szCs w:val="20"/>
                <w:color w:val="auto"/>
              </w:rPr>
            </w:pPr>
            <w:r>
              <w:rPr>
                <w:rFonts w:ascii="Arial" w:cs="Arial" w:eastAsia="Arial" w:hAnsi="Arial"/>
                <w:sz w:val="18"/>
                <w:szCs w:val="18"/>
                <w:i w:val="1"/>
                <w:iCs w:val="1"/>
                <w:color w:val="auto"/>
                <w:w w:val="98"/>
              </w:rPr>
              <w:t>2019 Proxy Statement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-170815</wp:posOffset>
            </wp:positionV>
            <wp:extent cx="720090" cy="1289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009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240"/>
        <w:spacing w:after="0" w:line="239" w:lineRule="auto"/>
        <w:rPr>
          <w:sz w:val="20"/>
          <w:szCs w:val="20"/>
          <w:color w:val="auto"/>
        </w:rPr>
      </w:pPr>
      <w:r>
        <w:rPr>
          <w:rFonts w:ascii="Arial" w:cs="Arial" w:eastAsia="Arial" w:hAnsi="Arial"/>
          <w:sz w:val="18"/>
          <w:szCs w:val="18"/>
          <w:color w:val="auto"/>
        </w:rPr>
        <w:t>compensation exceeds the 75</w:t>
      </w:r>
      <w:r>
        <w:rPr>
          <w:rFonts w:ascii="Arial" w:cs="Arial" w:eastAsia="Arial" w:hAnsi="Arial"/>
          <w:sz w:val="15"/>
          <w:szCs w:val="15"/>
          <w:color w:val="auto"/>
        </w:rPr>
        <w:t>th</w:t>
      </w:r>
      <w:r>
        <w:rPr>
          <w:rFonts w:ascii="Arial" w:cs="Arial" w:eastAsia="Arial" w:hAnsi="Arial"/>
          <w:sz w:val="18"/>
          <w:szCs w:val="18"/>
          <w:color w:val="auto"/>
        </w:rPr>
        <w:t xml:space="preserve"> percentile as a result of the 2018 LTI award, the amount of which was increased for 2018 in recognition of Mr. Pertz’s performance and expected future contributions, and as a retention incentive.</w:t>
      </w:r>
    </w:p>
    <w:p>
      <w:pPr>
        <w:spacing w:after="0" w:line="74" w:lineRule="exact"/>
        <w:rPr>
          <w:sz w:val="20"/>
          <w:szCs w:val="20"/>
          <w:color w:val="auto"/>
        </w:rPr>
      </w:pPr>
    </w:p>
    <w:p>
      <w:pPr>
        <w:ind w:right="140"/>
        <w:spacing w:after="0" w:line="254" w:lineRule="auto"/>
        <w:rPr>
          <w:sz w:val="20"/>
          <w:szCs w:val="20"/>
          <w:color w:val="auto"/>
        </w:rPr>
      </w:pPr>
      <w:r>
        <w:rPr>
          <w:rFonts w:ascii="Arial" w:cs="Arial" w:eastAsia="Arial" w:hAnsi="Arial"/>
          <w:sz w:val="17"/>
          <w:szCs w:val="17"/>
          <w:b w:val="1"/>
          <w:bCs w:val="1"/>
          <w:i w:val="1"/>
          <w:iCs w:val="1"/>
          <w:color w:val="auto"/>
        </w:rPr>
        <w:t xml:space="preserve">Mix of Cash and Stock-Based Compensation and Current, Short-Term and Long-Term Awards. </w:t>
      </w:r>
      <w:r>
        <w:rPr>
          <w:rFonts w:ascii="Arial" w:cs="Arial" w:eastAsia="Arial" w:hAnsi="Arial"/>
          <w:sz w:val="17"/>
          <w:szCs w:val="17"/>
          <w:color w:val="auto"/>
        </w:rPr>
        <w:t>The Compensation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Committee considers the competitive market, compensation mix and pay for performance philosophy when setting various components of compensation. The Compensation Committee determined that current and short-term compensation (base salary and annual incentives) should be composed of cash, but that LTI compensation should be composed of stock-based awards that reward the achievement of Company results and increases in Company value over the long-term, and align named executive officers’ interests with the economic interests of shareholders.</w:t>
      </w:r>
    </w:p>
    <w:p>
      <w:pPr>
        <w:sectPr>
          <w:pgSz w:w="11900" w:h="16838" w:orient="portrait"/>
          <w:cols w:equalWidth="0" w:num="2">
            <w:col w:w="5480" w:space="340"/>
            <w:col w:w="5420"/>
          </w:cols>
          <w:pgMar w:left="240" w:top="459" w:right="41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00"/>
        <w:spacing w:after="0" w:line="239" w:lineRule="auto"/>
        <w:rPr>
          <w:sz w:val="20"/>
          <w:szCs w:val="20"/>
          <w:color w:val="auto"/>
        </w:rPr>
      </w:pPr>
      <w:r>
        <w:rPr>
          <w:rFonts w:ascii="Arial" w:cs="Arial" w:eastAsia="Arial" w:hAnsi="Arial"/>
          <w:sz w:val="18"/>
          <w:szCs w:val="18"/>
          <w:color w:val="auto"/>
        </w:rPr>
        <w:t>In 2018, performance-based compensation (which includes annual incentives, Internal Metric PSUs, Relative TSR PSUs, and Performance Stock Options) represented approximately 90% of total target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ind w:left="1000"/>
        <w:spacing w:after="0"/>
        <w:rPr>
          <w:sz w:val="20"/>
          <w:szCs w:val="20"/>
          <w:color w:val="auto"/>
        </w:rPr>
      </w:pPr>
      <w:r>
        <w:rPr>
          <w:rFonts w:ascii="Arial" w:cs="Arial" w:eastAsia="Arial" w:hAnsi="Arial"/>
          <w:sz w:val="19"/>
          <w:szCs w:val="19"/>
          <w:b w:val="1"/>
          <w:bCs w:val="1"/>
          <w:color w:val="0033A0"/>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-661035</wp:posOffset>
            </wp:positionV>
            <wp:extent cx="72891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7"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compensation for the Chief Executive Officer and approximately 59% of total target compensation (on average) for the Company’s other named executive officers, as illustrated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-2386330</wp:posOffset>
            </wp:positionH>
            <wp:positionV relativeFrom="paragraph">
              <wp:posOffset>446405</wp:posOffset>
            </wp:positionV>
            <wp:extent cx="4639310" cy="153479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639310" cy="1534795"/>
                    </a:xfrm>
                    <a:prstGeom prst="rect">
                      <a:avLst/>
                    </a:prstGeom>
                    <a:noFill/>
                  </pic:spPr>
                </pic:pic>
              </a:graphicData>
            </a:graphic>
          </wp:anchor>
        </w:drawing>
      </w:r>
    </w:p>
    <w:p>
      <w:pPr>
        <w:spacing w:after="0" w:line="403" w:lineRule="exact"/>
        <w:rPr>
          <w:sz w:val="20"/>
          <w:szCs w:val="20"/>
          <w:color w:val="auto"/>
        </w:rPr>
      </w:pPr>
    </w:p>
    <w:p>
      <w:pPr>
        <w:sectPr>
          <w:pgSz w:w="11900" w:h="16838" w:orient="portrait"/>
          <w:cols w:equalWidth="0" w:num="2">
            <w:col w:w="5420" w:space="400"/>
            <w:col w:w="5420"/>
          </w:cols>
          <w:pgMar w:left="240" w:top="459"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auto"/>
        </w:rPr>
        <w:t>2018 Compensation Decisions by Component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68580</wp:posOffset>
            </wp:positionV>
            <wp:extent cx="6997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type w:val="continuous"/>
        </w:sectPr>
      </w:pPr>
    </w:p>
    <w:p>
      <w:pPr>
        <w:spacing w:after="0" w:line="31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0033A0"/>
        </w:rPr>
        <w:t>Base Salary</w:t>
      </w:r>
    </w:p>
    <w:p>
      <w:pPr>
        <w:spacing w:after="0" w:line="126"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The Compensation Committee’s decisions on base salary levels for the named executive officers are primarily influenced by its review of competitive market information for comparable positions. These decisions are also influenced by the Company’s talent philosophy, which includes differential investment in talent based on the executive’s performance of his or her duties, criticality of the executive’s role to the execution of corporate strategy, and the executive’s potential to impact future business results. For the named executive officers other than the Chief Executive Officer, the Compensation Committee also considers the Chief Executive Officer’s recommended salary adjustments based on position relative to the competitive market information.</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In 2018, the Compensation Committee approved adjustments to base salaries for each of the named executive officers. For each of the officers other than Mr. Marshall, adjustments were made in connection with the Company’s annual merit review process, which reflects the market-based merit budget as well as performance of each individual executive. For Mr. Marshall, the adjustment reflects a market-based adjustment to better align his compensation to the market median for the role of a Chief Administrative Officer leading both the Legal and HR functions. Following are the base salaries for each of the named executive officers as of December 31, 2018 (actual salary amounts for 2018 appear in the Summary Compensation Table on page 44):</w:t>
      </w:r>
    </w:p>
    <w:p>
      <w:pPr>
        <w:spacing w:after="0" w:line="510" w:lineRule="exact"/>
        <w:rPr>
          <w:sz w:val="20"/>
          <w:szCs w:val="20"/>
          <w:color w:val="auto"/>
        </w:rPr>
      </w:pPr>
    </w:p>
    <w:p>
      <w:pPr>
        <w:sectPr>
          <w:pgSz w:w="11900" w:h="16838" w:orient="portrait"/>
          <w:cols w:equalWidth="0" w:num="2">
            <w:col w:w="5480" w:space="340"/>
            <w:col w:w="5420"/>
          </w:cols>
          <w:pgMar w:left="240" w:top="459" w:right="419" w:bottom="1440" w:gutter="0" w:footer="0" w:header="0"/>
          <w:type w:val="continuous"/>
        </w:sectPr>
      </w:pPr>
    </w:p>
    <w:p>
      <w:pPr>
        <w:spacing w:after="0" w:line="154"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4980" w:type="dxa"/>
            <w:vAlign w:val="bottom"/>
          </w:tcPr>
          <w:p>
            <w:pPr>
              <w:spacing w:after="0"/>
              <w:rPr>
                <w:sz w:val="14"/>
                <w:szCs w:val="14"/>
                <w:color w:val="auto"/>
              </w:rPr>
            </w:pPr>
          </w:p>
        </w:tc>
        <w:tc>
          <w:tcPr>
            <w:tcW w:w="202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0033A0"/>
              </w:rPr>
              <w:t>Annual Salary at</w:t>
            </w:r>
          </w:p>
        </w:tc>
        <w:tc>
          <w:tcPr>
            <w:tcW w:w="2420" w:type="dxa"/>
            <w:vAlign w:val="bottom"/>
            <w:gridSpan w:val="2"/>
          </w:tcPr>
          <w:p>
            <w:pPr>
              <w:jc w:val="right"/>
              <w:ind w:right="670"/>
              <w:spacing w:after="0"/>
              <w:rPr>
                <w:sz w:val="20"/>
                <w:szCs w:val="20"/>
                <w:color w:val="auto"/>
              </w:rPr>
            </w:pPr>
            <w:r>
              <w:rPr>
                <w:rFonts w:ascii="Arial" w:cs="Arial" w:eastAsia="Arial" w:hAnsi="Arial"/>
                <w:sz w:val="14"/>
                <w:szCs w:val="14"/>
                <w:b w:val="1"/>
                <w:bCs w:val="1"/>
                <w:color w:val="0033A0"/>
              </w:rPr>
              <w:t>Annual Salary at</w:t>
            </w:r>
          </w:p>
        </w:tc>
        <w:tc>
          <w:tcPr>
            <w:tcW w:w="1600" w:type="dxa"/>
            <w:vAlign w:val="bottom"/>
          </w:tcPr>
          <w:p>
            <w:pPr>
              <w:spacing w:after="0"/>
              <w:rPr>
                <w:sz w:val="14"/>
                <w:szCs w:val="14"/>
                <w:color w:val="auto"/>
              </w:rPr>
            </w:pPr>
          </w:p>
        </w:tc>
      </w:tr>
      <w:tr>
        <w:trPr>
          <w:trHeight w:val="175"/>
        </w:trPr>
        <w:tc>
          <w:tcPr>
            <w:tcW w:w="4980" w:type="dxa"/>
            <w:vAlign w:val="bottom"/>
            <w:tcBorders>
              <w:bottom w:val="single" w:sz="8" w:color="0033A0"/>
            </w:tcBorders>
          </w:tcPr>
          <w:p>
            <w:pPr>
              <w:ind w:left="60"/>
              <w:spacing w:after="0"/>
              <w:rPr>
                <w:sz w:val="20"/>
                <w:szCs w:val="20"/>
                <w:color w:val="auto"/>
              </w:rPr>
            </w:pPr>
            <w:r>
              <w:rPr>
                <w:rFonts w:ascii="Arial" w:cs="Arial" w:eastAsia="Arial" w:hAnsi="Arial"/>
                <w:sz w:val="14"/>
                <w:szCs w:val="14"/>
                <w:b w:val="1"/>
                <w:bCs w:val="1"/>
                <w:color w:val="0033A0"/>
              </w:rPr>
              <w:t>Named Executive Officer</w:t>
            </w:r>
          </w:p>
        </w:tc>
        <w:tc>
          <w:tcPr>
            <w:tcW w:w="2020" w:type="dxa"/>
            <w:vAlign w:val="bottom"/>
            <w:tcBorders>
              <w:bottom w:val="single" w:sz="8" w:color="0033A0"/>
            </w:tcBorders>
            <w:gridSpan w:val="2"/>
          </w:tcPr>
          <w:p>
            <w:pPr>
              <w:jc w:val="right"/>
              <w:ind w:right="270"/>
              <w:spacing w:after="0"/>
              <w:rPr>
                <w:sz w:val="20"/>
                <w:szCs w:val="20"/>
                <w:color w:val="auto"/>
              </w:rPr>
            </w:pPr>
            <w:r>
              <w:rPr>
                <w:rFonts w:ascii="Arial" w:cs="Arial" w:eastAsia="Arial" w:hAnsi="Arial"/>
                <w:sz w:val="14"/>
                <w:szCs w:val="14"/>
                <w:b w:val="1"/>
                <w:bCs w:val="1"/>
                <w:color w:val="0033A0"/>
              </w:rPr>
              <w:t>December 31, 2017</w:t>
            </w:r>
          </w:p>
        </w:tc>
        <w:tc>
          <w:tcPr>
            <w:tcW w:w="2420" w:type="dxa"/>
            <w:vAlign w:val="bottom"/>
            <w:tcBorders>
              <w:bottom w:val="single" w:sz="8" w:color="0033A0"/>
            </w:tcBorders>
            <w:gridSpan w:val="2"/>
          </w:tcPr>
          <w:p>
            <w:pPr>
              <w:jc w:val="right"/>
              <w:ind w:right="590"/>
              <w:spacing w:after="0"/>
              <w:rPr>
                <w:sz w:val="20"/>
                <w:szCs w:val="20"/>
                <w:color w:val="auto"/>
              </w:rPr>
            </w:pPr>
            <w:r>
              <w:rPr>
                <w:rFonts w:ascii="Arial" w:cs="Arial" w:eastAsia="Arial" w:hAnsi="Arial"/>
                <w:sz w:val="14"/>
                <w:szCs w:val="14"/>
                <w:b w:val="1"/>
                <w:bCs w:val="1"/>
                <w:color w:val="0033A0"/>
              </w:rPr>
              <w:t>December 31, 2018</w:t>
            </w:r>
          </w:p>
        </w:tc>
        <w:tc>
          <w:tcPr>
            <w:tcW w:w="1600" w:type="dxa"/>
            <w:vAlign w:val="bottom"/>
            <w:tcBorders>
              <w:bottom w:val="single" w:sz="8" w:color="0033A0"/>
            </w:tcBorders>
          </w:tcPr>
          <w:p>
            <w:pPr>
              <w:jc w:val="right"/>
              <w:ind w:right="153"/>
              <w:spacing w:after="0"/>
              <w:rPr>
                <w:sz w:val="20"/>
                <w:szCs w:val="20"/>
                <w:color w:val="auto"/>
              </w:rPr>
            </w:pPr>
            <w:r>
              <w:rPr>
                <w:rFonts w:ascii="Arial" w:cs="Arial" w:eastAsia="Arial" w:hAnsi="Arial"/>
                <w:sz w:val="14"/>
                <w:szCs w:val="14"/>
                <w:b w:val="1"/>
                <w:bCs w:val="1"/>
                <w:color w:val="0033A0"/>
              </w:rPr>
              <w:t>% Change</w:t>
            </w:r>
          </w:p>
        </w:tc>
      </w:tr>
      <w:tr>
        <w:trPr>
          <w:trHeight w:val="21"/>
        </w:trPr>
        <w:tc>
          <w:tcPr>
            <w:tcW w:w="49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77"/>
        </w:trPr>
        <w:tc>
          <w:tcPr>
            <w:tcW w:w="4980" w:type="dxa"/>
            <w:vAlign w:val="bottom"/>
            <w:tcBorders>
              <w:bottom w:val="single" w:sz="8" w:color="E5EAF5"/>
            </w:tcBorders>
            <w:shd w:val="clear" w:color="auto" w:fill="E5EAF5"/>
          </w:tcPr>
          <w:p>
            <w:pPr>
              <w:ind w:left="60"/>
              <w:spacing w:after="0"/>
              <w:rPr>
                <w:sz w:val="20"/>
                <w:szCs w:val="20"/>
                <w:color w:val="auto"/>
              </w:rPr>
            </w:pPr>
            <w:r>
              <w:rPr>
                <w:rFonts w:ascii="Arial" w:cs="Arial" w:eastAsia="Arial" w:hAnsi="Arial"/>
                <w:sz w:val="18"/>
                <w:szCs w:val="18"/>
                <w:color w:val="auto"/>
              </w:rPr>
              <w:t>Mr. Pertz</w:t>
            </w:r>
          </w:p>
        </w:tc>
        <w:tc>
          <w:tcPr>
            <w:tcW w:w="740" w:type="dxa"/>
            <w:vAlign w:val="bottom"/>
            <w:tcBorders>
              <w:bottom w:val="single" w:sz="8" w:color="E5EAF5"/>
            </w:tcBorders>
            <w:shd w:val="clear" w:color="auto" w:fill="E5EAF5"/>
          </w:tcPr>
          <w:p>
            <w:pPr>
              <w:jc w:val="right"/>
              <w:ind w:right="202"/>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E5EAF5"/>
            </w:tcBorders>
            <w:shd w:val="clear" w:color="auto" w:fill="E5EAF5"/>
          </w:tcPr>
          <w:p>
            <w:pPr>
              <w:jc w:val="right"/>
              <w:ind w:right="270"/>
              <w:spacing w:after="0"/>
              <w:rPr>
                <w:sz w:val="20"/>
                <w:szCs w:val="20"/>
                <w:color w:val="auto"/>
              </w:rPr>
            </w:pPr>
            <w:r>
              <w:rPr>
                <w:rFonts w:ascii="Arial" w:cs="Arial" w:eastAsia="Arial" w:hAnsi="Arial"/>
                <w:sz w:val="18"/>
                <w:szCs w:val="18"/>
                <w:color w:val="auto"/>
              </w:rPr>
              <w:t>950,000</w:t>
            </w:r>
          </w:p>
        </w:tc>
        <w:tc>
          <w:tcPr>
            <w:tcW w:w="820" w:type="dxa"/>
            <w:vAlign w:val="bottom"/>
            <w:tcBorders>
              <w:bottom w:val="single" w:sz="8" w:color="E5EAF5"/>
            </w:tcBorders>
            <w:shd w:val="clear" w:color="auto" w:fill="E5EAF5"/>
          </w:tcPr>
          <w:p>
            <w:pPr>
              <w:jc w:val="right"/>
              <w:ind w:right="182"/>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E5EAF5"/>
            </w:tcBorders>
            <w:shd w:val="clear" w:color="auto" w:fill="E5EAF5"/>
          </w:tcPr>
          <w:p>
            <w:pPr>
              <w:jc w:val="right"/>
              <w:ind w:right="590"/>
              <w:spacing w:after="0"/>
              <w:rPr>
                <w:sz w:val="20"/>
                <w:szCs w:val="20"/>
                <w:color w:val="auto"/>
              </w:rPr>
            </w:pPr>
            <w:r>
              <w:rPr>
                <w:rFonts w:ascii="Arial" w:cs="Arial" w:eastAsia="Arial" w:hAnsi="Arial"/>
                <w:sz w:val="18"/>
                <w:szCs w:val="18"/>
                <w:color w:val="auto"/>
              </w:rPr>
              <w:t>980,000</w:t>
            </w:r>
          </w:p>
        </w:tc>
        <w:tc>
          <w:tcPr>
            <w:tcW w:w="1600" w:type="dxa"/>
            <w:vAlign w:val="bottom"/>
            <w:tcBorders>
              <w:bottom w:val="single" w:sz="8" w:color="E5EAF5"/>
            </w:tcBorders>
            <w:shd w:val="clear" w:color="auto" w:fill="E5EAF5"/>
          </w:tcPr>
          <w:p>
            <w:pPr>
              <w:jc w:val="right"/>
              <w:spacing w:after="0"/>
              <w:rPr>
                <w:sz w:val="20"/>
                <w:szCs w:val="20"/>
                <w:color w:val="auto"/>
              </w:rPr>
            </w:pPr>
            <w:r>
              <w:rPr>
                <w:rFonts w:ascii="Arial" w:cs="Arial" w:eastAsia="Arial" w:hAnsi="Arial"/>
                <w:sz w:val="18"/>
                <w:szCs w:val="18"/>
                <w:color w:val="auto"/>
              </w:rPr>
              <w:t>3.2%</w:t>
            </w:r>
          </w:p>
        </w:tc>
      </w:tr>
      <w:tr>
        <w:trPr>
          <w:trHeight w:val="217"/>
        </w:trPr>
        <w:tc>
          <w:tcPr>
            <w:tcW w:w="4980" w:type="dxa"/>
            <w:vAlign w:val="bottom"/>
          </w:tcPr>
          <w:p>
            <w:pPr>
              <w:ind w:left="60"/>
              <w:spacing w:after="0"/>
              <w:rPr>
                <w:sz w:val="20"/>
                <w:szCs w:val="20"/>
                <w:color w:val="auto"/>
              </w:rPr>
            </w:pPr>
            <w:r>
              <w:rPr>
                <w:rFonts w:ascii="Arial" w:cs="Arial" w:eastAsia="Arial" w:hAnsi="Arial"/>
                <w:sz w:val="18"/>
                <w:szCs w:val="18"/>
                <w:color w:val="auto"/>
              </w:rPr>
              <w:t>Mr. Domanico</w:t>
            </w:r>
          </w:p>
        </w:tc>
        <w:tc>
          <w:tcPr>
            <w:tcW w:w="740" w:type="dxa"/>
            <w:vAlign w:val="bottom"/>
          </w:tcPr>
          <w:p>
            <w:pPr>
              <w:spacing w:after="0"/>
              <w:rPr>
                <w:sz w:val="18"/>
                <w:szCs w:val="18"/>
                <w:color w:val="auto"/>
              </w:rPr>
            </w:pPr>
          </w:p>
        </w:tc>
        <w:tc>
          <w:tcPr>
            <w:tcW w:w="1280" w:type="dxa"/>
            <w:vAlign w:val="bottom"/>
          </w:tcPr>
          <w:p>
            <w:pPr>
              <w:jc w:val="right"/>
              <w:ind w:right="270"/>
              <w:spacing w:after="0"/>
              <w:rPr>
                <w:sz w:val="20"/>
                <w:szCs w:val="20"/>
                <w:color w:val="auto"/>
              </w:rPr>
            </w:pPr>
            <w:r>
              <w:rPr>
                <w:rFonts w:ascii="Arial" w:cs="Arial" w:eastAsia="Arial" w:hAnsi="Arial"/>
                <w:sz w:val="18"/>
                <w:szCs w:val="18"/>
                <w:color w:val="auto"/>
              </w:rPr>
              <w:t>575,000</w:t>
            </w:r>
          </w:p>
        </w:tc>
        <w:tc>
          <w:tcPr>
            <w:tcW w:w="820" w:type="dxa"/>
            <w:vAlign w:val="bottom"/>
          </w:tcPr>
          <w:p>
            <w:pPr>
              <w:spacing w:after="0"/>
              <w:rPr>
                <w:sz w:val="18"/>
                <w:szCs w:val="18"/>
                <w:color w:val="auto"/>
              </w:rPr>
            </w:pPr>
          </w:p>
        </w:tc>
        <w:tc>
          <w:tcPr>
            <w:tcW w:w="1600" w:type="dxa"/>
            <w:vAlign w:val="bottom"/>
          </w:tcPr>
          <w:p>
            <w:pPr>
              <w:jc w:val="right"/>
              <w:ind w:right="590"/>
              <w:spacing w:after="0"/>
              <w:rPr>
                <w:sz w:val="20"/>
                <w:szCs w:val="20"/>
                <w:color w:val="auto"/>
              </w:rPr>
            </w:pPr>
            <w:r>
              <w:rPr>
                <w:rFonts w:ascii="Arial" w:cs="Arial" w:eastAsia="Arial" w:hAnsi="Arial"/>
                <w:sz w:val="18"/>
                <w:szCs w:val="18"/>
                <w:color w:val="auto"/>
              </w:rPr>
              <w:t>600,000</w:t>
            </w:r>
          </w:p>
        </w:tc>
        <w:tc>
          <w:tcPr>
            <w:tcW w:w="16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6"/>
        </w:trPr>
        <w:tc>
          <w:tcPr>
            <w:tcW w:w="49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23"/>
        </w:trPr>
        <w:tc>
          <w:tcPr>
            <w:tcW w:w="4980" w:type="dxa"/>
            <w:vAlign w:val="bottom"/>
            <w:tcBorders>
              <w:bottom w:val="single" w:sz="8" w:color="E5EAF5"/>
            </w:tcBorders>
            <w:shd w:val="clear" w:color="auto" w:fill="E5EAF5"/>
          </w:tcPr>
          <w:p>
            <w:pPr>
              <w:ind w:left="60"/>
              <w:spacing w:after="0" w:line="202" w:lineRule="exact"/>
              <w:rPr>
                <w:sz w:val="20"/>
                <w:szCs w:val="20"/>
                <w:color w:val="auto"/>
              </w:rPr>
            </w:pPr>
            <w:r>
              <w:rPr>
                <w:rFonts w:ascii="Arial" w:cs="Arial" w:eastAsia="Arial" w:hAnsi="Arial"/>
                <w:sz w:val="18"/>
                <w:szCs w:val="18"/>
                <w:color w:val="auto"/>
              </w:rPr>
              <w:t>Mr. Beech</w:t>
            </w:r>
          </w:p>
        </w:tc>
        <w:tc>
          <w:tcPr>
            <w:tcW w:w="740" w:type="dxa"/>
            <w:vAlign w:val="bottom"/>
            <w:tcBorders>
              <w:bottom w:val="single" w:sz="8" w:color="E5EAF5"/>
            </w:tcBorders>
            <w:shd w:val="clear" w:color="auto" w:fill="E5EAF5"/>
          </w:tcPr>
          <w:p>
            <w:pPr>
              <w:spacing w:after="0"/>
              <w:rPr>
                <w:sz w:val="19"/>
                <w:szCs w:val="19"/>
                <w:color w:val="auto"/>
              </w:rPr>
            </w:pPr>
          </w:p>
        </w:tc>
        <w:tc>
          <w:tcPr>
            <w:tcW w:w="1280" w:type="dxa"/>
            <w:vAlign w:val="bottom"/>
            <w:tcBorders>
              <w:bottom w:val="single" w:sz="8" w:color="E5EAF5"/>
            </w:tcBorders>
            <w:shd w:val="clear" w:color="auto" w:fill="E5EAF5"/>
          </w:tcPr>
          <w:p>
            <w:pPr>
              <w:jc w:val="right"/>
              <w:ind w:right="270"/>
              <w:spacing w:after="0" w:line="202" w:lineRule="exact"/>
              <w:rPr>
                <w:sz w:val="20"/>
                <w:szCs w:val="20"/>
                <w:color w:val="auto"/>
              </w:rPr>
            </w:pPr>
            <w:r>
              <w:rPr>
                <w:rFonts w:ascii="Arial" w:cs="Arial" w:eastAsia="Arial" w:hAnsi="Arial"/>
                <w:sz w:val="18"/>
                <w:szCs w:val="18"/>
                <w:color w:val="auto"/>
              </w:rPr>
              <w:t>480,000</w:t>
            </w:r>
          </w:p>
        </w:tc>
        <w:tc>
          <w:tcPr>
            <w:tcW w:w="820" w:type="dxa"/>
            <w:vAlign w:val="bottom"/>
            <w:tcBorders>
              <w:bottom w:val="single" w:sz="8" w:color="E5EAF5"/>
            </w:tcBorders>
            <w:shd w:val="clear" w:color="auto" w:fill="E5EAF5"/>
          </w:tcPr>
          <w:p>
            <w:pPr>
              <w:spacing w:after="0"/>
              <w:rPr>
                <w:sz w:val="19"/>
                <w:szCs w:val="19"/>
                <w:color w:val="auto"/>
              </w:rPr>
            </w:pPr>
          </w:p>
        </w:tc>
        <w:tc>
          <w:tcPr>
            <w:tcW w:w="1600" w:type="dxa"/>
            <w:vAlign w:val="bottom"/>
            <w:tcBorders>
              <w:bottom w:val="single" w:sz="8" w:color="E5EAF5"/>
            </w:tcBorders>
            <w:shd w:val="clear" w:color="auto" w:fill="E5EAF5"/>
          </w:tcPr>
          <w:p>
            <w:pPr>
              <w:jc w:val="right"/>
              <w:ind w:right="590"/>
              <w:spacing w:after="0" w:line="202" w:lineRule="exact"/>
              <w:rPr>
                <w:sz w:val="20"/>
                <w:szCs w:val="20"/>
                <w:color w:val="auto"/>
              </w:rPr>
            </w:pPr>
            <w:r>
              <w:rPr>
                <w:rFonts w:ascii="Arial" w:cs="Arial" w:eastAsia="Arial" w:hAnsi="Arial"/>
                <w:sz w:val="18"/>
                <w:szCs w:val="18"/>
                <w:color w:val="auto"/>
              </w:rPr>
              <w:t>494,000</w:t>
            </w:r>
          </w:p>
        </w:tc>
        <w:tc>
          <w:tcPr>
            <w:tcW w:w="1600" w:type="dxa"/>
            <w:vAlign w:val="bottom"/>
            <w:tcBorders>
              <w:bottom w:val="single" w:sz="8" w:color="E5EAF5"/>
            </w:tcBorders>
            <w:shd w:val="clear" w:color="auto" w:fill="E5EAF5"/>
          </w:tcPr>
          <w:p>
            <w:pPr>
              <w:jc w:val="right"/>
              <w:spacing w:after="0" w:line="202" w:lineRule="exact"/>
              <w:rPr>
                <w:sz w:val="20"/>
                <w:szCs w:val="20"/>
                <w:color w:val="auto"/>
              </w:rPr>
            </w:pPr>
            <w:r>
              <w:rPr>
                <w:rFonts w:ascii="Arial" w:cs="Arial" w:eastAsia="Arial" w:hAnsi="Arial"/>
                <w:sz w:val="18"/>
                <w:szCs w:val="18"/>
                <w:color w:val="auto"/>
              </w:rPr>
              <w:t>2.9%</w:t>
            </w:r>
          </w:p>
        </w:tc>
      </w:tr>
      <w:tr>
        <w:trPr>
          <w:trHeight w:val="217"/>
        </w:trPr>
        <w:tc>
          <w:tcPr>
            <w:tcW w:w="4980" w:type="dxa"/>
            <w:vAlign w:val="bottom"/>
          </w:tcPr>
          <w:p>
            <w:pPr>
              <w:ind w:left="60"/>
              <w:spacing w:after="0"/>
              <w:rPr>
                <w:sz w:val="20"/>
                <w:szCs w:val="20"/>
                <w:color w:val="auto"/>
              </w:rPr>
            </w:pPr>
            <w:r>
              <w:rPr>
                <w:rFonts w:ascii="Arial" w:cs="Arial" w:eastAsia="Arial" w:hAnsi="Arial"/>
                <w:sz w:val="18"/>
                <w:szCs w:val="18"/>
                <w:color w:val="auto"/>
              </w:rPr>
              <w:t>Mr. Marshall</w:t>
            </w:r>
          </w:p>
        </w:tc>
        <w:tc>
          <w:tcPr>
            <w:tcW w:w="740" w:type="dxa"/>
            <w:vAlign w:val="bottom"/>
          </w:tcPr>
          <w:p>
            <w:pPr>
              <w:spacing w:after="0"/>
              <w:rPr>
                <w:sz w:val="18"/>
                <w:szCs w:val="18"/>
                <w:color w:val="auto"/>
              </w:rPr>
            </w:pPr>
          </w:p>
        </w:tc>
        <w:tc>
          <w:tcPr>
            <w:tcW w:w="1280" w:type="dxa"/>
            <w:vAlign w:val="bottom"/>
          </w:tcPr>
          <w:p>
            <w:pPr>
              <w:jc w:val="right"/>
              <w:ind w:right="270"/>
              <w:spacing w:after="0"/>
              <w:rPr>
                <w:sz w:val="20"/>
                <w:szCs w:val="20"/>
                <w:color w:val="auto"/>
              </w:rPr>
            </w:pPr>
            <w:r>
              <w:rPr>
                <w:rFonts w:ascii="Arial" w:cs="Arial" w:eastAsia="Arial" w:hAnsi="Arial"/>
                <w:sz w:val="18"/>
                <w:szCs w:val="18"/>
                <w:color w:val="auto"/>
              </w:rPr>
              <w:t>463,100</w:t>
            </w:r>
          </w:p>
        </w:tc>
        <w:tc>
          <w:tcPr>
            <w:tcW w:w="820" w:type="dxa"/>
            <w:vAlign w:val="bottom"/>
          </w:tcPr>
          <w:p>
            <w:pPr>
              <w:spacing w:after="0"/>
              <w:rPr>
                <w:sz w:val="18"/>
                <w:szCs w:val="18"/>
                <w:color w:val="auto"/>
              </w:rPr>
            </w:pPr>
          </w:p>
        </w:tc>
        <w:tc>
          <w:tcPr>
            <w:tcW w:w="1600" w:type="dxa"/>
            <w:vAlign w:val="bottom"/>
          </w:tcPr>
          <w:p>
            <w:pPr>
              <w:jc w:val="right"/>
              <w:ind w:right="590"/>
              <w:spacing w:after="0"/>
              <w:rPr>
                <w:sz w:val="20"/>
                <w:szCs w:val="20"/>
                <w:color w:val="auto"/>
              </w:rPr>
            </w:pPr>
            <w:r>
              <w:rPr>
                <w:rFonts w:ascii="Arial" w:cs="Arial" w:eastAsia="Arial" w:hAnsi="Arial"/>
                <w:sz w:val="18"/>
                <w:szCs w:val="18"/>
                <w:color w:val="auto"/>
              </w:rPr>
              <w:t>510,000</w:t>
            </w:r>
          </w:p>
        </w:tc>
        <w:tc>
          <w:tcPr>
            <w:tcW w:w="160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6"/>
        </w:trPr>
        <w:tc>
          <w:tcPr>
            <w:tcW w:w="49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4980" w:type="dxa"/>
            <w:vAlign w:val="bottom"/>
            <w:tcBorders>
              <w:bottom w:val="single" w:sz="8" w:color="E5EAF5"/>
            </w:tcBorders>
            <w:shd w:val="clear" w:color="auto" w:fill="E5EAF5"/>
          </w:tcPr>
          <w:p>
            <w:pPr>
              <w:ind w:left="60"/>
              <w:spacing w:after="0" w:line="202" w:lineRule="exact"/>
              <w:rPr>
                <w:sz w:val="20"/>
                <w:szCs w:val="20"/>
                <w:color w:val="auto"/>
              </w:rPr>
            </w:pPr>
            <w:r>
              <w:rPr>
                <w:rFonts w:ascii="Arial" w:cs="Arial" w:eastAsia="Arial" w:hAnsi="Arial"/>
                <w:sz w:val="18"/>
                <w:szCs w:val="18"/>
                <w:color w:val="auto"/>
              </w:rPr>
              <w:t>Mr. Zukerman</w:t>
            </w:r>
          </w:p>
        </w:tc>
        <w:tc>
          <w:tcPr>
            <w:tcW w:w="740" w:type="dxa"/>
            <w:vAlign w:val="bottom"/>
            <w:tcBorders>
              <w:bottom w:val="single" w:sz="8" w:color="E5EAF5"/>
            </w:tcBorders>
            <w:shd w:val="clear" w:color="auto" w:fill="E5EAF5"/>
          </w:tcPr>
          <w:p>
            <w:pPr>
              <w:spacing w:after="0"/>
              <w:rPr>
                <w:sz w:val="20"/>
                <w:szCs w:val="20"/>
                <w:color w:val="auto"/>
              </w:rPr>
            </w:pPr>
          </w:p>
        </w:tc>
        <w:tc>
          <w:tcPr>
            <w:tcW w:w="1280" w:type="dxa"/>
            <w:vAlign w:val="bottom"/>
            <w:tcBorders>
              <w:bottom w:val="single" w:sz="8" w:color="E5EAF5"/>
            </w:tcBorders>
            <w:shd w:val="clear" w:color="auto" w:fill="E5EAF5"/>
          </w:tcPr>
          <w:p>
            <w:pPr>
              <w:jc w:val="right"/>
              <w:ind w:right="270"/>
              <w:spacing w:after="0" w:line="202" w:lineRule="exact"/>
              <w:rPr>
                <w:sz w:val="20"/>
                <w:szCs w:val="20"/>
                <w:color w:val="auto"/>
              </w:rPr>
            </w:pPr>
            <w:r>
              <w:rPr>
                <w:rFonts w:ascii="Arial" w:cs="Arial" w:eastAsia="Arial" w:hAnsi="Arial"/>
                <w:sz w:val="18"/>
                <w:szCs w:val="18"/>
                <w:color w:val="auto"/>
              </w:rPr>
              <w:t>600,000</w:t>
            </w:r>
          </w:p>
        </w:tc>
        <w:tc>
          <w:tcPr>
            <w:tcW w:w="820" w:type="dxa"/>
            <w:vAlign w:val="bottom"/>
            <w:tcBorders>
              <w:bottom w:val="single" w:sz="8" w:color="E5EAF5"/>
            </w:tcBorders>
            <w:shd w:val="clear" w:color="auto" w:fill="E5EAF5"/>
          </w:tcPr>
          <w:p>
            <w:pPr>
              <w:spacing w:after="0"/>
              <w:rPr>
                <w:sz w:val="20"/>
                <w:szCs w:val="20"/>
                <w:color w:val="auto"/>
              </w:rPr>
            </w:pPr>
          </w:p>
        </w:tc>
        <w:tc>
          <w:tcPr>
            <w:tcW w:w="1600" w:type="dxa"/>
            <w:vAlign w:val="bottom"/>
            <w:tcBorders>
              <w:bottom w:val="single" w:sz="8" w:color="E5EAF5"/>
            </w:tcBorders>
            <w:shd w:val="clear" w:color="auto" w:fill="E5EAF5"/>
          </w:tcPr>
          <w:p>
            <w:pPr>
              <w:jc w:val="right"/>
              <w:ind w:right="590"/>
              <w:spacing w:after="0" w:line="202" w:lineRule="exact"/>
              <w:rPr>
                <w:sz w:val="20"/>
                <w:szCs w:val="20"/>
                <w:color w:val="auto"/>
              </w:rPr>
            </w:pPr>
            <w:r>
              <w:rPr>
                <w:rFonts w:ascii="Arial" w:cs="Arial" w:eastAsia="Arial" w:hAnsi="Arial"/>
                <w:sz w:val="18"/>
                <w:szCs w:val="18"/>
                <w:color w:val="auto"/>
              </w:rPr>
              <w:t>615,000</w:t>
            </w:r>
          </w:p>
        </w:tc>
        <w:tc>
          <w:tcPr>
            <w:tcW w:w="1600" w:type="dxa"/>
            <w:vAlign w:val="bottom"/>
            <w:tcBorders>
              <w:bottom w:val="single" w:sz="8" w:color="E5EAF5"/>
            </w:tcBorders>
            <w:shd w:val="clear" w:color="auto" w:fill="E5EAF5"/>
          </w:tcPr>
          <w:p>
            <w:pPr>
              <w:jc w:val="right"/>
              <w:spacing w:after="0" w:line="202" w:lineRule="exact"/>
              <w:rPr>
                <w:sz w:val="20"/>
                <w:szCs w:val="20"/>
                <w:color w:val="auto"/>
              </w:rPr>
            </w:pPr>
            <w:r>
              <w:rPr>
                <w:rFonts w:ascii="Arial" w:cs="Arial" w:eastAsia="Arial" w:hAnsi="Arial"/>
                <w:sz w:val="18"/>
                <w:szCs w:val="18"/>
                <w:color w:val="auto"/>
              </w:rPr>
              <w:t>2.5%</w:t>
            </w:r>
          </w:p>
        </w:tc>
      </w:tr>
      <w:tr>
        <w:trPr>
          <w:trHeight w:val="20"/>
        </w:trPr>
        <w:tc>
          <w:tcPr>
            <w:tcW w:w="4980" w:type="dxa"/>
            <w:vAlign w:val="bottom"/>
            <w:shd w:val="clear" w:color="auto" w:fill="0033A0"/>
          </w:tcPr>
          <w:p>
            <w:pPr>
              <w:spacing w:after="0" w:line="20" w:lineRule="exact"/>
              <w:rPr>
                <w:sz w:val="1"/>
                <w:szCs w:val="1"/>
                <w:color w:val="auto"/>
              </w:rPr>
            </w:pPr>
          </w:p>
        </w:tc>
        <w:tc>
          <w:tcPr>
            <w:tcW w:w="740" w:type="dxa"/>
            <w:vAlign w:val="bottom"/>
            <w:shd w:val="clear" w:color="auto" w:fill="0033A0"/>
          </w:tcPr>
          <w:p>
            <w:pPr>
              <w:spacing w:after="0" w:line="20" w:lineRule="exact"/>
              <w:rPr>
                <w:sz w:val="1"/>
                <w:szCs w:val="1"/>
                <w:color w:val="auto"/>
              </w:rPr>
            </w:pPr>
          </w:p>
        </w:tc>
        <w:tc>
          <w:tcPr>
            <w:tcW w:w="1280" w:type="dxa"/>
            <w:vAlign w:val="bottom"/>
            <w:shd w:val="clear" w:color="auto" w:fill="0033A0"/>
          </w:tcPr>
          <w:p>
            <w:pPr>
              <w:spacing w:after="0" w:line="20" w:lineRule="exact"/>
              <w:rPr>
                <w:sz w:val="1"/>
                <w:szCs w:val="1"/>
                <w:color w:val="auto"/>
              </w:rPr>
            </w:pPr>
          </w:p>
        </w:tc>
        <w:tc>
          <w:tcPr>
            <w:tcW w:w="820" w:type="dxa"/>
            <w:vAlign w:val="bottom"/>
            <w:shd w:val="clear" w:color="auto" w:fill="0033A0"/>
          </w:tcPr>
          <w:p>
            <w:pPr>
              <w:spacing w:after="0" w:line="20" w:lineRule="exact"/>
              <w:rPr>
                <w:sz w:val="1"/>
                <w:szCs w:val="1"/>
                <w:color w:val="auto"/>
              </w:rPr>
            </w:pPr>
          </w:p>
        </w:tc>
        <w:tc>
          <w:tcPr>
            <w:tcW w:w="1600" w:type="dxa"/>
            <w:vAlign w:val="bottom"/>
            <w:shd w:val="clear" w:color="auto" w:fill="0033A0"/>
          </w:tcPr>
          <w:p>
            <w:pPr>
              <w:spacing w:after="0" w:line="20" w:lineRule="exact"/>
              <w:rPr>
                <w:sz w:val="1"/>
                <w:szCs w:val="1"/>
                <w:color w:val="auto"/>
              </w:rPr>
            </w:pPr>
          </w:p>
        </w:tc>
        <w:tc>
          <w:tcPr>
            <w:tcW w:w="1600" w:type="dxa"/>
            <w:vAlign w:val="bottom"/>
            <w:shd w:val="clear" w:color="auto" w:fill="0033A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240" w:top="459" w:right="419" w:bottom="1440" w:gutter="0" w:footer="0" w:header="0"/>
          <w:type w:val="continuous"/>
        </w:sectPr>
      </w:pPr>
    </w:p>
    <w:p>
      <w:pPr>
        <w:spacing w:after="0" w:line="19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0033A0"/>
        </w:rPr>
        <w:t>Annual Cash Incentive Awards—EIP and BIP</w:t>
      </w:r>
    </w:p>
    <w:p>
      <w:pPr>
        <w:spacing w:after="0" w:line="10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General</w:t>
      </w:r>
    </w:p>
    <w:p>
      <w:pPr>
        <w:spacing w:after="0" w:line="126" w:lineRule="exact"/>
        <w:rPr>
          <w:sz w:val="20"/>
          <w:szCs w:val="20"/>
          <w:color w:val="auto"/>
        </w:rPr>
      </w:pPr>
    </w:p>
    <w:p>
      <w:pPr>
        <w:ind w:left="220"/>
        <w:spacing w:after="0" w:line="237" w:lineRule="auto"/>
        <w:rPr>
          <w:sz w:val="20"/>
          <w:szCs w:val="20"/>
          <w:color w:val="auto"/>
        </w:rPr>
      </w:pPr>
      <w:r>
        <w:rPr>
          <w:rFonts w:ascii="Arial" w:cs="Arial" w:eastAsia="Arial" w:hAnsi="Arial"/>
          <w:sz w:val="18"/>
          <w:szCs w:val="18"/>
          <w:color w:val="auto"/>
        </w:rPr>
        <w:t>The Company’s annual cash incentive program for named executive officers provides incentive compensation that is variable, contingent and directly linked to Company and country or business unit performance. For 2017 and 2018, annual incentive awards for executive officers were paid under the EIP, which works in conjunction with the metrics and</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goals of the Brink’s Incentive Plan (“BIP”), which governs annual incentives for other executives and employees.</w:t>
      </w:r>
    </w:p>
    <w:p>
      <w:pPr>
        <w:spacing w:after="0" w:line="89"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The EIP was approved by shareholders in 2017 and was designed to ensure that annual incentive compensation paid to executive officers was tied directly to the achievement of Company operating profit and was intended to qualify as performance-based compensation under Section 162(m) and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3101340</wp:posOffset>
            </wp:positionH>
            <wp:positionV relativeFrom="paragraph">
              <wp:posOffset>377825</wp:posOffset>
            </wp:positionV>
            <wp:extent cx="8890" cy="18859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890" cy="188595"/>
                    </a:xfrm>
                    <a:prstGeom prst="rect">
                      <a:avLst/>
                    </a:prstGeom>
                    <a:noFill/>
                  </pic:spPr>
                </pic:pic>
              </a:graphicData>
            </a:graphic>
          </wp:anchor>
        </w:drawing>
        <w:drawing>
          <wp:anchor simplePos="0" relativeHeight="251657728" behindDoc="1" locked="0" layoutInCell="0" allowOverlap="1">
            <wp:simplePos x="0" y="0"/>
            <wp:positionH relativeFrom="column">
              <wp:posOffset>1026160</wp:posOffset>
            </wp:positionH>
            <wp:positionV relativeFrom="paragraph">
              <wp:posOffset>394970</wp:posOffset>
            </wp:positionV>
            <wp:extent cx="720090" cy="1289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0090" cy="128905"/>
                    </a:xfrm>
                    <a:prstGeom prst="rect">
                      <a:avLst/>
                    </a:prstGeom>
                    <a:noFill/>
                  </pic:spPr>
                </pic:pic>
              </a:graphicData>
            </a:graphic>
          </wp:anchor>
        </w:drawing>
      </w:r>
    </w:p>
    <w:p>
      <w:pPr>
        <w:spacing w:after="0" w:line="508" w:lineRule="exact"/>
        <w:rPr>
          <w:sz w:val="20"/>
          <w:szCs w:val="20"/>
          <w:color w:val="auto"/>
        </w:rPr>
      </w:pPr>
    </w:p>
    <w:p>
      <w:pPr>
        <w:sectPr>
          <w:pgSz w:w="11900" w:h="16838" w:orient="portrait"/>
          <w:cols w:equalWidth="0" w:num="2">
            <w:col w:w="5480" w:space="340"/>
            <w:col w:w="5420"/>
          </w:cols>
          <w:pgMar w:left="240" w:top="459" w:right="419" w:bottom="1440" w:gutter="0" w:footer="0" w:header="0"/>
          <w:type w:val="continuous"/>
        </w:sectPr>
      </w:pPr>
    </w:p>
    <w:p>
      <w:pPr>
        <w:spacing w:after="0" w:line="132" w:lineRule="exact"/>
        <w:rPr>
          <w:sz w:val="20"/>
          <w:szCs w:val="20"/>
          <w:color w:val="auto"/>
        </w:rPr>
      </w:pPr>
    </w:p>
    <w:p>
      <w:pPr>
        <w:ind w:left="8820"/>
        <w:spacing w:after="0"/>
        <w:tabs>
          <w:tab w:leader="none" w:pos="10960" w:val="left"/>
        </w:tabs>
        <w:rPr>
          <w:sz w:val="20"/>
          <w:szCs w:val="20"/>
          <w:color w:val="auto"/>
        </w:rPr>
      </w:pPr>
      <w:r>
        <w:rPr>
          <w:rFonts w:ascii="Arial" w:cs="Arial" w:eastAsia="Arial" w:hAnsi="Arial"/>
          <w:sz w:val="18"/>
          <w:szCs w:val="18"/>
          <w:i w:val="1"/>
          <w:iCs w:val="1"/>
          <w:color w:val="auto"/>
        </w:rPr>
        <w:t>2019 Proxy Statement</w:t>
      </w:r>
      <w:r>
        <w:rPr>
          <w:sz w:val="20"/>
          <w:szCs w:val="20"/>
          <w:color w:val="auto"/>
        </w:rPr>
        <w:tab/>
      </w:r>
      <w:r>
        <w:rPr>
          <w:rFonts w:ascii="Arial" w:cs="Arial" w:eastAsia="Arial" w:hAnsi="Arial"/>
          <w:sz w:val="17"/>
          <w:szCs w:val="17"/>
          <w:b w:val="1"/>
          <w:bCs w:val="1"/>
          <w:color w:val="auto"/>
        </w:rPr>
        <w:t>31</w:t>
      </w:r>
    </w:p>
    <w:p>
      <w:pPr>
        <w:sectPr>
          <w:pgSz w:w="11900" w:h="16838" w:orient="portrait"/>
          <w:cols w:equalWidth="0" w:num="1">
            <w:col w:w="11240"/>
          </w:cols>
          <w:pgMar w:left="240" w:top="459" w:right="41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0033A0"/>
        </w:rPr>
        <w:t>The Brink’s Company</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deductible by the Company, as permitted under applicable law.</w:t>
      </w:r>
    </w:p>
    <w:p>
      <w:pPr>
        <w:spacing w:after="0" w:line="104" w:lineRule="exact"/>
        <w:rPr>
          <w:sz w:val="20"/>
          <w:szCs w:val="20"/>
          <w:color w:val="auto"/>
        </w:rPr>
      </w:pPr>
    </w:p>
    <w:p>
      <w:pPr>
        <w:ind w:left="220"/>
        <w:spacing w:after="0" w:line="250" w:lineRule="auto"/>
        <w:rPr>
          <w:sz w:val="20"/>
          <w:szCs w:val="20"/>
          <w:color w:val="auto"/>
        </w:rPr>
      </w:pPr>
      <w:r>
        <w:rPr>
          <w:rFonts w:ascii="Arial" w:cs="Arial" w:eastAsia="Arial" w:hAnsi="Arial"/>
          <w:sz w:val="17"/>
          <w:szCs w:val="17"/>
          <w:color w:val="auto"/>
        </w:rPr>
        <w:t>Under the EIP, the maximum award to be paid to the CEO is 1.5% of non-GAAP operating profit and the maximum award to be paid to any other named executive officer is 0.75% of non-GAAP operating profit. However, the Compensation Committee retains negative discretion to reduce the award below these maximum amounts payable. Using this negative discretion, the Committee may reduce the payout to an amount determined in accordance with the executive’s annual incentive target and the Company’s performance against the performance targets established under the BIP, as described below, and may take into consideration the performance of a named executive officer’s business unit or function and the executive’s individual performance. The Compensation Committee does not have discretion to increase the size of annual incentive awards under the EIP.</w:t>
      </w:r>
    </w:p>
    <w:p>
      <w:pPr>
        <w:spacing w:after="0" w:line="93" w:lineRule="exact"/>
        <w:rPr>
          <w:sz w:val="20"/>
          <w:szCs w:val="20"/>
          <w:color w:val="auto"/>
        </w:rPr>
      </w:pPr>
    </w:p>
    <w:p>
      <w:pPr>
        <w:ind w:left="220" w:right="40"/>
        <w:spacing w:after="0" w:line="237" w:lineRule="auto"/>
        <w:rPr>
          <w:sz w:val="20"/>
          <w:szCs w:val="20"/>
          <w:color w:val="auto"/>
        </w:rPr>
      </w:pPr>
      <w:r>
        <w:rPr>
          <w:rFonts w:ascii="Arial" w:cs="Arial" w:eastAsia="Arial" w:hAnsi="Arial"/>
          <w:sz w:val="18"/>
          <w:szCs w:val="18"/>
          <w:color w:val="auto"/>
        </w:rPr>
        <w:t>In February 2019, the Compensation Committee decided to terminate the EIP, in light of the changes to IRC Section 162(m) under U.S. Tax Reform. As a result of these changes to IRC Section 162(m), the EIP no longer facilitates the tax deductibility of certain awards to executive officers. Beginning with awards for the 2019 fiscal year, annual incentive awards to executive officers will be administered under the BIP.</w:t>
      </w:r>
    </w:p>
    <w:p>
      <w:pPr>
        <w:spacing w:after="0" w:line="95" w:lineRule="exact"/>
        <w:rPr>
          <w:sz w:val="20"/>
          <w:szCs w:val="20"/>
          <w:color w:val="auto"/>
        </w:rPr>
      </w:pPr>
    </w:p>
    <w:p>
      <w:pPr>
        <w:ind w:left="220" w:right="20"/>
        <w:spacing w:after="0" w:line="237" w:lineRule="auto"/>
        <w:rPr>
          <w:sz w:val="20"/>
          <w:szCs w:val="20"/>
          <w:color w:val="auto"/>
        </w:rPr>
      </w:pPr>
      <w:r>
        <w:rPr>
          <w:rFonts w:ascii="Arial" w:cs="Arial" w:eastAsia="Arial" w:hAnsi="Arial"/>
          <w:sz w:val="18"/>
          <w:szCs w:val="18"/>
          <w:color w:val="auto"/>
        </w:rPr>
        <w:t>The Compensation Committee sets annual incentive performance metrics and goal(s) under the BIP in February of the performance year. In doing so, the Compensation Committee selects one or more metrics that it believes are aligned with the Company’s financial and strategic goals for the year and selects a target level of performance for each metric that the Compensation Committee believes represents a rigorous goal.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Compensation Committee generally considers and approves actual annual incentive payments for the prior fiscal year in February. At the same time, the Compensation Committee certifies the amount of non-GAAP operating profit for the plan year and certifies that the awards to be paid to the named executive officers do not exceed the maximum awards permitted under the EIP. For 2018, the Compensation Committee used its negative discretion under the EIP to reduce the annual incentive payouts to named executive officers to a level consistent with the Company’s performance against the pre-established BIP performance goals and each executive’s individual performance. The Compensation Committee approves annual incentive payments to all EIP participants with the exception of the Chief Executive Officer. The Board approves any annual incentive payments to the Chief Executive Officer upon the recommendation of the Compensation Committee. In determining annual incentive payouts, the Compensation Committee and the Board consider Company financial results, the performance of the Chief Executive Officer and the other named executive officers and the recommendations of the Chief Executive Officer (with respect to the other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-3507740</wp:posOffset>
            </wp:positionV>
            <wp:extent cx="72891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Annual Incentive Goal Setting</w:t>
      </w:r>
    </w:p>
    <w:p>
      <w:pPr>
        <w:spacing w:after="0" w:line="126"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The Compensation Committee approved two performance metrics for 2018 annual incentives under the BIP: non-GAAP operating profit (75% weighting) and non-GAAP revenue (25% weighting) in order to ensure focus on improving profitability while at the same time growing the Company’s business. The named executive officers’ 2018 annual incentive awards are tied to the achievement of the non-GAAP operating profit and revenue goals as set forth below. The Compensation Committee believes that these goals represent rigorous objectives for our named executive officers and align with shareholder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-2660650</wp:posOffset>
            </wp:positionH>
            <wp:positionV relativeFrom="paragraph">
              <wp:posOffset>243205</wp:posOffset>
            </wp:positionV>
            <wp:extent cx="5188585" cy="21869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88585" cy="21869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60" w:space="360"/>
            <w:col w:w="5380"/>
          </w:cols>
          <w:pgMar w:left="240" w:top="459"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200" w:type="dxa"/>
        <w:tblCellMar>
          <w:top w:w="0" w:type="dxa"/>
          <w:left w:w="0" w:type="dxa"/>
          <w:bottom w:w="0" w:type="dxa"/>
          <w:right w:w="0" w:type="dxa"/>
        </w:tblCellMar>
      </w:tblPr>
      <w:tr>
        <w:trPr>
          <w:trHeight w:val="297"/>
        </w:trPr>
        <w:tc>
          <w:tcPr>
            <w:tcW w:w="360" w:type="dxa"/>
            <w:vAlign w:val="bottom"/>
            <w:tcBorders>
              <w:right w:val="single" w:sz="8" w:color="0033A0"/>
            </w:tcBorders>
          </w:tcPr>
          <w:p>
            <w:pPr>
              <w:jc w:val="right"/>
              <w:ind w:right="70"/>
              <w:spacing w:after="0"/>
              <w:rPr>
                <w:sz w:val="20"/>
                <w:szCs w:val="20"/>
                <w:color w:val="auto"/>
              </w:rPr>
            </w:pPr>
            <w:r>
              <w:rPr>
                <w:rFonts w:ascii="Arial" w:cs="Arial" w:eastAsia="Arial" w:hAnsi="Arial"/>
                <w:sz w:val="18"/>
                <w:szCs w:val="18"/>
                <w:b w:val="1"/>
                <w:bCs w:val="1"/>
                <w:color w:val="auto"/>
                <w:w w:val="89"/>
              </w:rPr>
              <w:t>32</w:t>
            </w:r>
          </w:p>
        </w:tc>
        <w:tc>
          <w:tcPr>
            <w:tcW w:w="3380" w:type="dxa"/>
            <w:vAlign w:val="bottom"/>
          </w:tcPr>
          <w:p>
            <w:pPr>
              <w:ind w:left="1600"/>
              <w:spacing w:after="0"/>
              <w:rPr>
                <w:sz w:val="20"/>
                <w:szCs w:val="20"/>
                <w:color w:val="auto"/>
              </w:rPr>
            </w:pPr>
            <w:r>
              <w:rPr>
                <w:rFonts w:ascii="Arial" w:cs="Arial" w:eastAsia="Arial" w:hAnsi="Arial"/>
                <w:sz w:val="18"/>
                <w:szCs w:val="18"/>
                <w:i w:val="1"/>
                <w:iCs w:val="1"/>
                <w:color w:val="auto"/>
                <w:w w:val="98"/>
              </w:rPr>
              <w:t>2019 Proxy Statement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-170815</wp:posOffset>
            </wp:positionV>
            <wp:extent cx="720090" cy="1289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0090" cy="128905"/>
                    </a:xfrm>
                    <a:prstGeom prst="rect">
                      <a:avLst/>
                    </a:prstGeom>
                    <a:noFill/>
                  </pic:spPr>
                </pic:pic>
              </a:graphicData>
            </a:graphic>
          </wp:anchor>
        </w:drawing>
      </w:r>
    </w:p>
    <w:p>
      <w:pPr>
        <w:sectPr>
          <w:pgSz w:w="11900" w:h="16838" w:orient="portrait"/>
          <w:cols w:equalWidth="0" w:num="1">
            <w:col w:w="11200"/>
          </w:cols>
          <w:pgMar w:left="240" w:top="459" w:right="45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right"/>
        <w:ind w:right="20"/>
        <w:spacing w:after="0"/>
        <w:rPr>
          <w:sz w:val="20"/>
          <w:szCs w:val="20"/>
          <w:color w:val="auto"/>
        </w:rPr>
      </w:pPr>
      <w:r>
        <w:rPr>
          <w:rFonts w:ascii="Arial" w:cs="Arial" w:eastAsia="Arial" w:hAnsi="Arial"/>
          <w:sz w:val="20"/>
          <w:szCs w:val="20"/>
          <w:b w:val="1"/>
          <w:bCs w:val="1"/>
          <w:color w:val="0033A0"/>
        </w:rPr>
        <w:t>COMPENSATION DISCUSSION AND ANALYSIS</w:t>
      </w:r>
    </w:p>
    <w:p>
      <w:pPr>
        <w:sectPr>
          <w:pgSz w:w="11900" w:h="16838" w:orient="portrait"/>
          <w:cols w:equalWidth="0" w:num="1">
            <w:col w:w="11240"/>
          </w:cols>
          <w:pgMar w:left="240" w:top="459" w:right="419" w:bottom="1440" w:gutter="0" w:footer="0" w:header="0"/>
        </w:sectPr>
      </w:pPr>
    </w:p>
    <w:p>
      <w:pPr>
        <w:spacing w:after="0" w:line="337" w:lineRule="exact"/>
        <w:rPr>
          <w:sz w:val="20"/>
          <w:szCs w:val="20"/>
          <w:color w:val="auto"/>
        </w:rPr>
      </w:pPr>
    </w:p>
    <w:p>
      <w:pPr>
        <w:ind w:left="200"/>
        <w:spacing w:after="0" w:line="251" w:lineRule="auto"/>
        <w:rPr>
          <w:sz w:val="20"/>
          <w:szCs w:val="20"/>
          <w:color w:val="auto"/>
        </w:rPr>
      </w:pPr>
      <w:r>
        <w:rPr>
          <w:rFonts w:ascii="Arial" w:cs="Arial" w:eastAsia="Arial" w:hAnsi="Arial"/>
          <w:sz w:val="17"/>
          <w:szCs w:val="17"/>
          <w:color w:val="auto"/>
        </w:rPr>
        <w:t>Each year, in connection with the approval of the annual incentive performance goals, the Compensation Committee also approves specific adjustments that the Compensation Committee may make at the end of the year to the performance results against the goal. In 2018, the Compensation Committee determined that, when considering performance against the 2018 non-GAAP operating profit and revenue performance goals, it would exclude the positive or negative impact of acquisitions and divestitures and the positive or negative impact of foreign exchange translation versus the foreign exchange rates used in the Company’s 2018 business plan, except for highly inflationary countries, where 50% of such foreign exchange translation would be excluded.</w:t>
      </w:r>
    </w:p>
    <w:p>
      <w:pPr>
        <w:spacing w:after="0" w:line="86" w:lineRule="exact"/>
        <w:rPr>
          <w:sz w:val="20"/>
          <w:szCs w:val="20"/>
          <w:color w:val="auto"/>
        </w:rPr>
      </w:pPr>
    </w:p>
    <w:p>
      <w:pPr>
        <w:ind w:left="200" w:right="200"/>
        <w:spacing w:after="0" w:line="239" w:lineRule="auto"/>
        <w:rPr>
          <w:sz w:val="20"/>
          <w:szCs w:val="20"/>
          <w:color w:val="auto"/>
        </w:rPr>
      </w:pPr>
      <w:r>
        <w:rPr>
          <w:rFonts w:ascii="Arial" w:cs="Arial" w:eastAsia="Arial" w:hAnsi="Arial"/>
          <w:sz w:val="18"/>
          <w:szCs w:val="18"/>
          <w:color w:val="auto"/>
        </w:rPr>
        <w:t>The Compensation Committee applies straight-line interpolation for determining award payouts when performance results fall between the goals above. For example, achievement of $373.75 million non-GAAP</w:t>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color w:val="auto"/>
        </w:rPr>
        <w:t>operating profit would equate to a payout factor of 125% for that performance metric.</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Annual Incentive Target Award Opportunities</w:t>
      </w:r>
    </w:p>
    <w:p>
      <w:pPr>
        <w:spacing w:after="0" w:line="126"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In February 2018, the Compensation Committee established 2018 annual incentive targets for the named executive officers. The annual incentive target is expressed as a percentage of annual base salary and is designed to be indicative of the incentive payment that each named executive officer would expect to receive on the basis of strong performance by the Company against the performance goals for the BIP. Annual incentive targets for 2018 were approved for each of the named executive officers by the Compensation Committee as set forth below. The Committee approved an increase in Mr. Domanico’s annual incentive target for 2018 to better align his compensation with the market data for his role. Incentive payments cannot exceed 200% of each named executive officer’s annual incentive target.</w:t>
      </w:r>
    </w:p>
    <w:p>
      <w:pPr>
        <w:spacing w:after="0" w:line="200" w:lineRule="exact"/>
        <w:rPr>
          <w:sz w:val="20"/>
          <w:szCs w:val="20"/>
          <w:color w:val="auto"/>
        </w:rPr>
      </w:pPr>
    </w:p>
    <w:p>
      <w:pPr>
        <w:sectPr>
          <w:pgSz w:w="11900" w:h="16838" w:orient="portrait"/>
          <w:cols w:equalWidth="0" w:num="2">
            <w:col w:w="5480" w:space="340"/>
            <w:col w:w="5420"/>
          </w:cols>
          <w:pgMar w:left="240" w:top="459" w:right="419" w:bottom="1440" w:gutter="0" w:footer="0" w:header="0"/>
          <w:type w:val="continuous"/>
        </w:sectPr>
      </w:pPr>
    </w:p>
    <w:p>
      <w:pPr>
        <w:spacing w:after="0" w:line="167"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3240" w:type="dxa"/>
            <w:vAlign w:val="bottom"/>
          </w:tcPr>
          <w:p>
            <w:pPr>
              <w:spacing w:after="0"/>
              <w:rPr>
                <w:sz w:val="14"/>
                <w:szCs w:val="14"/>
                <w:color w:val="auto"/>
              </w:rPr>
            </w:pPr>
          </w:p>
        </w:tc>
        <w:tc>
          <w:tcPr>
            <w:tcW w:w="1820" w:type="dxa"/>
            <w:vAlign w:val="bottom"/>
          </w:tcPr>
          <w:p>
            <w:pPr>
              <w:jc w:val="right"/>
              <w:ind w:right="435"/>
              <w:spacing w:after="0"/>
              <w:rPr>
                <w:sz w:val="20"/>
                <w:szCs w:val="20"/>
                <w:color w:val="auto"/>
              </w:rPr>
            </w:pPr>
            <w:r>
              <w:rPr>
                <w:rFonts w:ascii="Arial" w:cs="Arial" w:eastAsia="Arial" w:hAnsi="Arial"/>
                <w:sz w:val="14"/>
                <w:szCs w:val="14"/>
                <w:b w:val="1"/>
                <w:bCs w:val="1"/>
                <w:color w:val="0033A0"/>
              </w:rPr>
              <w:t>2017 Annual</w:t>
            </w:r>
          </w:p>
        </w:tc>
        <w:tc>
          <w:tcPr>
            <w:tcW w:w="2020" w:type="dxa"/>
            <w:vAlign w:val="bottom"/>
          </w:tcPr>
          <w:p>
            <w:pPr>
              <w:jc w:val="right"/>
              <w:ind w:right="415"/>
              <w:spacing w:after="0"/>
              <w:rPr>
                <w:sz w:val="20"/>
                <w:szCs w:val="20"/>
                <w:color w:val="auto"/>
              </w:rPr>
            </w:pPr>
            <w:r>
              <w:rPr>
                <w:rFonts w:ascii="Arial" w:cs="Arial" w:eastAsia="Arial" w:hAnsi="Arial"/>
                <w:sz w:val="14"/>
                <w:szCs w:val="14"/>
                <w:b w:val="1"/>
                <w:bCs w:val="1"/>
                <w:color w:val="0033A0"/>
              </w:rPr>
              <w:t>Target as a % of</w:t>
            </w:r>
          </w:p>
        </w:tc>
        <w:tc>
          <w:tcPr>
            <w:tcW w:w="2100" w:type="dxa"/>
            <w:vAlign w:val="bottom"/>
          </w:tcPr>
          <w:p>
            <w:pPr>
              <w:jc w:val="right"/>
              <w:ind w:right="695"/>
              <w:spacing w:after="0"/>
              <w:rPr>
                <w:sz w:val="20"/>
                <w:szCs w:val="20"/>
                <w:color w:val="auto"/>
              </w:rPr>
            </w:pPr>
            <w:r>
              <w:rPr>
                <w:rFonts w:ascii="Arial" w:cs="Arial" w:eastAsia="Arial" w:hAnsi="Arial"/>
                <w:sz w:val="14"/>
                <w:szCs w:val="14"/>
                <w:b w:val="1"/>
                <w:bCs w:val="1"/>
                <w:color w:val="0033A0"/>
              </w:rPr>
              <w:t>2018 Annual</w:t>
            </w:r>
          </w:p>
        </w:tc>
        <w:tc>
          <w:tcPr>
            <w:tcW w:w="1840" w:type="dxa"/>
            <w:vAlign w:val="bottom"/>
          </w:tcPr>
          <w:p>
            <w:pPr>
              <w:jc w:val="right"/>
              <w:ind w:right="175"/>
              <w:spacing w:after="0"/>
              <w:rPr>
                <w:sz w:val="20"/>
                <w:szCs w:val="20"/>
                <w:color w:val="auto"/>
              </w:rPr>
            </w:pPr>
            <w:r>
              <w:rPr>
                <w:rFonts w:ascii="Arial" w:cs="Arial" w:eastAsia="Arial" w:hAnsi="Arial"/>
                <w:sz w:val="14"/>
                <w:szCs w:val="14"/>
                <w:b w:val="1"/>
                <w:bCs w:val="1"/>
                <w:color w:val="0033A0"/>
              </w:rPr>
              <w:t>Target as a %</w:t>
            </w:r>
          </w:p>
        </w:tc>
      </w:tr>
      <w:tr>
        <w:trPr>
          <w:trHeight w:val="175"/>
        </w:trPr>
        <w:tc>
          <w:tcPr>
            <w:tcW w:w="3240" w:type="dxa"/>
            <w:vAlign w:val="bottom"/>
            <w:tcBorders>
              <w:bottom w:val="single" w:sz="8" w:color="0033A0"/>
            </w:tcBorders>
          </w:tcPr>
          <w:p>
            <w:pPr>
              <w:ind w:left="60"/>
              <w:spacing w:after="0"/>
              <w:rPr>
                <w:sz w:val="20"/>
                <w:szCs w:val="20"/>
                <w:color w:val="auto"/>
              </w:rPr>
            </w:pPr>
            <w:r>
              <w:rPr>
                <w:rFonts w:ascii="Arial" w:cs="Arial" w:eastAsia="Arial" w:hAnsi="Arial"/>
                <w:sz w:val="14"/>
                <w:szCs w:val="14"/>
                <w:b w:val="1"/>
                <w:bCs w:val="1"/>
                <w:color w:val="0033A0"/>
              </w:rPr>
              <w:t>Named Executive Officer</w:t>
            </w:r>
          </w:p>
        </w:tc>
        <w:tc>
          <w:tcPr>
            <w:tcW w:w="1820" w:type="dxa"/>
            <w:vAlign w:val="bottom"/>
            <w:tcBorders>
              <w:bottom w:val="single" w:sz="8" w:color="0033A0"/>
            </w:tcBorders>
          </w:tcPr>
          <w:p>
            <w:pPr>
              <w:jc w:val="right"/>
              <w:ind w:right="315"/>
              <w:spacing w:after="0"/>
              <w:rPr>
                <w:sz w:val="20"/>
                <w:szCs w:val="20"/>
                <w:color w:val="auto"/>
              </w:rPr>
            </w:pPr>
            <w:r>
              <w:rPr>
                <w:rFonts w:ascii="Arial" w:cs="Arial" w:eastAsia="Arial" w:hAnsi="Arial"/>
                <w:sz w:val="14"/>
                <w:szCs w:val="14"/>
                <w:b w:val="1"/>
                <w:bCs w:val="1"/>
                <w:color w:val="0033A0"/>
              </w:rPr>
              <w:t>Incentive Target</w:t>
            </w:r>
          </w:p>
        </w:tc>
        <w:tc>
          <w:tcPr>
            <w:tcW w:w="2020" w:type="dxa"/>
            <w:vAlign w:val="bottom"/>
            <w:tcBorders>
              <w:bottom w:val="single" w:sz="8" w:color="0033A0"/>
            </w:tcBorders>
          </w:tcPr>
          <w:p>
            <w:pPr>
              <w:jc w:val="right"/>
              <w:ind w:right="575"/>
              <w:spacing w:after="0"/>
              <w:rPr>
                <w:sz w:val="20"/>
                <w:szCs w:val="20"/>
                <w:color w:val="auto"/>
              </w:rPr>
            </w:pPr>
            <w:r>
              <w:rPr>
                <w:rFonts w:ascii="Arial" w:cs="Arial" w:eastAsia="Arial" w:hAnsi="Arial"/>
                <w:sz w:val="14"/>
                <w:szCs w:val="14"/>
                <w:b w:val="1"/>
                <w:bCs w:val="1"/>
                <w:color w:val="0033A0"/>
              </w:rPr>
              <w:t>2017 Salary</w:t>
            </w:r>
          </w:p>
        </w:tc>
        <w:tc>
          <w:tcPr>
            <w:tcW w:w="2100" w:type="dxa"/>
            <w:vAlign w:val="bottom"/>
            <w:tcBorders>
              <w:bottom w:val="single" w:sz="8" w:color="0033A0"/>
            </w:tcBorders>
          </w:tcPr>
          <w:p>
            <w:pPr>
              <w:jc w:val="right"/>
              <w:ind w:right="555"/>
              <w:spacing w:after="0"/>
              <w:rPr>
                <w:sz w:val="20"/>
                <w:szCs w:val="20"/>
                <w:color w:val="auto"/>
              </w:rPr>
            </w:pPr>
            <w:r>
              <w:rPr>
                <w:rFonts w:ascii="Arial" w:cs="Arial" w:eastAsia="Arial" w:hAnsi="Arial"/>
                <w:sz w:val="14"/>
                <w:szCs w:val="14"/>
                <w:b w:val="1"/>
                <w:bCs w:val="1"/>
                <w:color w:val="0033A0"/>
              </w:rPr>
              <w:t>Incentive Target</w:t>
            </w:r>
          </w:p>
        </w:tc>
        <w:tc>
          <w:tcPr>
            <w:tcW w:w="1840" w:type="dxa"/>
            <w:vAlign w:val="bottom"/>
            <w:tcBorders>
              <w:bottom w:val="single" w:sz="8" w:color="0033A0"/>
            </w:tcBorders>
          </w:tcPr>
          <w:p>
            <w:pPr>
              <w:jc w:val="right"/>
              <w:ind w:right="155"/>
              <w:spacing w:after="0"/>
              <w:rPr>
                <w:sz w:val="20"/>
                <w:szCs w:val="20"/>
                <w:color w:val="auto"/>
              </w:rPr>
            </w:pPr>
            <w:r>
              <w:rPr>
                <w:rFonts w:ascii="Arial" w:cs="Arial" w:eastAsia="Arial" w:hAnsi="Arial"/>
                <w:sz w:val="14"/>
                <w:szCs w:val="14"/>
                <w:b w:val="1"/>
                <w:bCs w:val="1"/>
                <w:color w:val="0033A0"/>
              </w:rPr>
              <w:t>of 2018 Salary</w:t>
            </w:r>
          </w:p>
        </w:tc>
      </w:tr>
      <w:tr>
        <w:trPr>
          <w:trHeight w:val="21"/>
        </w:trPr>
        <w:tc>
          <w:tcPr>
            <w:tcW w:w="32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277"/>
        </w:trPr>
        <w:tc>
          <w:tcPr>
            <w:tcW w:w="3240" w:type="dxa"/>
            <w:vAlign w:val="bottom"/>
            <w:tcBorders>
              <w:bottom w:val="single" w:sz="8" w:color="E5EAF5"/>
            </w:tcBorders>
            <w:shd w:val="clear" w:color="auto" w:fill="E5EAF5"/>
          </w:tcPr>
          <w:p>
            <w:pPr>
              <w:ind w:left="60"/>
              <w:spacing w:after="0"/>
              <w:rPr>
                <w:sz w:val="20"/>
                <w:szCs w:val="20"/>
                <w:color w:val="auto"/>
              </w:rPr>
            </w:pPr>
            <w:r>
              <w:rPr>
                <w:rFonts w:ascii="Arial" w:cs="Arial" w:eastAsia="Arial" w:hAnsi="Arial"/>
                <w:sz w:val="18"/>
                <w:szCs w:val="18"/>
                <w:color w:val="auto"/>
              </w:rPr>
              <w:t>Mr. Pertz</w:t>
            </w:r>
          </w:p>
        </w:tc>
        <w:tc>
          <w:tcPr>
            <w:tcW w:w="1820" w:type="dxa"/>
            <w:vAlign w:val="bottom"/>
            <w:tcBorders>
              <w:bottom w:val="single" w:sz="8" w:color="E5EAF5"/>
            </w:tcBorders>
            <w:shd w:val="clear" w:color="auto" w:fill="E5EAF5"/>
          </w:tcPr>
          <w:p>
            <w:pPr>
              <w:jc w:val="right"/>
              <w:ind w:right="295"/>
              <w:spacing w:after="0"/>
              <w:rPr>
                <w:sz w:val="20"/>
                <w:szCs w:val="20"/>
                <w:color w:val="auto"/>
              </w:rPr>
            </w:pPr>
            <w:r>
              <w:rPr>
                <w:rFonts w:ascii="Arial" w:cs="Arial" w:eastAsia="Arial" w:hAnsi="Arial"/>
                <w:sz w:val="18"/>
                <w:szCs w:val="18"/>
                <w:color w:val="auto"/>
              </w:rPr>
              <w:t>$  1,187,500</w:t>
            </w:r>
          </w:p>
        </w:tc>
        <w:tc>
          <w:tcPr>
            <w:tcW w:w="2020" w:type="dxa"/>
            <w:vAlign w:val="bottom"/>
            <w:tcBorders>
              <w:bottom w:val="single" w:sz="8" w:color="E5EAF5"/>
            </w:tcBorders>
            <w:shd w:val="clear" w:color="auto" w:fill="E5EAF5"/>
          </w:tcPr>
          <w:p>
            <w:pPr>
              <w:jc w:val="right"/>
              <w:ind w:right="255"/>
              <w:spacing w:after="0"/>
              <w:rPr>
                <w:sz w:val="20"/>
                <w:szCs w:val="20"/>
                <w:color w:val="auto"/>
              </w:rPr>
            </w:pPr>
            <w:r>
              <w:rPr>
                <w:rFonts w:ascii="Arial" w:cs="Arial" w:eastAsia="Arial" w:hAnsi="Arial"/>
                <w:sz w:val="18"/>
                <w:szCs w:val="18"/>
                <w:color w:val="auto"/>
              </w:rPr>
              <w:t>125%</w:t>
            </w:r>
          </w:p>
        </w:tc>
        <w:tc>
          <w:tcPr>
            <w:tcW w:w="2100" w:type="dxa"/>
            <w:vAlign w:val="bottom"/>
            <w:tcBorders>
              <w:bottom w:val="single" w:sz="8" w:color="E5EAF5"/>
            </w:tcBorders>
            <w:shd w:val="clear" w:color="auto" w:fill="E5EAF5"/>
          </w:tcPr>
          <w:p>
            <w:pPr>
              <w:jc w:val="right"/>
              <w:ind w:right="555"/>
              <w:spacing w:after="0"/>
              <w:rPr>
                <w:sz w:val="20"/>
                <w:szCs w:val="20"/>
                <w:color w:val="auto"/>
              </w:rPr>
            </w:pPr>
            <w:r>
              <w:rPr>
                <w:rFonts w:ascii="Arial" w:cs="Arial" w:eastAsia="Arial" w:hAnsi="Arial"/>
                <w:sz w:val="18"/>
                <w:szCs w:val="18"/>
                <w:color w:val="auto"/>
              </w:rPr>
              <w:t>$  1,225,000</w:t>
            </w:r>
          </w:p>
        </w:tc>
        <w:tc>
          <w:tcPr>
            <w:tcW w:w="1840" w:type="dxa"/>
            <w:vAlign w:val="bottom"/>
            <w:tcBorders>
              <w:bottom w:val="single" w:sz="8" w:color="E5EAF5"/>
            </w:tcBorders>
            <w:shd w:val="clear" w:color="auto" w:fill="E5EAF5"/>
          </w:tcPr>
          <w:p>
            <w:pPr>
              <w:jc w:val="right"/>
              <w:spacing w:after="0"/>
              <w:rPr>
                <w:sz w:val="20"/>
                <w:szCs w:val="20"/>
                <w:color w:val="auto"/>
              </w:rPr>
            </w:pPr>
            <w:r>
              <w:rPr>
                <w:rFonts w:ascii="Arial" w:cs="Arial" w:eastAsia="Arial" w:hAnsi="Arial"/>
                <w:sz w:val="18"/>
                <w:szCs w:val="18"/>
                <w:color w:val="auto"/>
              </w:rPr>
              <w:t>125%</w:t>
            </w:r>
          </w:p>
        </w:tc>
      </w:tr>
      <w:tr>
        <w:trPr>
          <w:trHeight w:val="217"/>
        </w:trPr>
        <w:tc>
          <w:tcPr>
            <w:tcW w:w="3240" w:type="dxa"/>
            <w:vAlign w:val="bottom"/>
          </w:tcPr>
          <w:p>
            <w:pPr>
              <w:ind w:left="60"/>
              <w:spacing w:after="0"/>
              <w:rPr>
                <w:sz w:val="20"/>
                <w:szCs w:val="20"/>
                <w:color w:val="auto"/>
              </w:rPr>
            </w:pPr>
            <w:r>
              <w:rPr>
                <w:rFonts w:ascii="Arial" w:cs="Arial" w:eastAsia="Arial" w:hAnsi="Arial"/>
                <w:sz w:val="18"/>
                <w:szCs w:val="18"/>
                <w:color w:val="auto"/>
              </w:rPr>
              <w:t>Mr. Domanico</w:t>
            </w:r>
          </w:p>
        </w:tc>
        <w:tc>
          <w:tcPr>
            <w:tcW w:w="1820" w:type="dxa"/>
            <w:vAlign w:val="bottom"/>
          </w:tcPr>
          <w:p>
            <w:pPr>
              <w:jc w:val="right"/>
              <w:ind w:right="295"/>
              <w:spacing w:after="0"/>
              <w:rPr>
                <w:sz w:val="20"/>
                <w:szCs w:val="20"/>
                <w:color w:val="auto"/>
              </w:rPr>
            </w:pPr>
            <w:r>
              <w:rPr>
                <w:rFonts w:ascii="Arial" w:cs="Arial" w:eastAsia="Arial" w:hAnsi="Arial"/>
                <w:sz w:val="18"/>
                <w:szCs w:val="18"/>
                <w:color w:val="auto"/>
              </w:rPr>
              <w:t>460,000</w:t>
            </w:r>
          </w:p>
        </w:tc>
        <w:tc>
          <w:tcPr>
            <w:tcW w:w="2020" w:type="dxa"/>
            <w:vAlign w:val="bottom"/>
          </w:tcPr>
          <w:p>
            <w:pPr>
              <w:jc w:val="right"/>
              <w:ind w:right="255"/>
              <w:spacing w:after="0"/>
              <w:rPr>
                <w:sz w:val="20"/>
                <w:szCs w:val="20"/>
                <w:color w:val="auto"/>
              </w:rPr>
            </w:pPr>
            <w:r>
              <w:rPr>
                <w:rFonts w:ascii="Arial" w:cs="Arial" w:eastAsia="Arial" w:hAnsi="Arial"/>
                <w:sz w:val="18"/>
                <w:szCs w:val="18"/>
                <w:color w:val="auto"/>
              </w:rPr>
              <w:t>80%</w:t>
            </w:r>
          </w:p>
        </w:tc>
        <w:tc>
          <w:tcPr>
            <w:tcW w:w="2100" w:type="dxa"/>
            <w:vAlign w:val="bottom"/>
          </w:tcPr>
          <w:p>
            <w:pPr>
              <w:jc w:val="right"/>
              <w:ind w:right="555"/>
              <w:spacing w:after="0"/>
              <w:rPr>
                <w:sz w:val="20"/>
                <w:szCs w:val="20"/>
                <w:color w:val="auto"/>
              </w:rPr>
            </w:pPr>
            <w:r>
              <w:rPr>
                <w:rFonts w:ascii="Arial" w:cs="Arial" w:eastAsia="Arial" w:hAnsi="Arial"/>
                <w:sz w:val="18"/>
                <w:szCs w:val="18"/>
                <w:color w:val="auto"/>
              </w:rPr>
              <w:t>510,000</w:t>
            </w:r>
          </w:p>
        </w:tc>
        <w:tc>
          <w:tcPr>
            <w:tcW w:w="184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6"/>
        </w:trPr>
        <w:tc>
          <w:tcPr>
            <w:tcW w:w="3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23"/>
        </w:trPr>
        <w:tc>
          <w:tcPr>
            <w:tcW w:w="3240" w:type="dxa"/>
            <w:vAlign w:val="bottom"/>
            <w:tcBorders>
              <w:bottom w:val="single" w:sz="8" w:color="E5EAF5"/>
            </w:tcBorders>
            <w:shd w:val="clear" w:color="auto" w:fill="E5EAF5"/>
          </w:tcPr>
          <w:p>
            <w:pPr>
              <w:ind w:left="60"/>
              <w:spacing w:after="0" w:line="202" w:lineRule="exact"/>
              <w:rPr>
                <w:sz w:val="20"/>
                <w:szCs w:val="20"/>
                <w:color w:val="auto"/>
              </w:rPr>
            </w:pPr>
            <w:r>
              <w:rPr>
                <w:rFonts w:ascii="Arial" w:cs="Arial" w:eastAsia="Arial" w:hAnsi="Arial"/>
                <w:sz w:val="18"/>
                <w:szCs w:val="18"/>
                <w:color w:val="auto"/>
              </w:rPr>
              <w:t>Mr. Beech</w:t>
            </w:r>
          </w:p>
        </w:tc>
        <w:tc>
          <w:tcPr>
            <w:tcW w:w="1820" w:type="dxa"/>
            <w:vAlign w:val="bottom"/>
            <w:tcBorders>
              <w:bottom w:val="single" w:sz="8" w:color="E5EAF5"/>
            </w:tcBorders>
            <w:shd w:val="clear" w:color="auto" w:fill="E5EAF5"/>
          </w:tcPr>
          <w:p>
            <w:pPr>
              <w:jc w:val="right"/>
              <w:ind w:right="295"/>
              <w:spacing w:after="0" w:line="202" w:lineRule="exact"/>
              <w:rPr>
                <w:sz w:val="20"/>
                <w:szCs w:val="20"/>
                <w:color w:val="auto"/>
              </w:rPr>
            </w:pPr>
            <w:r>
              <w:rPr>
                <w:rFonts w:ascii="Arial" w:cs="Arial" w:eastAsia="Arial" w:hAnsi="Arial"/>
                <w:sz w:val="18"/>
                <w:szCs w:val="18"/>
                <w:color w:val="auto"/>
              </w:rPr>
              <w:t>312,000</w:t>
            </w:r>
          </w:p>
        </w:tc>
        <w:tc>
          <w:tcPr>
            <w:tcW w:w="2020" w:type="dxa"/>
            <w:vAlign w:val="bottom"/>
            <w:tcBorders>
              <w:bottom w:val="single" w:sz="8" w:color="E5EAF5"/>
            </w:tcBorders>
            <w:shd w:val="clear" w:color="auto" w:fill="E5EAF5"/>
          </w:tcPr>
          <w:p>
            <w:pPr>
              <w:jc w:val="right"/>
              <w:ind w:right="255"/>
              <w:spacing w:after="0" w:line="202" w:lineRule="exact"/>
              <w:rPr>
                <w:sz w:val="20"/>
                <w:szCs w:val="20"/>
                <w:color w:val="auto"/>
              </w:rPr>
            </w:pPr>
            <w:r>
              <w:rPr>
                <w:rFonts w:ascii="Arial" w:cs="Arial" w:eastAsia="Arial" w:hAnsi="Arial"/>
                <w:sz w:val="18"/>
                <w:szCs w:val="18"/>
                <w:color w:val="auto"/>
              </w:rPr>
              <w:t>65%</w:t>
            </w:r>
          </w:p>
        </w:tc>
        <w:tc>
          <w:tcPr>
            <w:tcW w:w="2100" w:type="dxa"/>
            <w:vAlign w:val="bottom"/>
            <w:tcBorders>
              <w:bottom w:val="single" w:sz="8" w:color="E5EAF5"/>
            </w:tcBorders>
            <w:shd w:val="clear" w:color="auto" w:fill="E5EAF5"/>
          </w:tcPr>
          <w:p>
            <w:pPr>
              <w:jc w:val="right"/>
              <w:ind w:right="555"/>
              <w:spacing w:after="0" w:line="202" w:lineRule="exact"/>
              <w:rPr>
                <w:sz w:val="20"/>
                <w:szCs w:val="20"/>
                <w:color w:val="auto"/>
              </w:rPr>
            </w:pPr>
            <w:r>
              <w:rPr>
                <w:rFonts w:ascii="Arial" w:cs="Arial" w:eastAsia="Arial" w:hAnsi="Arial"/>
                <w:sz w:val="18"/>
                <w:szCs w:val="18"/>
                <w:color w:val="auto"/>
              </w:rPr>
              <w:t>321,100</w:t>
            </w:r>
          </w:p>
        </w:tc>
        <w:tc>
          <w:tcPr>
            <w:tcW w:w="1840" w:type="dxa"/>
            <w:vAlign w:val="bottom"/>
            <w:tcBorders>
              <w:bottom w:val="single" w:sz="8" w:color="E5EAF5"/>
            </w:tcBorders>
            <w:shd w:val="clear" w:color="auto" w:fill="E5EAF5"/>
          </w:tcPr>
          <w:p>
            <w:pPr>
              <w:jc w:val="right"/>
              <w:spacing w:after="0" w:line="202" w:lineRule="exact"/>
              <w:rPr>
                <w:sz w:val="20"/>
                <w:szCs w:val="20"/>
                <w:color w:val="auto"/>
              </w:rPr>
            </w:pPr>
            <w:r>
              <w:rPr>
                <w:rFonts w:ascii="Arial" w:cs="Arial" w:eastAsia="Arial" w:hAnsi="Arial"/>
                <w:sz w:val="18"/>
                <w:szCs w:val="18"/>
                <w:color w:val="auto"/>
              </w:rPr>
              <w:t>65%</w:t>
            </w:r>
          </w:p>
        </w:tc>
      </w:tr>
      <w:tr>
        <w:trPr>
          <w:trHeight w:val="217"/>
        </w:trPr>
        <w:tc>
          <w:tcPr>
            <w:tcW w:w="3240" w:type="dxa"/>
            <w:vAlign w:val="bottom"/>
          </w:tcPr>
          <w:p>
            <w:pPr>
              <w:ind w:left="60"/>
              <w:spacing w:after="0"/>
              <w:rPr>
                <w:sz w:val="20"/>
                <w:szCs w:val="20"/>
                <w:color w:val="auto"/>
              </w:rPr>
            </w:pPr>
            <w:r>
              <w:rPr>
                <w:rFonts w:ascii="Arial" w:cs="Arial" w:eastAsia="Arial" w:hAnsi="Arial"/>
                <w:sz w:val="18"/>
                <w:szCs w:val="18"/>
                <w:color w:val="auto"/>
              </w:rPr>
              <w:t>Mr. Marshall</w:t>
            </w:r>
          </w:p>
        </w:tc>
        <w:tc>
          <w:tcPr>
            <w:tcW w:w="1820" w:type="dxa"/>
            <w:vAlign w:val="bottom"/>
          </w:tcPr>
          <w:p>
            <w:pPr>
              <w:jc w:val="right"/>
              <w:ind w:right="295"/>
              <w:spacing w:after="0"/>
              <w:rPr>
                <w:sz w:val="20"/>
                <w:szCs w:val="20"/>
                <w:color w:val="auto"/>
              </w:rPr>
            </w:pPr>
            <w:r>
              <w:rPr>
                <w:rFonts w:ascii="Arial" w:cs="Arial" w:eastAsia="Arial" w:hAnsi="Arial"/>
                <w:sz w:val="18"/>
                <w:szCs w:val="18"/>
                <w:color w:val="auto"/>
              </w:rPr>
              <w:t>301,015</w:t>
            </w:r>
          </w:p>
        </w:tc>
        <w:tc>
          <w:tcPr>
            <w:tcW w:w="2020" w:type="dxa"/>
            <w:vAlign w:val="bottom"/>
          </w:tcPr>
          <w:p>
            <w:pPr>
              <w:jc w:val="right"/>
              <w:ind w:right="255"/>
              <w:spacing w:after="0"/>
              <w:rPr>
                <w:sz w:val="20"/>
                <w:szCs w:val="20"/>
                <w:color w:val="auto"/>
              </w:rPr>
            </w:pPr>
            <w:r>
              <w:rPr>
                <w:rFonts w:ascii="Arial" w:cs="Arial" w:eastAsia="Arial" w:hAnsi="Arial"/>
                <w:sz w:val="18"/>
                <w:szCs w:val="18"/>
                <w:color w:val="auto"/>
              </w:rPr>
              <w:t>65%</w:t>
            </w:r>
          </w:p>
        </w:tc>
        <w:tc>
          <w:tcPr>
            <w:tcW w:w="2100" w:type="dxa"/>
            <w:vAlign w:val="bottom"/>
          </w:tcPr>
          <w:p>
            <w:pPr>
              <w:jc w:val="right"/>
              <w:ind w:right="555"/>
              <w:spacing w:after="0"/>
              <w:rPr>
                <w:sz w:val="20"/>
                <w:szCs w:val="20"/>
                <w:color w:val="auto"/>
              </w:rPr>
            </w:pPr>
            <w:r>
              <w:rPr>
                <w:rFonts w:ascii="Arial" w:cs="Arial" w:eastAsia="Arial" w:hAnsi="Arial"/>
                <w:sz w:val="18"/>
                <w:szCs w:val="18"/>
                <w:color w:val="auto"/>
              </w:rPr>
              <w:t>331,500</w:t>
            </w:r>
          </w:p>
        </w:tc>
        <w:tc>
          <w:tcPr>
            <w:tcW w:w="18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6"/>
        </w:trPr>
        <w:tc>
          <w:tcPr>
            <w:tcW w:w="3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37"/>
        </w:trPr>
        <w:tc>
          <w:tcPr>
            <w:tcW w:w="3240" w:type="dxa"/>
            <w:vAlign w:val="bottom"/>
            <w:tcBorders>
              <w:bottom w:val="single" w:sz="8" w:color="E5EAF5"/>
            </w:tcBorders>
            <w:shd w:val="clear" w:color="auto" w:fill="E5EAF5"/>
          </w:tcPr>
          <w:p>
            <w:pPr>
              <w:ind w:left="60"/>
              <w:spacing w:after="0" w:line="202" w:lineRule="exact"/>
              <w:rPr>
                <w:sz w:val="20"/>
                <w:szCs w:val="20"/>
                <w:color w:val="auto"/>
              </w:rPr>
            </w:pPr>
            <w:r>
              <w:rPr>
                <w:rFonts w:ascii="Arial" w:cs="Arial" w:eastAsia="Arial" w:hAnsi="Arial"/>
                <w:sz w:val="18"/>
                <w:szCs w:val="18"/>
                <w:color w:val="auto"/>
              </w:rPr>
              <w:t>Mr. Zukerman</w:t>
            </w:r>
          </w:p>
        </w:tc>
        <w:tc>
          <w:tcPr>
            <w:tcW w:w="1820" w:type="dxa"/>
            <w:vAlign w:val="bottom"/>
            <w:tcBorders>
              <w:bottom w:val="single" w:sz="8" w:color="E5EAF5"/>
            </w:tcBorders>
            <w:shd w:val="clear" w:color="auto" w:fill="E5EAF5"/>
          </w:tcPr>
          <w:p>
            <w:pPr>
              <w:jc w:val="right"/>
              <w:ind w:right="295"/>
              <w:spacing w:after="0" w:line="202" w:lineRule="exact"/>
              <w:rPr>
                <w:sz w:val="20"/>
                <w:szCs w:val="20"/>
                <w:color w:val="auto"/>
              </w:rPr>
            </w:pPr>
            <w:r>
              <w:rPr>
                <w:rFonts w:ascii="Arial" w:cs="Arial" w:eastAsia="Arial" w:hAnsi="Arial"/>
                <w:sz w:val="18"/>
                <w:szCs w:val="18"/>
                <w:color w:val="auto"/>
              </w:rPr>
              <w:t>540,000</w:t>
            </w:r>
          </w:p>
        </w:tc>
        <w:tc>
          <w:tcPr>
            <w:tcW w:w="2020" w:type="dxa"/>
            <w:vAlign w:val="bottom"/>
            <w:tcBorders>
              <w:bottom w:val="single" w:sz="8" w:color="E5EAF5"/>
            </w:tcBorders>
            <w:shd w:val="clear" w:color="auto" w:fill="E5EAF5"/>
          </w:tcPr>
          <w:p>
            <w:pPr>
              <w:jc w:val="right"/>
              <w:ind w:right="255"/>
              <w:spacing w:after="0" w:line="202" w:lineRule="exact"/>
              <w:rPr>
                <w:sz w:val="20"/>
                <w:szCs w:val="20"/>
                <w:color w:val="auto"/>
              </w:rPr>
            </w:pPr>
            <w:r>
              <w:rPr>
                <w:rFonts w:ascii="Arial" w:cs="Arial" w:eastAsia="Arial" w:hAnsi="Arial"/>
                <w:sz w:val="18"/>
                <w:szCs w:val="18"/>
                <w:color w:val="auto"/>
              </w:rPr>
              <w:t>90%</w:t>
            </w:r>
          </w:p>
        </w:tc>
        <w:tc>
          <w:tcPr>
            <w:tcW w:w="2100" w:type="dxa"/>
            <w:vAlign w:val="bottom"/>
            <w:tcBorders>
              <w:bottom w:val="single" w:sz="8" w:color="E5EAF5"/>
            </w:tcBorders>
            <w:shd w:val="clear" w:color="auto" w:fill="E5EAF5"/>
          </w:tcPr>
          <w:p>
            <w:pPr>
              <w:jc w:val="right"/>
              <w:ind w:right="555"/>
              <w:spacing w:after="0" w:line="202" w:lineRule="exact"/>
              <w:rPr>
                <w:sz w:val="20"/>
                <w:szCs w:val="20"/>
                <w:color w:val="auto"/>
              </w:rPr>
            </w:pPr>
            <w:r>
              <w:rPr>
                <w:rFonts w:ascii="Arial" w:cs="Arial" w:eastAsia="Arial" w:hAnsi="Arial"/>
                <w:sz w:val="18"/>
                <w:szCs w:val="18"/>
                <w:color w:val="auto"/>
              </w:rPr>
              <w:t>553,500</w:t>
            </w:r>
          </w:p>
        </w:tc>
        <w:tc>
          <w:tcPr>
            <w:tcW w:w="1840" w:type="dxa"/>
            <w:vAlign w:val="bottom"/>
            <w:tcBorders>
              <w:bottom w:val="single" w:sz="8" w:color="E5EAF5"/>
            </w:tcBorders>
            <w:shd w:val="clear" w:color="auto" w:fill="E5EAF5"/>
          </w:tcPr>
          <w:p>
            <w:pPr>
              <w:jc w:val="right"/>
              <w:spacing w:after="0" w:line="202" w:lineRule="exact"/>
              <w:rPr>
                <w:sz w:val="20"/>
                <w:szCs w:val="20"/>
                <w:color w:val="auto"/>
              </w:rPr>
            </w:pPr>
            <w:r>
              <w:rPr>
                <w:rFonts w:ascii="Arial" w:cs="Arial" w:eastAsia="Arial" w:hAnsi="Arial"/>
                <w:sz w:val="18"/>
                <w:szCs w:val="18"/>
                <w:color w:val="auto"/>
              </w:rPr>
              <w:t>90%</w:t>
            </w:r>
          </w:p>
        </w:tc>
      </w:tr>
      <w:tr>
        <w:trPr>
          <w:trHeight w:val="20"/>
        </w:trPr>
        <w:tc>
          <w:tcPr>
            <w:tcW w:w="3240" w:type="dxa"/>
            <w:vAlign w:val="bottom"/>
            <w:shd w:val="clear" w:color="auto" w:fill="0033A0"/>
          </w:tcPr>
          <w:p>
            <w:pPr>
              <w:spacing w:after="0" w:line="20" w:lineRule="exact"/>
              <w:rPr>
                <w:sz w:val="1"/>
                <w:szCs w:val="1"/>
                <w:color w:val="auto"/>
              </w:rPr>
            </w:pPr>
          </w:p>
        </w:tc>
        <w:tc>
          <w:tcPr>
            <w:tcW w:w="1820" w:type="dxa"/>
            <w:vAlign w:val="bottom"/>
            <w:shd w:val="clear" w:color="auto" w:fill="0033A0"/>
          </w:tcPr>
          <w:p>
            <w:pPr>
              <w:spacing w:after="0" w:line="20" w:lineRule="exact"/>
              <w:rPr>
                <w:sz w:val="1"/>
                <w:szCs w:val="1"/>
                <w:color w:val="auto"/>
              </w:rPr>
            </w:pPr>
          </w:p>
        </w:tc>
        <w:tc>
          <w:tcPr>
            <w:tcW w:w="2020" w:type="dxa"/>
            <w:vAlign w:val="bottom"/>
            <w:shd w:val="clear" w:color="auto" w:fill="0033A0"/>
          </w:tcPr>
          <w:p>
            <w:pPr>
              <w:spacing w:after="0" w:line="20" w:lineRule="exact"/>
              <w:rPr>
                <w:sz w:val="1"/>
                <w:szCs w:val="1"/>
                <w:color w:val="auto"/>
              </w:rPr>
            </w:pPr>
          </w:p>
        </w:tc>
        <w:tc>
          <w:tcPr>
            <w:tcW w:w="2100" w:type="dxa"/>
            <w:vAlign w:val="bottom"/>
            <w:shd w:val="clear" w:color="auto" w:fill="0033A0"/>
          </w:tcPr>
          <w:p>
            <w:pPr>
              <w:spacing w:after="0" w:line="20" w:lineRule="exact"/>
              <w:rPr>
                <w:sz w:val="1"/>
                <w:szCs w:val="1"/>
                <w:color w:val="auto"/>
              </w:rPr>
            </w:pPr>
          </w:p>
        </w:tc>
        <w:tc>
          <w:tcPr>
            <w:tcW w:w="1840" w:type="dxa"/>
            <w:vAlign w:val="bottom"/>
            <w:shd w:val="clear" w:color="auto" w:fill="0033A0"/>
          </w:tcPr>
          <w:p>
            <w:pPr>
              <w:spacing w:after="0" w:line="20" w:lineRule="exact"/>
              <w:rPr>
                <w:sz w:val="1"/>
                <w:szCs w:val="1"/>
                <w:color w:val="auto"/>
              </w:rPr>
            </w:pPr>
          </w:p>
        </w:tc>
      </w:tr>
    </w:tbl>
    <w:p>
      <w:pPr>
        <w:spacing w:after="0" w:line="85" w:lineRule="exact"/>
        <w:rPr>
          <w:sz w:val="20"/>
          <w:szCs w:val="20"/>
          <w:color w:val="auto"/>
        </w:rPr>
      </w:pPr>
    </w:p>
    <w:p>
      <w:pPr>
        <w:sectPr>
          <w:pgSz w:w="11900" w:h="16838" w:orient="portrait"/>
          <w:cols w:equalWidth="0" w:num="1">
            <w:col w:w="1124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8"/>
          <w:szCs w:val="18"/>
          <w:b w:val="1"/>
          <w:bCs w:val="1"/>
          <w:i w:val="1"/>
          <w:iCs w:val="1"/>
          <w:color w:val="auto"/>
        </w:rPr>
        <w:t>2018 Annual Incentive Payouts</w:t>
      </w:r>
    </w:p>
    <w:p>
      <w:pPr>
        <w:spacing w:after="0" w:line="193"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In February 2019, the Compensation Committee (and the independent members of the Board for Mr. Pertz) approved 2018 annual incentive payouts for the named executive officers. To determine the actual annual incentive payments for the named executive officers, the Compensation Committee (and the independent members of the Board) considered the Company’s non-GAAP operating profit and</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non-GAAP revenue against the goals set by the Compensation Committee in February 2018 as well as each executive’s individual performance. For Messrs. Beech and Zukerman, the Compensation Committee also considered the performance of the operating companies within each executive’s scope of responsibility, which is referred to as Combined Operating Performance.</w:t>
      </w:r>
    </w:p>
    <w:p>
      <w:pPr>
        <w:spacing w:after="0" w:line="404" w:lineRule="exact"/>
        <w:rPr>
          <w:sz w:val="20"/>
          <w:szCs w:val="20"/>
          <w:color w:val="auto"/>
        </w:rPr>
      </w:pPr>
    </w:p>
    <w:p>
      <w:pPr>
        <w:sectPr>
          <w:pgSz w:w="11900" w:h="16838" w:orient="portrait"/>
          <w:cols w:equalWidth="0" w:num="2">
            <w:col w:w="5360" w:space="460"/>
            <w:col w:w="5420"/>
          </w:cols>
          <w:pgMar w:left="240" w:top="459" w:right="419" w:bottom="1440" w:gutter="0" w:footer="0" w:header="0"/>
          <w:type w:val="continuous"/>
        </w:sectPr>
      </w:pPr>
    </w:p>
    <w:p>
      <w:pPr>
        <w:spacing w:after="0" w:line="27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0033A0"/>
        </w:rPr>
        <w:t>Annual Incentive Payout Calculation for Messrs. Pertz and Domanico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1720215</wp:posOffset>
            </wp:positionH>
            <wp:positionV relativeFrom="paragraph">
              <wp:posOffset>166370</wp:posOffset>
            </wp:positionV>
            <wp:extent cx="3816350" cy="7200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816350"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8820" w:type="dxa"/>
        <w:tblCellMar>
          <w:top w:w="0" w:type="dxa"/>
          <w:left w:w="0" w:type="dxa"/>
          <w:bottom w:w="0" w:type="dxa"/>
          <w:right w:w="0" w:type="dxa"/>
        </w:tblCellMar>
      </w:tblPr>
      <w:tr>
        <w:trPr>
          <w:trHeight w:val="297"/>
        </w:trPr>
        <w:tc>
          <w:tcPr>
            <w:tcW w:w="1900" w:type="dxa"/>
            <w:vAlign w:val="bottom"/>
            <w:tcBorders>
              <w:right w:val="single" w:sz="8" w:color="0033A0"/>
            </w:tcBorders>
          </w:tcPr>
          <w:p>
            <w:pPr>
              <w:spacing w:after="0"/>
              <w:rPr>
                <w:sz w:val="20"/>
                <w:szCs w:val="20"/>
                <w:color w:val="auto"/>
              </w:rPr>
            </w:pPr>
            <w:r>
              <w:rPr>
                <w:rFonts w:ascii="Arial" w:cs="Arial" w:eastAsia="Arial" w:hAnsi="Arial"/>
                <w:sz w:val="18"/>
                <w:szCs w:val="18"/>
                <w:i w:val="1"/>
                <w:iCs w:val="1"/>
                <w:color w:val="auto"/>
              </w:rPr>
              <w:t>2019 Proxy Statement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-170815</wp:posOffset>
            </wp:positionV>
            <wp:extent cx="720090" cy="1289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0090" cy="12890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0033A0"/>
        </w:rPr>
        <w:t>The Brink’s Company</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0033A0"/>
        </w:rPr>
        <w:t>Annual Incentive Payout Calculation for Messrs. Beech and Zukerman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1137285</wp:posOffset>
            </wp:positionH>
            <wp:positionV relativeFrom="paragraph">
              <wp:posOffset>88900</wp:posOffset>
            </wp:positionV>
            <wp:extent cx="4991100" cy="7200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991100" cy="720090"/>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Company Performance Factor was determined by the</w:t>
      </w:r>
    </w:p>
    <w:p>
      <w:pPr>
        <w:ind w:left="200"/>
        <w:spacing w:after="0" w:line="234" w:lineRule="auto"/>
        <w:rPr>
          <w:sz w:val="20"/>
          <w:szCs w:val="20"/>
          <w:color w:val="auto"/>
        </w:rPr>
      </w:pPr>
      <w:r>
        <w:rPr>
          <w:rFonts w:ascii="Arial" w:cs="Arial" w:eastAsia="Arial" w:hAnsi="Arial"/>
          <w:sz w:val="18"/>
          <w:szCs w:val="18"/>
          <w:color w:val="auto"/>
        </w:rPr>
        <w:t>Compensation Committee to be 117% which reflects the</w:t>
      </w:r>
    </w:p>
    <w:p>
      <w:pPr>
        <w:ind w:left="200"/>
        <w:spacing w:after="0" w:line="235" w:lineRule="auto"/>
        <w:rPr>
          <w:sz w:val="20"/>
          <w:szCs w:val="20"/>
          <w:color w:val="auto"/>
        </w:rPr>
      </w:pPr>
      <w:r>
        <w:rPr>
          <w:rFonts w:ascii="Arial" w:cs="Arial" w:eastAsia="Arial" w:hAnsi="Arial"/>
          <w:sz w:val="18"/>
          <w:szCs w:val="18"/>
          <w:color w:val="auto"/>
        </w:rPr>
        <w:t>Company’s adjusted non-GAAP operating profit results of</w:t>
      </w:r>
    </w:p>
    <w:p>
      <w:pPr>
        <w:ind w:left="200"/>
        <w:spacing w:after="0" w:line="235" w:lineRule="auto"/>
        <w:rPr>
          <w:sz w:val="20"/>
          <w:szCs w:val="20"/>
          <w:color w:val="auto"/>
        </w:rPr>
      </w:pPr>
      <w:r>
        <w:rPr>
          <w:rFonts w:ascii="Arial" w:cs="Arial" w:eastAsia="Arial" w:hAnsi="Arial"/>
          <w:sz w:val="18"/>
          <w:szCs w:val="18"/>
          <w:color w:val="auto"/>
        </w:rPr>
        <w:t>$370 million versus the 2018 performance goal of $365 million</w:t>
      </w:r>
    </w:p>
    <w:p>
      <w:pPr>
        <w:ind w:left="200"/>
        <w:spacing w:after="0" w:line="235" w:lineRule="auto"/>
        <w:rPr>
          <w:sz w:val="20"/>
          <w:szCs w:val="20"/>
          <w:color w:val="auto"/>
        </w:rPr>
      </w:pPr>
      <w:r>
        <w:rPr>
          <w:rFonts w:ascii="Arial" w:cs="Arial" w:eastAsia="Arial" w:hAnsi="Arial"/>
          <w:sz w:val="18"/>
          <w:szCs w:val="18"/>
          <w:color w:val="auto"/>
        </w:rPr>
        <w:t>and the adjusted non-GAAP revenue results of $3.425 billion</w:t>
      </w:r>
    </w:p>
    <w:p>
      <w:pPr>
        <w:ind w:left="200"/>
        <w:spacing w:after="0" w:line="235" w:lineRule="auto"/>
        <w:rPr>
          <w:sz w:val="20"/>
          <w:szCs w:val="20"/>
          <w:color w:val="auto"/>
        </w:rPr>
      </w:pPr>
      <w:r>
        <w:rPr>
          <w:rFonts w:ascii="Arial" w:cs="Arial" w:eastAsia="Arial" w:hAnsi="Arial"/>
          <w:sz w:val="18"/>
          <w:szCs w:val="18"/>
          <w:color w:val="auto"/>
        </w:rPr>
        <w:t>versus the performance goal of $3.4 billion. In approving the</w:t>
      </w:r>
    </w:p>
    <w:p>
      <w:pPr>
        <w:ind w:left="200"/>
        <w:spacing w:after="0" w:line="235" w:lineRule="auto"/>
        <w:rPr>
          <w:sz w:val="20"/>
          <w:szCs w:val="20"/>
          <w:color w:val="auto"/>
        </w:rPr>
      </w:pPr>
      <w:r>
        <w:rPr>
          <w:rFonts w:ascii="Arial" w:cs="Arial" w:eastAsia="Arial" w:hAnsi="Arial"/>
          <w:sz w:val="18"/>
          <w:szCs w:val="18"/>
          <w:color w:val="auto"/>
        </w:rPr>
        <w:t>results used to determine annual incentive funding and the</w:t>
      </w:r>
    </w:p>
    <w:p>
      <w:pPr>
        <w:ind w:left="200"/>
        <w:spacing w:after="0" w:line="235" w:lineRule="auto"/>
        <w:rPr>
          <w:sz w:val="20"/>
          <w:szCs w:val="20"/>
          <w:color w:val="auto"/>
        </w:rPr>
      </w:pPr>
      <w:r>
        <w:rPr>
          <w:rFonts w:ascii="Arial" w:cs="Arial" w:eastAsia="Arial" w:hAnsi="Arial"/>
          <w:sz w:val="18"/>
          <w:szCs w:val="18"/>
          <w:color w:val="auto"/>
        </w:rPr>
        <w:t>Company Performance Factor, the Compensation Committee</w:t>
      </w:r>
    </w:p>
    <w:p>
      <w:pPr>
        <w:ind w:left="200"/>
        <w:spacing w:after="0" w:line="235" w:lineRule="auto"/>
        <w:rPr>
          <w:sz w:val="20"/>
          <w:szCs w:val="20"/>
          <w:color w:val="auto"/>
        </w:rPr>
      </w:pPr>
      <w:r>
        <w:rPr>
          <w:rFonts w:ascii="Arial" w:cs="Arial" w:eastAsia="Arial" w:hAnsi="Arial"/>
          <w:sz w:val="18"/>
          <w:szCs w:val="18"/>
          <w:color w:val="auto"/>
        </w:rPr>
        <w:t>considered the Company’s reported 2018 non-GAAP operating</w:t>
      </w:r>
    </w:p>
    <w:p>
      <w:pPr>
        <w:ind w:left="200"/>
        <w:spacing w:after="0" w:line="235" w:lineRule="auto"/>
        <w:rPr>
          <w:sz w:val="20"/>
          <w:szCs w:val="20"/>
          <w:color w:val="auto"/>
        </w:rPr>
      </w:pPr>
      <w:r>
        <w:rPr>
          <w:rFonts w:ascii="Arial" w:cs="Arial" w:eastAsia="Arial" w:hAnsi="Arial"/>
          <w:sz w:val="18"/>
          <w:szCs w:val="18"/>
          <w:color w:val="auto"/>
        </w:rPr>
        <w:t>profit results of $347 million and non-GAAP revenue results of</w:t>
      </w:r>
    </w:p>
    <w:p>
      <w:pPr>
        <w:ind w:left="200"/>
        <w:spacing w:after="0" w:line="234" w:lineRule="auto"/>
        <w:rPr>
          <w:sz w:val="20"/>
          <w:szCs w:val="20"/>
          <w:color w:val="auto"/>
        </w:rPr>
      </w:pPr>
      <w:r>
        <w:rPr>
          <w:rFonts w:ascii="Arial" w:cs="Arial" w:eastAsia="Arial" w:hAnsi="Arial"/>
          <w:sz w:val="18"/>
          <w:szCs w:val="18"/>
          <w:color w:val="auto"/>
        </w:rPr>
        <w:t>$3.438 billion, which were then adjusted upward to remove the</w:t>
      </w:r>
    </w:p>
    <w:p>
      <w:pPr>
        <w:ind w:left="200"/>
        <w:spacing w:after="0" w:line="235" w:lineRule="auto"/>
        <w:rPr>
          <w:sz w:val="20"/>
          <w:szCs w:val="20"/>
          <w:color w:val="auto"/>
        </w:rPr>
      </w:pPr>
      <w:r>
        <w:rPr>
          <w:rFonts w:ascii="Arial" w:cs="Arial" w:eastAsia="Arial" w:hAnsi="Arial"/>
          <w:sz w:val="18"/>
          <w:szCs w:val="18"/>
          <w:color w:val="auto"/>
        </w:rPr>
        <w:t>impact of certain foreign exchange translation and the impact of</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divestitures during the year and adjusted downward to remove the</w:t>
      </w:r>
    </w:p>
    <w:p>
      <w:pPr>
        <w:spacing w:after="0" w:line="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impact of acquisitions during the year. Non-GAAP operating profit</w:t>
      </w:r>
    </w:p>
    <w:p>
      <w:pPr>
        <w:ind w:left="200"/>
        <w:spacing w:after="0" w:line="234" w:lineRule="auto"/>
        <w:rPr>
          <w:sz w:val="20"/>
          <w:szCs w:val="20"/>
          <w:color w:val="auto"/>
        </w:rPr>
      </w:pPr>
      <w:r>
        <w:rPr>
          <w:rFonts w:ascii="Arial" w:cs="Arial" w:eastAsia="Arial" w:hAnsi="Arial"/>
          <w:sz w:val="18"/>
          <w:szCs w:val="18"/>
          <w:color w:val="auto"/>
        </w:rPr>
        <w:t>and non-GAAP revenue are reconciled to the most directly</w:t>
      </w:r>
    </w:p>
    <w:p>
      <w:pPr>
        <w:ind w:left="200"/>
        <w:spacing w:after="0" w:line="235" w:lineRule="auto"/>
        <w:rPr>
          <w:sz w:val="20"/>
          <w:szCs w:val="20"/>
          <w:color w:val="auto"/>
        </w:rPr>
      </w:pPr>
      <w:r>
        <w:rPr>
          <w:rFonts w:ascii="Arial" w:cs="Arial" w:eastAsia="Arial" w:hAnsi="Arial"/>
          <w:sz w:val="18"/>
          <w:szCs w:val="18"/>
          <w:color w:val="auto"/>
        </w:rPr>
        <w:t>comparable GAAP measures on page 35 of the Company’s 2018</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Annual Report on Form 10-K.</w:t>
      </w:r>
    </w:p>
    <w:p>
      <w:pPr>
        <w:spacing w:after="0" w:line="104"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In addition to the strong Company performance that resulted in a Company Performance Factor of 117%, the Compensation Committee also considered Mr. Pertz’s recommendations regarding individual performance of each of the named executive officers (other than Mr. Marshall, who was no longer serving as an executive officer at the time the Compensation Committee made its decisions regarding annual incentive payouts).</w:t>
      </w:r>
    </w:p>
    <w:p>
      <w:pPr>
        <w:spacing w:after="0" w:line="95" w:lineRule="exact"/>
        <w:rPr>
          <w:sz w:val="20"/>
          <w:szCs w:val="20"/>
          <w:color w:val="auto"/>
        </w:rPr>
      </w:pPr>
    </w:p>
    <w:p>
      <w:pPr>
        <w:ind w:left="200" w:right="20"/>
        <w:spacing w:after="0" w:line="239" w:lineRule="auto"/>
        <w:rPr>
          <w:sz w:val="20"/>
          <w:szCs w:val="20"/>
          <w:color w:val="auto"/>
        </w:rPr>
      </w:pPr>
      <w:r>
        <w:rPr>
          <w:rFonts w:ascii="Arial" w:cs="Arial" w:eastAsia="Arial" w:hAnsi="Arial"/>
          <w:sz w:val="18"/>
          <w:szCs w:val="18"/>
          <w:color w:val="auto"/>
        </w:rPr>
        <w:t>For Mr. Domanico, the Committee approved an annual incentive at approximately 123% of target and considered Mr. Domanico’s overall leadership of the Company’s strong financial performance, including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60"/>
        <w:spacing w:after="0" w:line="234" w:lineRule="auto"/>
        <w:rPr>
          <w:sz w:val="20"/>
          <w:szCs w:val="20"/>
          <w:color w:val="auto"/>
        </w:rPr>
      </w:pPr>
      <w:r>
        <w:rPr>
          <w:rFonts w:ascii="Arial" w:cs="Arial" w:eastAsia="Arial" w:hAnsi="Arial"/>
          <w:sz w:val="18"/>
          <w:szCs w:val="18"/>
          <w:color w:val="auto"/>
        </w:rPr>
        <w:t>an increase in non-GAAP operating profit by 23% versus the prior year and an increase in free cash flow, as well as his efforts to amend the Company’s credit agreement to reduce borrowing costs, increase borrowing capacity and extend the loan term. For</w:t>
      </w:r>
    </w:p>
    <w:p>
      <w:pPr>
        <w:spacing w:after="0" w:line="3"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Mr. Beech, the Committee approved an annual incentive at approximately 137% of target and considered the strong financial results in his area of responsibility, particularly the very strong results in Mexico, as well as Mr. Beech’s effective leadership of the Company’s global security organization. For Mr. Zukerman, the Committee approved an annual incentive at approximately 108% of target and considered the solid performance of the BGS business and the Rest of World segment.</w:t>
      </w:r>
    </w:p>
    <w:p>
      <w:pPr>
        <w:spacing w:after="0" w:line="100" w:lineRule="exact"/>
        <w:rPr>
          <w:sz w:val="20"/>
          <w:szCs w:val="20"/>
          <w:color w:val="auto"/>
        </w:rPr>
      </w:pPr>
    </w:p>
    <w:p>
      <w:pPr>
        <w:ind w:right="240"/>
        <w:spacing w:after="0" w:line="234" w:lineRule="auto"/>
        <w:rPr>
          <w:sz w:val="20"/>
          <w:szCs w:val="20"/>
          <w:color w:val="auto"/>
        </w:rPr>
      </w:pPr>
      <w:r>
        <w:rPr>
          <w:rFonts w:ascii="Arial" w:cs="Arial" w:eastAsia="Arial" w:hAnsi="Arial"/>
          <w:sz w:val="18"/>
          <w:szCs w:val="18"/>
          <w:color w:val="auto"/>
        </w:rPr>
        <w:t>Mr. Pertz’s annual incentive award was approved by the Board at approximately 123% of target, reflecting the Company’s overall operating performance, including reported non-GAAP year over year revenue growth of 8% and a non-GAAP operating</w:t>
      </w:r>
    </w:p>
    <w:p>
      <w:pPr>
        <w:spacing w:after="0" w:line="3"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profit increase of 23%, with an improvement of 130 basis points in the Company’s non-GAAP operating profit margin rate. The award also reflected Mr. Pertz’s individual achievements in 2018, particularly with respect to continued development and execution of the Company’s strategic plan, the successful execution of accretive acquisitions, including Dunbar, and continued transformation of the Company’s culture.</w:t>
      </w:r>
    </w:p>
    <w:p>
      <w:pPr>
        <w:spacing w:after="0" w:line="95"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The following table sets forth the actual annual incentive payments for 2018. Annual incentive payments are also shown in the Summary Compensation Table on page 44.</w:t>
      </w:r>
    </w:p>
    <w:p>
      <w:pPr>
        <w:spacing w:after="0" w:line="606" w:lineRule="exact"/>
        <w:rPr>
          <w:sz w:val="20"/>
          <w:szCs w:val="20"/>
          <w:color w:val="auto"/>
        </w:rPr>
      </w:pPr>
    </w:p>
    <w:p>
      <w:pPr>
        <w:sectPr>
          <w:pgSz w:w="11900" w:h="16838" w:orient="portrait"/>
          <w:cols w:equalWidth="0" w:num="2">
            <w:col w:w="5460" w:space="360"/>
            <w:col w:w="5420"/>
          </w:cols>
          <w:pgMar w:left="240" w:top="459" w:right="419" w:bottom="1440" w:gutter="0" w:footer="0" w:header="0"/>
          <w:type w:val="continuous"/>
        </w:sectPr>
      </w:pPr>
    </w:p>
    <w:p>
      <w:pPr>
        <w:spacing w:after="0" w:line="165"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17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980" w:type="dxa"/>
            <w:vAlign w:val="bottom"/>
          </w:tcPr>
          <w:p>
            <w:pPr>
              <w:jc w:val="center"/>
              <w:ind w:left="617"/>
              <w:spacing w:after="0"/>
              <w:rPr>
                <w:sz w:val="20"/>
                <w:szCs w:val="20"/>
                <w:color w:val="auto"/>
              </w:rPr>
            </w:pPr>
            <w:r>
              <w:rPr>
                <w:rFonts w:ascii="Arial" w:cs="Arial" w:eastAsia="Arial" w:hAnsi="Arial"/>
                <w:sz w:val="14"/>
                <w:szCs w:val="14"/>
                <w:b w:val="1"/>
                <w:bCs w:val="1"/>
                <w:color w:val="0033A0"/>
              </w:rPr>
              <w:t>2018 Actual</w:t>
            </w:r>
          </w:p>
        </w:tc>
        <w:tc>
          <w:tcPr>
            <w:tcW w:w="2340" w:type="dxa"/>
            <w:vAlign w:val="bottom"/>
          </w:tcPr>
          <w:p>
            <w:pPr>
              <w:jc w:val="center"/>
              <w:ind w:left="257"/>
              <w:spacing w:after="0"/>
              <w:rPr>
                <w:sz w:val="20"/>
                <w:szCs w:val="20"/>
                <w:color w:val="auto"/>
              </w:rPr>
            </w:pPr>
            <w:r>
              <w:rPr>
                <w:rFonts w:ascii="Arial" w:cs="Arial" w:eastAsia="Arial" w:hAnsi="Arial"/>
                <w:sz w:val="14"/>
                <w:szCs w:val="14"/>
                <w:b w:val="1"/>
                <w:bCs w:val="1"/>
                <w:color w:val="0033A0"/>
              </w:rPr>
              <w:t>2018 Target</w:t>
            </w:r>
          </w:p>
        </w:tc>
        <w:tc>
          <w:tcPr>
            <w:tcW w:w="2080" w:type="dxa"/>
            <w:vAlign w:val="bottom"/>
          </w:tcPr>
          <w:p>
            <w:pPr>
              <w:jc w:val="center"/>
              <w:ind w:left="77"/>
              <w:spacing w:after="0"/>
              <w:rPr>
                <w:sz w:val="20"/>
                <w:szCs w:val="20"/>
                <w:color w:val="auto"/>
              </w:rPr>
            </w:pPr>
            <w:r>
              <w:rPr>
                <w:rFonts w:ascii="Arial" w:cs="Arial" w:eastAsia="Arial" w:hAnsi="Arial"/>
                <w:sz w:val="14"/>
                <w:szCs w:val="14"/>
                <w:b w:val="1"/>
                <w:bCs w:val="1"/>
                <w:color w:val="0033A0"/>
              </w:rPr>
              <w:t>2018 Actual Payment</w:t>
            </w:r>
          </w:p>
        </w:tc>
      </w:tr>
      <w:tr>
        <w:trPr>
          <w:trHeight w:val="162"/>
        </w:trPr>
        <w:tc>
          <w:tcPr>
            <w:tcW w:w="17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980" w:type="dxa"/>
            <w:vAlign w:val="bottom"/>
          </w:tcPr>
          <w:p>
            <w:pPr>
              <w:jc w:val="center"/>
              <w:ind w:left="597"/>
              <w:spacing w:after="0"/>
              <w:rPr>
                <w:sz w:val="20"/>
                <w:szCs w:val="20"/>
                <w:color w:val="auto"/>
              </w:rPr>
            </w:pPr>
            <w:r>
              <w:rPr>
                <w:rFonts w:ascii="Arial" w:cs="Arial" w:eastAsia="Arial" w:hAnsi="Arial"/>
                <w:sz w:val="14"/>
                <w:szCs w:val="14"/>
                <w:b w:val="1"/>
                <w:bCs w:val="1"/>
                <w:color w:val="0033A0"/>
              </w:rPr>
              <w:t>Annual Incentive</w:t>
            </w:r>
          </w:p>
        </w:tc>
        <w:tc>
          <w:tcPr>
            <w:tcW w:w="2340" w:type="dxa"/>
            <w:vAlign w:val="bottom"/>
          </w:tcPr>
          <w:p>
            <w:pPr>
              <w:jc w:val="center"/>
              <w:ind w:left="257"/>
              <w:spacing w:after="0"/>
              <w:rPr>
                <w:sz w:val="20"/>
                <w:szCs w:val="20"/>
                <w:color w:val="auto"/>
              </w:rPr>
            </w:pPr>
            <w:r>
              <w:rPr>
                <w:rFonts w:ascii="Arial" w:cs="Arial" w:eastAsia="Arial" w:hAnsi="Arial"/>
                <w:sz w:val="14"/>
                <w:szCs w:val="14"/>
                <w:b w:val="1"/>
                <w:bCs w:val="1"/>
                <w:color w:val="0033A0"/>
              </w:rPr>
              <w:t>Annual Incentive</w:t>
            </w:r>
          </w:p>
        </w:tc>
        <w:tc>
          <w:tcPr>
            <w:tcW w:w="2080" w:type="dxa"/>
            <w:vAlign w:val="bottom"/>
          </w:tcPr>
          <w:p>
            <w:pPr>
              <w:jc w:val="center"/>
              <w:ind w:left="77"/>
              <w:spacing w:after="0"/>
              <w:rPr>
                <w:sz w:val="20"/>
                <w:szCs w:val="20"/>
                <w:color w:val="auto"/>
              </w:rPr>
            </w:pPr>
            <w:r>
              <w:rPr>
                <w:rFonts w:ascii="Arial" w:cs="Arial" w:eastAsia="Arial" w:hAnsi="Arial"/>
                <w:sz w:val="14"/>
                <w:szCs w:val="14"/>
                <w:b w:val="1"/>
                <w:bCs w:val="1"/>
                <w:color w:val="0033A0"/>
              </w:rPr>
              <w:t>as a Percentage of</w:t>
            </w:r>
          </w:p>
        </w:tc>
      </w:tr>
      <w:tr>
        <w:trPr>
          <w:trHeight w:val="175"/>
        </w:trPr>
        <w:tc>
          <w:tcPr>
            <w:tcW w:w="4620" w:type="dxa"/>
            <w:vAlign w:val="bottom"/>
            <w:tcBorders>
              <w:bottom w:val="single" w:sz="8" w:color="0033A0"/>
            </w:tcBorders>
            <w:gridSpan w:val="2"/>
          </w:tcPr>
          <w:p>
            <w:pPr>
              <w:ind w:left="60"/>
              <w:spacing w:after="0"/>
              <w:rPr>
                <w:sz w:val="20"/>
                <w:szCs w:val="20"/>
                <w:color w:val="auto"/>
              </w:rPr>
            </w:pPr>
            <w:r>
              <w:rPr>
                <w:rFonts w:ascii="Arial" w:cs="Arial" w:eastAsia="Arial" w:hAnsi="Arial"/>
                <w:sz w:val="14"/>
                <w:szCs w:val="14"/>
                <w:b w:val="1"/>
                <w:bCs w:val="1"/>
                <w:color w:val="0033A0"/>
              </w:rPr>
              <w:t>Name</w:t>
            </w:r>
          </w:p>
        </w:tc>
        <w:tc>
          <w:tcPr>
            <w:tcW w:w="1980" w:type="dxa"/>
            <w:vAlign w:val="bottom"/>
            <w:tcBorders>
              <w:bottom w:val="single" w:sz="8" w:color="0033A0"/>
            </w:tcBorders>
          </w:tcPr>
          <w:p>
            <w:pPr>
              <w:jc w:val="center"/>
              <w:ind w:left="617"/>
              <w:spacing w:after="0"/>
              <w:rPr>
                <w:sz w:val="20"/>
                <w:szCs w:val="20"/>
                <w:color w:val="auto"/>
              </w:rPr>
            </w:pPr>
            <w:r>
              <w:rPr>
                <w:rFonts w:ascii="Arial" w:cs="Arial" w:eastAsia="Arial" w:hAnsi="Arial"/>
                <w:sz w:val="14"/>
                <w:szCs w:val="14"/>
                <w:b w:val="1"/>
                <w:bCs w:val="1"/>
                <w:color w:val="0033A0"/>
              </w:rPr>
              <w:t>Payment</w:t>
            </w:r>
          </w:p>
        </w:tc>
        <w:tc>
          <w:tcPr>
            <w:tcW w:w="2340" w:type="dxa"/>
            <w:vAlign w:val="bottom"/>
            <w:tcBorders>
              <w:bottom w:val="single" w:sz="8" w:color="0033A0"/>
            </w:tcBorders>
          </w:tcPr>
          <w:p>
            <w:pPr>
              <w:jc w:val="center"/>
              <w:ind w:left="257"/>
              <w:spacing w:after="0"/>
              <w:rPr>
                <w:sz w:val="20"/>
                <w:szCs w:val="20"/>
                <w:color w:val="auto"/>
              </w:rPr>
            </w:pPr>
            <w:r>
              <w:rPr>
                <w:rFonts w:ascii="Arial" w:cs="Arial" w:eastAsia="Arial" w:hAnsi="Arial"/>
                <w:sz w:val="14"/>
                <w:szCs w:val="14"/>
                <w:b w:val="1"/>
                <w:bCs w:val="1"/>
                <w:color w:val="0033A0"/>
              </w:rPr>
              <w:t>Payment</w:t>
            </w:r>
          </w:p>
        </w:tc>
        <w:tc>
          <w:tcPr>
            <w:tcW w:w="2080" w:type="dxa"/>
            <w:vAlign w:val="bottom"/>
            <w:tcBorders>
              <w:bottom w:val="single" w:sz="8" w:color="0033A0"/>
            </w:tcBorders>
          </w:tcPr>
          <w:p>
            <w:pPr>
              <w:jc w:val="center"/>
              <w:ind w:left="97"/>
              <w:spacing w:after="0"/>
              <w:rPr>
                <w:sz w:val="20"/>
                <w:szCs w:val="20"/>
                <w:color w:val="auto"/>
              </w:rPr>
            </w:pPr>
            <w:r>
              <w:rPr>
                <w:rFonts w:ascii="Arial" w:cs="Arial" w:eastAsia="Arial" w:hAnsi="Arial"/>
                <w:sz w:val="14"/>
                <w:szCs w:val="14"/>
                <w:b w:val="1"/>
                <w:bCs w:val="1"/>
                <w:color w:val="0033A0"/>
                <w:w w:val="98"/>
              </w:rPr>
              <w:t>Target</w:t>
            </w:r>
          </w:p>
        </w:tc>
      </w:tr>
      <w:tr>
        <w:trPr>
          <w:trHeight w:val="21"/>
        </w:trPr>
        <w:tc>
          <w:tcPr>
            <w:tcW w:w="17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277"/>
        </w:trPr>
        <w:tc>
          <w:tcPr>
            <w:tcW w:w="4620" w:type="dxa"/>
            <w:vAlign w:val="bottom"/>
            <w:tcBorders>
              <w:bottom w:val="single" w:sz="8" w:color="E5EAF5"/>
            </w:tcBorders>
            <w:gridSpan w:val="2"/>
            <w:shd w:val="clear" w:color="auto" w:fill="E5EAF5"/>
          </w:tcPr>
          <w:p>
            <w:pPr>
              <w:ind w:left="60"/>
              <w:spacing w:after="0"/>
              <w:rPr>
                <w:sz w:val="20"/>
                <w:szCs w:val="20"/>
                <w:color w:val="auto"/>
              </w:rPr>
            </w:pPr>
            <w:r>
              <w:rPr>
                <w:rFonts w:ascii="Arial" w:cs="Arial" w:eastAsia="Arial" w:hAnsi="Arial"/>
                <w:sz w:val="18"/>
                <w:szCs w:val="18"/>
                <w:color w:val="auto"/>
              </w:rPr>
              <w:t>Mr. Pertz</w:t>
            </w:r>
          </w:p>
        </w:tc>
        <w:tc>
          <w:tcPr>
            <w:tcW w:w="1980" w:type="dxa"/>
            <w:vAlign w:val="bottom"/>
            <w:tcBorders>
              <w:bottom w:val="single" w:sz="8" w:color="E5EAF5"/>
            </w:tcBorders>
            <w:shd w:val="clear" w:color="auto" w:fill="E5EAF5"/>
          </w:tcPr>
          <w:p>
            <w:pPr>
              <w:jc w:val="right"/>
              <w:spacing w:after="0"/>
              <w:rPr>
                <w:sz w:val="20"/>
                <w:szCs w:val="20"/>
                <w:color w:val="auto"/>
              </w:rPr>
            </w:pPr>
            <w:r>
              <w:rPr>
                <w:rFonts w:ascii="Arial" w:cs="Arial" w:eastAsia="Arial" w:hAnsi="Arial"/>
                <w:sz w:val="18"/>
                <w:szCs w:val="18"/>
                <w:color w:val="auto"/>
              </w:rPr>
              <w:t>$   1,504,913</w:t>
            </w:r>
          </w:p>
        </w:tc>
        <w:tc>
          <w:tcPr>
            <w:tcW w:w="2340" w:type="dxa"/>
            <w:vAlign w:val="bottom"/>
            <w:tcBorders>
              <w:bottom w:val="single" w:sz="8" w:color="E5EAF5"/>
            </w:tcBorders>
            <w:shd w:val="clear" w:color="auto" w:fill="E5EAF5"/>
          </w:tcPr>
          <w:p>
            <w:pPr>
              <w:jc w:val="right"/>
              <w:ind w:right="337"/>
              <w:spacing w:after="0"/>
              <w:rPr>
                <w:sz w:val="20"/>
                <w:szCs w:val="20"/>
                <w:color w:val="auto"/>
              </w:rPr>
            </w:pPr>
            <w:r>
              <w:rPr>
                <w:rFonts w:ascii="Arial" w:cs="Arial" w:eastAsia="Arial" w:hAnsi="Arial"/>
                <w:sz w:val="18"/>
                <w:szCs w:val="18"/>
                <w:color w:val="auto"/>
              </w:rPr>
              <w:t>$   1,225,000</w:t>
            </w:r>
          </w:p>
        </w:tc>
        <w:tc>
          <w:tcPr>
            <w:tcW w:w="2080" w:type="dxa"/>
            <w:vAlign w:val="bottom"/>
            <w:tcBorders>
              <w:bottom w:val="single" w:sz="8" w:color="E5EAF5"/>
            </w:tcBorders>
            <w:shd w:val="clear" w:color="auto" w:fill="E5EAF5"/>
          </w:tcPr>
          <w:p>
            <w:pPr>
              <w:jc w:val="right"/>
              <w:spacing w:after="0"/>
              <w:rPr>
                <w:sz w:val="20"/>
                <w:szCs w:val="20"/>
                <w:color w:val="auto"/>
              </w:rPr>
            </w:pPr>
            <w:r>
              <w:rPr>
                <w:rFonts w:ascii="Arial" w:cs="Arial" w:eastAsia="Arial" w:hAnsi="Arial"/>
                <w:sz w:val="18"/>
                <w:szCs w:val="18"/>
                <w:color w:val="auto"/>
              </w:rPr>
              <w:t>123%</w:t>
            </w:r>
          </w:p>
        </w:tc>
      </w:tr>
      <w:tr>
        <w:trPr>
          <w:trHeight w:val="217"/>
        </w:trPr>
        <w:tc>
          <w:tcPr>
            <w:tcW w:w="4620" w:type="dxa"/>
            <w:vAlign w:val="bottom"/>
            <w:gridSpan w:val="2"/>
          </w:tcPr>
          <w:p>
            <w:pPr>
              <w:ind w:left="60"/>
              <w:spacing w:after="0"/>
              <w:rPr>
                <w:sz w:val="20"/>
                <w:szCs w:val="20"/>
                <w:color w:val="auto"/>
              </w:rPr>
            </w:pPr>
            <w:r>
              <w:rPr>
                <w:rFonts w:ascii="Arial" w:cs="Arial" w:eastAsia="Arial" w:hAnsi="Arial"/>
                <w:sz w:val="18"/>
                <w:szCs w:val="18"/>
                <w:color w:val="auto"/>
              </w:rPr>
              <w:t>Mr. Domanico</w:t>
            </w:r>
          </w:p>
        </w:tc>
        <w:tc>
          <w:tcPr>
            <w:tcW w:w="1980" w:type="dxa"/>
            <w:vAlign w:val="bottom"/>
          </w:tcPr>
          <w:p>
            <w:pPr>
              <w:jc w:val="right"/>
              <w:spacing w:after="0"/>
              <w:rPr>
                <w:sz w:val="20"/>
                <w:szCs w:val="20"/>
                <w:color w:val="auto"/>
              </w:rPr>
            </w:pPr>
            <w:r>
              <w:rPr>
                <w:rFonts w:ascii="Arial" w:cs="Arial" w:eastAsia="Arial" w:hAnsi="Arial"/>
                <w:sz w:val="18"/>
                <w:szCs w:val="18"/>
                <w:color w:val="auto"/>
              </w:rPr>
              <w:t>626,535</w:t>
            </w:r>
          </w:p>
        </w:tc>
        <w:tc>
          <w:tcPr>
            <w:tcW w:w="2340" w:type="dxa"/>
            <w:vAlign w:val="bottom"/>
          </w:tcPr>
          <w:p>
            <w:pPr>
              <w:jc w:val="right"/>
              <w:ind w:right="337"/>
              <w:spacing w:after="0"/>
              <w:rPr>
                <w:sz w:val="20"/>
                <w:szCs w:val="20"/>
                <w:color w:val="auto"/>
              </w:rPr>
            </w:pPr>
            <w:r>
              <w:rPr>
                <w:rFonts w:ascii="Arial" w:cs="Arial" w:eastAsia="Arial" w:hAnsi="Arial"/>
                <w:sz w:val="18"/>
                <w:szCs w:val="18"/>
                <w:color w:val="auto"/>
              </w:rPr>
              <w:t>510,000</w:t>
            </w:r>
          </w:p>
        </w:tc>
        <w:tc>
          <w:tcPr>
            <w:tcW w:w="208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6"/>
        </w:trPr>
        <w:tc>
          <w:tcPr>
            <w:tcW w:w="17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23"/>
        </w:trPr>
        <w:tc>
          <w:tcPr>
            <w:tcW w:w="4620" w:type="dxa"/>
            <w:vAlign w:val="bottom"/>
            <w:tcBorders>
              <w:bottom w:val="single" w:sz="8" w:color="E5EAF5"/>
            </w:tcBorders>
            <w:gridSpan w:val="2"/>
            <w:shd w:val="clear" w:color="auto" w:fill="E5EAF5"/>
          </w:tcPr>
          <w:p>
            <w:pPr>
              <w:ind w:left="60"/>
              <w:spacing w:after="0" w:line="202" w:lineRule="exact"/>
              <w:rPr>
                <w:sz w:val="20"/>
                <w:szCs w:val="20"/>
                <w:color w:val="auto"/>
              </w:rPr>
            </w:pPr>
            <w:r>
              <w:rPr>
                <w:rFonts w:ascii="Arial" w:cs="Arial" w:eastAsia="Arial" w:hAnsi="Arial"/>
                <w:sz w:val="18"/>
                <w:szCs w:val="18"/>
                <w:color w:val="auto"/>
              </w:rPr>
              <w:t>Mr. Beech</w:t>
            </w:r>
          </w:p>
        </w:tc>
        <w:tc>
          <w:tcPr>
            <w:tcW w:w="1980" w:type="dxa"/>
            <w:vAlign w:val="bottom"/>
            <w:tcBorders>
              <w:bottom w:val="single" w:sz="8" w:color="E5EAF5"/>
            </w:tcBorders>
            <w:shd w:val="clear" w:color="auto" w:fill="E5EAF5"/>
          </w:tcPr>
          <w:p>
            <w:pPr>
              <w:jc w:val="right"/>
              <w:spacing w:after="0" w:line="202" w:lineRule="exact"/>
              <w:rPr>
                <w:sz w:val="20"/>
                <w:szCs w:val="20"/>
                <w:color w:val="auto"/>
              </w:rPr>
            </w:pPr>
            <w:r>
              <w:rPr>
                <w:rFonts w:ascii="Arial" w:cs="Arial" w:eastAsia="Arial" w:hAnsi="Arial"/>
                <w:sz w:val="18"/>
                <w:szCs w:val="18"/>
                <w:color w:val="auto"/>
              </w:rPr>
              <w:t>439,779</w:t>
            </w:r>
          </w:p>
        </w:tc>
        <w:tc>
          <w:tcPr>
            <w:tcW w:w="2340" w:type="dxa"/>
            <w:vAlign w:val="bottom"/>
            <w:tcBorders>
              <w:bottom w:val="single" w:sz="8" w:color="E5EAF5"/>
            </w:tcBorders>
            <w:shd w:val="clear" w:color="auto" w:fill="E5EAF5"/>
          </w:tcPr>
          <w:p>
            <w:pPr>
              <w:jc w:val="right"/>
              <w:ind w:right="337"/>
              <w:spacing w:after="0" w:line="202" w:lineRule="exact"/>
              <w:rPr>
                <w:sz w:val="20"/>
                <w:szCs w:val="20"/>
                <w:color w:val="auto"/>
              </w:rPr>
            </w:pPr>
            <w:r>
              <w:rPr>
                <w:rFonts w:ascii="Arial" w:cs="Arial" w:eastAsia="Arial" w:hAnsi="Arial"/>
                <w:sz w:val="18"/>
                <w:szCs w:val="18"/>
                <w:color w:val="auto"/>
              </w:rPr>
              <w:t>321,100</w:t>
            </w:r>
          </w:p>
        </w:tc>
        <w:tc>
          <w:tcPr>
            <w:tcW w:w="2080" w:type="dxa"/>
            <w:vAlign w:val="bottom"/>
            <w:tcBorders>
              <w:bottom w:val="single" w:sz="8" w:color="E5EAF5"/>
            </w:tcBorders>
            <w:shd w:val="clear" w:color="auto" w:fill="E5EAF5"/>
          </w:tcPr>
          <w:p>
            <w:pPr>
              <w:jc w:val="right"/>
              <w:spacing w:after="0" w:line="202" w:lineRule="exact"/>
              <w:rPr>
                <w:sz w:val="20"/>
                <w:szCs w:val="20"/>
                <w:color w:val="auto"/>
              </w:rPr>
            </w:pPr>
            <w:r>
              <w:rPr>
                <w:rFonts w:ascii="Arial" w:cs="Arial" w:eastAsia="Arial" w:hAnsi="Arial"/>
                <w:sz w:val="18"/>
                <w:szCs w:val="18"/>
                <w:color w:val="auto"/>
              </w:rPr>
              <w:t>137%</w:t>
            </w:r>
          </w:p>
        </w:tc>
      </w:tr>
      <w:tr>
        <w:trPr>
          <w:trHeight w:val="217"/>
        </w:trPr>
        <w:tc>
          <w:tcPr>
            <w:tcW w:w="4620" w:type="dxa"/>
            <w:vAlign w:val="bottom"/>
            <w:gridSpan w:val="2"/>
          </w:tcPr>
          <w:p>
            <w:pPr>
              <w:ind w:left="60"/>
              <w:spacing w:after="0"/>
              <w:rPr>
                <w:sz w:val="20"/>
                <w:szCs w:val="20"/>
                <w:color w:val="auto"/>
              </w:rPr>
            </w:pPr>
            <w:r>
              <w:rPr>
                <w:rFonts w:ascii="Arial" w:cs="Arial" w:eastAsia="Arial" w:hAnsi="Arial"/>
                <w:sz w:val="18"/>
                <w:szCs w:val="18"/>
                <w:color w:val="auto"/>
              </w:rPr>
              <w:t>Mr. Marshall</w:t>
            </w:r>
            <w:r>
              <w:rPr>
                <w:rFonts w:ascii="Arial" w:cs="Arial" w:eastAsia="Arial" w:hAnsi="Arial"/>
                <w:sz w:val="15"/>
                <w:szCs w:val="15"/>
                <w:color w:val="auto"/>
              </w:rPr>
              <w:t>(1)</w:t>
            </w:r>
          </w:p>
        </w:tc>
        <w:tc>
          <w:tcPr>
            <w:tcW w:w="1980" w:type="dxa"/>
            <w:vAlign w:val="bottom"/>
          </w:tcPr>
          <w:p>
            <w:pPr>
              <w:jc w:val="right"/>
              <w:spacing w:after="0"/>
              <w:rPr>
                <w:sz w:val="20"/>
                <w:szCs w:val="20"/>
                <w:color w:val="auto"/>
              </w:rPr>
            </w:pPr>
            <w:r>
              <w:rPr>
                <w:rFonts w:ascii="Arial" w:cs="Arial" w:eastAsia="Arial" w:hAnsi="Arial"/>
                <w:sz w:val="18"/>
                <w:szCs w:val="18"/>
                <w:color w:val="auto"/>
              </w:rPr>
              <w:t>387,855</w:t>
            </w:r>
          </w:p>
        </w:tc>
        <w:tc>
          <w:tcPr>
            <w:tcW w:w="2340" w:type="dxa"/>
            <w:vAlign w:val="bottom"/>
          </w:tcPr>
          <w:p>
            <w:pPr>
              <w:jc w:val="right"/>
              <w:ind w:right="337"/>
              <w:spacing w:after="0"/>
              <w:rPr>
                <w:sz w:val="20"/>
                <w:szCs w:val="20"/>
                <w:color w:val="auto"/>
              </w:rPr>
            </w:pPr>
            <w:r>
              <w:rPr>
                <w:rFonts w:ascii="Arial" w:cs="Arial" w:eastAsia="Arial" w:hAnsi="Arial"/>
                <w:sz w:val="18"/>
                <w:szCs w:val="18"/>
                <w:color w:val="auto"/>
              </w:rPr>
              <w:t>331,500</w:t>
            </w:r>
          </w:p>
        </w:tc>
        <w:tc>
          <w:tcPr>
            <w:tcW w:w="208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6"/>
        </w:trPr>
        <w:tc>
          <w:tcPr>
            <w:tcW w:w="17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62"/>
        </w:trPr>
        <w:tc>
          <w:tcPr>
            <w:tcW w:w="4620" w:type="dxa"/>
            <w:vAlign w:val="bottom"/>
            <w:tcBorders>
              <w:bottom w:val="single" w:sz="8" w:color="E5EAF5"/>
            </w:tcBorders>
            <w:gridSpan w:val="2"/>
            <w:shd w:val="clear" w:color="auto" w:fill="E5EAF5"/>
          </w:tcPr>
          <w:p>
            <w:pPr>
              <w:ind w:left="60"/>
              <w:spacing w:after="0" w:line="202" w:lineRule="exact"/>
              <w:rPr>
                <w:sz w:val="20"/>
                <w:szCs w:val="20"/>
                <w:color w:val="auto"/>
              </w:rPr>
            </w:pPr>
            <w:r>
              <w:rPr>
                <w:rFonts w:ascii="Arial" w:cs="Arial" w:eastAsia="Arial" w:hAnsi="Arial"/>
                <w:sz w:val="18"/>
                <w:szCs w:val="18"/>
                <w:color w:val="auto"/>
              </w:rPr>
              <w:t>Mr. Zukerman</w:t>
            </w:r>
          </w:p>
        </w:tc>
        <w:tc>
          <w:tcPr>
            <w:tcW w:w="1980" w:type="dxa"/>
            <w:vAlign w:val="bottom"/>
            <w:tcBorders>
              <w:bottom w:val="single" w:sz="8" w:color="E5EAF5"/>
            </w:tcBorders>
            <w:shd w:val="clear" w:color="auto" w:fill="E5EAF5"/>
          </w:tcPr>
          <w:p>
            <w:pPr>
              <w:jc w:val="right"/>
              <w:spacing w:after="0" w:line="202" w:lineRule="exact"/>
              <w:rPr>
                <w:sz w:val="20"/>
                <w:szCs w:val="20"/>
                <w:color w:val="auto"/>
              </w:rPr>
            </w:pPr>
            <w:r>
              <w:rPr>
                <w:rFonts w:ascii="Arial" w:cs="Arial" w:eastAsia="Arial" w:hAnsi="Arial"/>
                <w:sz w:val="18"/>
                <w:szCs w:val="18"/>
                <w:color w:val="auto"/>
              </w:rPr>
              <w:t>598,444</w:t>
            </w:r>
          </w:p>
        </w:tc>
        <w:tc>
          <w:tcPr>
            <w:tcW w:w="2340" w:type="dxa"/>
            <w:vAlign w:val="bottom"/>
            <w:tcBorders>
              <w:bottom w:val="single" w:sz="8" w:color="E5EAF5"/>
            </w:tcBorders>
            <w:shd w:val="clear" w:color="auto" w:fill="E5EAF5"/>
          </w:tcPr>
          <w:p>
            <w:pPr>
              <w:jc w:val="right"/>
              <w:ind w:right="337"/>
              <w:spacing w:after="0" w:line="202" w:lineRule="exact"/>
              <w:rPr>
                <w:sz w:val="20"/>
                <w:szCs w:val="20"/>
                <w:color w:val="auto"/>
              </w:rPr>
            </w:pPr>
            <w:r>
              <w:rPr>
                <w:rFonts w:ascii="Arial" w:cs="Arial" w:eastAsia="Arial" w:hAnsi="Arial"/>
                <w:sz w:val="18"/>
                <w:szCs w:val="18"/>
                <w:color w:val="auto"/>
              </w:rPr>
              <w:t>553,500</w:t>
            </w:r>
          </w:p>
        </w:tc>
        <w:tc>
          <w:tcPr>
            <w:tcW w:w="2080" w:type="dxa"/>
            <w:vAlign w:val="bottom"/>
            <w:tcBorders>
              <w:bottom w:val="single" w:sz="8" w:color="E5EAF5"/>
            </w:tcBorders>
            <w:shd w:val="clear" w:color="auto" w:fill="E5EAF5"/>
          </w:tcPr>
          <w:p>
            <w:pPr>
              <w:jc w:val="right"/>
              <w:spacing w:after="0" w:line="202" w:lineRule="exact"/>
              <w:rPr>
                <w:sz w:val="20"/>
                <w:szCs w:val="20"/>
                <w:color w:val="auto"/>
              </w:rPr>
            </w:pPr>
            <w:r>
              <w:rPr>
                <w:rFonts w:ascii="Arial" w:cs="Arial" w:eastAsia="Arial" w:hAnsi="Arial"/>
                <w:sz w:val="18"/>
                <w:szCs w:val="18"/>
                <w:color w:val="auto"/>
              </w:rPr>
              <w:t>108%</w:t>
            </w:r>
          </w:p>
        </w:tc>
      </w:tr>
      <w:tr>
        <w:trPr>
          <w:trHeight w:val="129"/>
        </w:trPr>
        <w:tc>
          <w:tcPr>
            <w:tcW w:w="1740" w:type="dxa"/>
            <w:vAlign w:val="bottom"/>
            <w:tcBorders>
              <w:top w:val="single" w:sz="8" w:color="0033A0"/>
              <w:bottom w:val="single" w:sz="8" w:color="auto"/>
            </w:tcBorders>
          </w:tcPr>
          <w:p>
            <w:pPr>
              <w:spacing w:after="0"/>
              <w:rPr>
                <w:sz w:val="11"/>
                <w:szCs w:val="11"/>
                <w:color w:val="auto"/>
              </w:rPr>
            </w:pPr>
          </w:p>
        </w:tc>
        <w:tc>
          <w:tcPr>
            <w:tcW w:w="2880" w:type="dxa"/>
            <w:vAlign w:val="bottom"/>
            <w:tcBorders>
              <w:top w:val="single" w:sz="8" w:color="0033A0"/>
            </w:tcBorders>
          </w:tcPr>
          <w:p>
            <w:pPr>
              <w:spacing w:after="0"/>
              <w:rPr>
                <w:sz w:val="11"/>
                <w:szCs w:val="11"/>
                <w:color w:val="auto"/>
              </w:rPr>
            </w:pPr>
          </w:p>
        </w:tc>
        <w:tc>
          <w:tcPr>
            <w:tcW w:w="1980" w:type="dxa"/>
            <w:vAlign w:val="bottom"/>
            <w:tcBorders>
              <w:top w:val="single" w:sz="8" w:color="0033A0"/>
            </w:tcBorders>
          </w:tcPr>
          <w:p>
            <w:pPr>
              <w:spacing w:after="0"/>
              <w:rPr>
                <w:sz w:val="11"/>
                <w:szCs w:val="11"/>
                <w:color w:val="auto"/>
              </w:rPr>
            </w:pPr>
          </w:p>
        </w:tc>
        <w:tc>
          <w:tcPr>
            <w:tcW w:w="2340" w:type="dxa"/>
            <w:vAlign w:val="bottom"/>
            <w:tcBorders>
              <w:top w:val="single" w:sz="8" w:color="0033A0"/>
            </w:tcBorders>
          </w:tcPr>
          <w:p>
            <w:pPr>
              <w:spacing w:after="0"/>
              <w:rPr>
                <w:sz w:val="11"/>
                <w:szCs w:val="11"/>
                <w:color w:val="auto"/>
              </w:rPr>
            </w:pPr>
          </w:p>
        </w:tc>
        <w:tc>
          <w:tcPr>
            <w:tcW w:w="2080" w:type="dxa"/>
            <w:vAlign w:val="bottom"/>
            <w:tcBorders>
              <w:top w:val="single" w:sz="8" w:color="0033A0"/>
            </w:tcBorders>
          </w:tcPr>
          <w:p>
            <w:pPr>
              <w:spacing w:after="0"/>
              <w:rPr>
                <w:sz w:val="11"/>
                <w:szCs w:val="11"/>
                <w:color w:val="auto"/>
              </w:rPr>
            </w:pPr>
          </w:p>
        </w:tc>
      </w:tr>
    </w:tbl>
    <w:p>
      <w:pPr>
        <w:spacing w:after="0" w:line="45" w:lineRule="exact"/>
        <w:rPr>
          <w:sz w:val="20"/>
          <w:szCs w:val="20"/>
          <w:color w:val="auto"/>
        </w:rPr>
      </w:pPr>
    </w:p>
    <w:p>
      <w:pPr>
        <w:jc w:val="both"/>
        <w:ind w:left="520" w:right="300" w:hanging="316"/>
        <w:spacing w:after="0" w:line="199" w:lineRule="auto"/>
        <w:tabs>
          <w:tab w:leader="none" w:pos="520" w:val="left"/>
        </w:tabs>
        <w:numPr>
          <w:ilvl w:val="0"/>
          <w:numId w:val="35"/>
        </w:numPr>
        <w:rPr>
          <w:rFonts w:ascii="Arial" w:cs="Arial" w:eastAsia="Arial" w:hAnsi="Arial"/>
          <w:sz w:val="24"/>
          <w:szCs w:val="24"/>
          <w:color w:val="auto"/>
          <w:vertAlign w:val="superscript"/>
        </w:rPr>
      </w:pPr>
      <w:r>
        <w:rPr>
          <w:rFonts w:ascii="Arial" w:cs="Arial" w:eastAsia="Arial" w:hAnsi="Arial"/>
          <w:sz w:val="14"/>
          <w:szCs w:val="14"/>
          <w:color w:val="auto"/>
        </w:rPr>
        <w:t>Mr. Marshall’s 2018 annual incentive payout was made pursuant to the terms of a Consulting Agreement with the Company, the terms of which were disclosed on a Current Report on Form 8-K filed with the SEC on January 7, 2019 and which was filed as exhibit to the Company’s Annual Report on Form 10-K for the year ended December 31, 2018.</w:t>
      </w:r>
    </w:p>
    <w:p>
      <w:pPr>
        <w:spacing w:after="0" w:line="134" w:lineRule="exact"/>
        <w:rPr>
          <w:sz w:val="20"/>
          <w:szCs w:val="20"/>
          <w:color w:val="auto"/>
        </w:rPr>
      </w:pPr>
    </w:p>
    <w:tbl>
      <w:tblPr>
        <w:tblLayout w:type="fixed"/>
        <w:tblInd w:w="200" w:type="dxa"/>
        <w:tblCellMar>
          <w:top w:w="0" w:type="dxa"/>
          <w:left w:w="0" w:type="dxa"/>
          <w:bottom w:w="0" w:type="dxa"/>
          <w:right w:w="0" w:type="dxa"/>
        </w:tblCellMar>
      </w:tblPr>
      <w:tr>
        <w:trPr>
          <w:trHeight w:val="297"/>
        </w:trPr>
        <w:tc>
          <w:tcPr>
            <w:tcW w:w="360" w:type="dxa"/>
            <w:vAlign w:val="bottom"/>
            <w:tcBorders>
              <w:right w:val="single" w:sz="8" w:color="0033A0"/>
            </w:tcBorders>
          </w:tcPr>
          <w:p>
            <w:pPr>
              <w:jc w:val="right"/>
              <w:ind w:right="70"/>
              <w:spacing w:after="0"/>
              <w:rPr>
                <w:sz w:val="20"/>
                <w:szCs w:val="20"/>
                <w:color w:val="auto"/>
              </w:rPr>
            </w:pPr>
            <w:r>
              <w:rPr>
                <w:rFonts w:ascii="Arial" w:cs="Arial" w:eastAsia="Arial" w:hAnsi="Arial"/>
                <w:sz w:val="18"/>
                <w:szCs w:val="18"/>
                <w:b w:val="1"/>
                <w:bCs w:val="1"/>
                <w:color w:val="auto"/>
                <w:w w:val="89"/>
              </w:rPr>
              <w:t>34</w:t>
            </w:r>
          </w:p>
        </w:tc>
        <w:tc>
          <w:tcPr>
            <w:tcW w:w="3380" w:type="dxa"/>
            <w:vAlign w:val="bottom"/>
          </w:tcPr>
          <w:p>
            <w:pPr>
              <w:ind w:left="1600"/>
              <w:spacing w:after="0"/>
              <w:rPr>
                <w:sz w:val="20"/>
                <w:szCs w:val="20"/>
                <w:color w:val="auto"/>
              </w:rPr>
            </w:pPr>
            <w:r>
              <w:rPr>
                <w:rFonts w:ascii="Arial" w:cs="Arial" w:eastAsia="Arial" w:hAnsi="Arial"/>
                <w:sz w:val="18"/>
                <w:szCs w:val="18"/>
                <w:i w:val="1"/>
                <w:iCs w:val="1"/>
                <w:color w:val="auto"/>
                <w:w w:val="98"/>
              </w:rPr>
              <w:t>2019 Proxy Statement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-170815</wp:posOffset>
            </wp:positionV>
            <wp:extent cx="720090" cy="1289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0090" cy="12890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0033A0"/>
        </w:rPr>
        <w:t>Long-Term Incentive Compensation</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General</w:t>
      </w:r>
    </w:p>
    <w:p>
      <w:pPr>
        <w:spacing w:after="0" w:line="126" w:lineRule="exact"/>
        <w:rPr>
          <w:sz w:val="20"/>
          <w:szCs w:val="20"/>
          <w:color w:val="auto"/>
        </w:rPr>
      </w:pPr>
    </w:p>
    <w:p>
      <w:pPr>
        <w:ind w:left="200" w:right="40"/>
        <w:spacing w:after="0" w:line="253" w:lineRule="auto"/>
        <w:rPr>
          <w:sz w:val="20"/>
          <w:szCs w:val="20"/>
          <w:color w:val="auto"/>
        </w:rPr>
      </w:pPr>
      <w:r>
        <w:rPr>
          <w:rFonts w:ascii="Arial" w:cs="Arial" w:eastAsia="Arial" w:hAnsi="Arial"/>
          <w:sz w:val="17"/>
          <w:szCs w:val="17"/>
          <w:color w:val="auto"/>
        </w:rPr>
        <w:t>The Company provides LTI compensation to ensure that a significant portion of named executive officer compensation is tied to the Company’s long-term results and increases in shareholder value. In 2018, the Compensation Committee approved LTI awards to named executive officers that included Relative TSR PSUs, and Stock Options and, for all executives other than the Chief Executive Officer, Internal Metric PSUs and RSUs.</w:t>
      </w:r>
    </w:p>
    <w:p>
      <w:pPr>
        <w:spacing w:after="0" w:line="84" w:lineRule="exact"/>
        <w:rPr>
          <w:sz w:val="20"/>
          <w:szCs w:val="20"/>
          <w:color w:val="auto"/>
        </w:rPr>
      </w:pPr>
    </w:p>
    <w:p>
      <w:pPr>
        <w:ind w:left="200" w:right="400"/>
        <w:spacing w:after="0" w:line="246" w:lineRule="auto"/>
        <w:rPr>
          <w:sz w:val="20"/>
          <w:szCs w:val="20"/>
          <w:color w:val="auto"/>
        </w:rPr>
      </w:pPr>
      <w:r>
        <w:rPr>
          <w:rFonts w:ascii="Arial" w:cs="Arial" w:eastAsia="Arial" w:hAnsi="Arial"/>
          <w:sz w:val="18"/>
          <w:szCs w:val="18"/>
          <w:u w:val="single" w:color="auto"/>
          <w:color w:val="auto"/>
        </w:rPr>
        <w:t>Internal Metric PSUs</w:t>
      </w:r>
      <w:r>
        <w:rPr>
          <w:rFonts w:ascii="Arial" w:cs="Arial" w:eastAsia="Arial" w:hAnsi="Arial"/>
          <w:sz w:val="18"/>
          <w:szCs w:val="18"/>
          <w:color w:val="auto"/>
        </w:rPr>
        <w:t>. The performance period for the Internal Metric PSUs is generally three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u w:val="single" w:color="auto"/>
          <w:color w:val="auto"/>
        </w:rPr>
        <w:t>Relative TSR PSUs</w:t>
      </w:r>
      <w:r>
        <w:rPr>
          <w:rFonts w:ascii="Arial" w:cs="Arial" w:eastAsia="Arial" w:hAnsi="Arial"/>
          <w:sz w:val="18"/>
          <w:szCs w:val="18"/>
          <w:color w:val="auto"/>
        </w:rPr>
        <w:t>. The performance period for the Relative TSR PSUs is generally three years, beginning on January 1 of the first year of the performance period and ending on December 31 of the third year of the performance period. Named executive officers benefit from Relative TSR PSUs only to the extent Brink’s achieves performance goals determined by the Compensation Committee at the beginning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00"/>
        <w:spacing w:after="0" w:line="255" w:lineRule="auto"/>
        <w:rPr>
          <w:sz w:val="20"/>
          <w:szCs w:val="20"/>
          <w:color w:val="auto"/>
        </w:rPr>
      </w:pPr>
      <w:r>
        <w:rPr>
          <w:rFonts w:ascii="Arial" w:cs="Arial" w:eastAsia="Arial" w:hAnsi="Arial"/>
          <w:sz w:val="17"/>
          <w:szCs w:val="17"/>
          <w:u w:val="single" w:color="auto"/>
          <w:color w:val="auto"/>
        </w:rPr>
        <w:t>RSUs</w:t>
      </w:r>
      <w:r>
        <w:rPr>
          <w:rFonts w:ascii="Arial" w:cs="Arial" w:eastAsia="Arial" w:hAnsi="Arial"/>
          <w:sz w:val="17"/>
          <w:szCs w:val="17"/>
          <w:color w:val="auto"/>
        </w:rPr>
        <w:t>. Each RSU is the economic equivalent of one share of Brink’s Common Stock and is settled in shares of Brink’s Common Stock. RSUs retain value even if the price of Brink’s Common Stock decreases below the price on the date of grant as long as the named executive officer satisfies the vesting requirements.</w:t>
      </w:r>
    </w:p>
    <w:p>
      <w:pPr>
        <w:spacing w:after="0" w:line="82" w:lineRule="exact"/>
        <w:rPr>
          <w:sz w:val="20"/>
          <w:szCs w:val="20"/>
          <w:color w:val="auto"/>
        </w:rPr>
      </w:pPr>
    </w:p>
    <w:p>
      <w:pPr>
        <w:ind w:left="200" w:right="280"/>
        <w:spacing w:after="0" w:line="239" w:lineRule="auto"/>
        <w:rPr>
          <w:sz w:val="20"/>
          <w:szCs w:val="20"/>
          <w:color w:val="auto"/>
        </w:rPr>
      </w:pPr>
      <w:r>
        <w:rPr>
          <w:rFonts w:ascii="Arial" w:cs="Arial" w:eastAsia="Arial" w:hAnsi="Arial"/>
          <w:sz w:val="18"/>
          <w:szCs w:val="18"/>
          <w:u w:val="single" w:color="auto"/>
          <w:color w:val="auto"/>
        </w:rPr>
        <w:t>Stock Options</w:t>
      </w:r>
      <w:r>
        <w:rPr>
          <w:rFonts w:ascii="Arial" w:cs="Arial" w:eastAsia="Arial" w:hAnsi="Arial"/>
          <w:sz w:val="18"/>
          <w:szCs w:val="18"/>
          <w:color w:val="auto"/>
        </w:rPr>
        <w:t>. Each Stock Option represents an opportunity to purchase a share of the Company’s common stock at the fair market value as of the grant date, subject to time-based and/or performance-based vesting conditions.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ind w:left="1000"/>
        <w:spacing w:after="0"/>
        <w:rPr>
          <w:sz w:val="20"/>
          <w:szCs w:val="20"/>
          <w:color w:val="auto"/>
        </w:rPr>
      </w:pPr>
      <w:r>
        <w:rPr>
          <w:rFonts w:ascii="Arial" w:cs="Arial" w:eastAsia="Arial" w:hAnsi="Arial"/>
          <w:sz w:val="19"/>
          <w:szCs w:val="19"/>
          <w:b w:val="1"/>
          <w:bCs w:val="1"/>
          <w:color w:val="0033A0"/>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-661035</wp:posOffset>
            </wp:positionV>
            <wp:extent cx="72891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7"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beginning on January 1 of the first year of the performance period and ending on December 31 of the third year of the performance period. Named executive officers benefit from Internal Metric PSUs only to the extent Brink’s achieves performance goals determined by the Compensation Committee at the beginning of the performance period. After the conclusion of the performance period, Internal Metric PSU payouts will be in shares of Brink’s Common Stock and will range from 0 to 200% of the target award. The number of shares ultimately paid will depend on performance against the goals established by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-1460500</wp:posOffset>
            </wp:positionH>
            <wp:positionV relativeFrom="paragraph">
              <wp:posOffset>577850</wp:posOffset>
            </wp:positionV>
            <wp:extent cx="2787015" cy="7200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787015"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40"/>
        <w:spacing w:after="0" w:line="255" w:lineRule="auto"/>
        <w:rPr>
          <w:sz w:val="20"/>
          <w:szCs w:val="20"/>
          <w:color w:val="auto"/>
        </w:rPr>
      </w:pPr>
      <w:r>
        <w:rPr>
          <w:rFonts w:ascii="Arial" w:cs="Arial" w:eastAsia="Arial" w:hAnsi="Arial"/>
          <w:sz w:val="17"/>
          <w:szCs w:val="17"/>
          <w:color w:val="auto"/>
        </w:rPr>
        <w:t>performance period. After the conclusion of the performance period, Relative TSR PSU payouts will be in shares of Brink’s Common Stock and will range from 0 to 200% of the target award. The number of shares ultimately paid will depend on performance against the goals established by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-1460500</wp:posOffset>
            </wp:positionH>
            <wp:positionV relativeFrom="paragraph">
              <wp:posOffset>490220</wp:posOffset>
            </wp:positionV>
            <wp:extent cx="2787015" cy="7200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787015"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Long-Term Incentive Target Award Opportunities</w:t>
      </w:r>
    </w:p>
    <w:p>
      <w:pPr>
        <w:spacing w:after="0" w:line="12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Compensation Committee approved annual LTI awards in February 2018. For each of the named executive officers other than the Chief Executive Officer, 2018 LTI awards included equity awards under the 2017 Equity Incentive Plan composed of Internal Metric PSUs (25% of the award), Relative TSR PSUs (25% of the award), RSUs (25% of the award), and Performance Stock Options (25% of the award). For Mr. Pertz, the Committee approved a 2018 LTI award that included Relative TSR PSUs (25% of the award) and Performance Stock Options (75% of the award). In establishing LTI compensation targets for each named executive officer for 2018, the</w:t>
      </w:r>
    </w:p>
    <w:p>
      <w:pPr>
        <w:spacing w:after="0" w:line="274" w:lineRule="exact"/>
        <w:rPr>
          <w:sz w:val="20"/>
          <w:szCs w:val="20"/>
          <w:color w:val="auto"/>
        </w:rPr>
      </w:pPr>
    </w:p>
    <w:tbl>
      <w:tblPr>
        <w:tblLayout w:type="fixed"/>
        <w:tblInd w:w="3000" w:type="dxa"/>
        <w:tblCellMar>
          <w:top w:w="0" w:type="dxa"/>
          <w:left w:w="0" w:type="dxa"/>
          <w:bottom w:w="0" w:type="dxa"/>
          <w:right w:w="0" w:type="dxa"/>
        </w:tblCellMar>
      </w:tblPr>
      <w:tr>
        <w:trPr>
          <w:trHeight w:val="297"/>
        </w:trPr>
        <w:tc>
          <w:tcPr>
            <w:tcW w:w="1900" w:type="dxa"/>
            <w:vAlign w:val="bottom"/>
            <w:tcBorders>
              <w:right w:val="single" w:sz="8" w:color="0033A0"/>
            </w:tcBorders>
          </w:tcPr>
          <w:p>
            <w:pPr>
              <w:spacing w:after="0"/>
              <w:rPr>
                <w:sz w:val="20"/>
                <w:szCs w:val="20"/>
                <w:color w:val="auto"/>
              </w:rPr>
            </w:pPr>
            <w:r>
              <w:rPr>
                <w:rFonts w:ascii="Arial" w:cs="Arial" w:eastAsia="Arial" w:hAnsi="Arial"/>
                <w:sz w:val="18"/>
                <w:szCs w:val="18"/>
                <w:i w:val="1"/>
                <w:iCs w:val="1"/>
                <w:color w:val="auto"/>
              </w:rPr>
              <w:t>2019 Proxy Statement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1026160</wp:posOffset>
            </wp:positionH>
            <wp:positionV relativeFrom="paragraph">
              <wp:posOffset>-170815</wp:posOffset>
            </wp:positionV>
            <wp:extent cx="720090" cy="1289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0090" cy="128905"/>
                    </a:xfrm>
                    <a:prstGeom prst="rect">
                      <a:avLst/>
                    </a:prstGeom>
                    <a:noFill/>
                  </pic:spPr>
                </pic:pic>
              </a:graphicData>
            </a:graphic>
          </wp:anchor>
        </w:drawing>
      </w:r>
    </w:p>
    <w:p>
      <w:pPr>
        <w:sectPr>
          <w:pgSz w:w="11900" w:h="16838" w:orient="portrait"/>
          <w:cols w:equalWidth="0" w:num="2">
            <w:col w:w="5480" w:space="340"/>
            <w:col w:w="5400"/>
          </w:cols>
          <w:pgMar w:left="24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0033A0"/>
        </w:rPr>
        <w:t>The Brink’s Company</w:t>
      </w:r>
    </w:p>
    <w:p>
      <w:pPr>
        <w:spacing w:after="0" w:line="215"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Compensation Committee primarily considered competitive market information, in the context of the overall LTI compensation philosophy, which takes into account the executive’s skills and experience and potential future contributions to the Company. The Compensation Committee approves LTI awards based on a target dollar value that is then converted into a number of Relative TSR PSUs, Internal Metric PSUs, RSUs, and Performance Stock Options, based on the grant date fair value of each award type. The Committee believes this approach is aligned with the market-based LTI grant value determination for each position.</w:t>
      </w:r>
    </w:p>
    <w:p>
      <w:pPr>
        <w:spacing w:after="0" w:line="98" w:lineRule="exact"/>
        <w:rPr>
          <w:sz w:val="20"/>
          <w:szCs w:val="20"/>
          <w:color w:val="auto"/>
        </w:rPr>
      </w:pPr>
    </w:p>
    <w:p>
      <w:pPr>
        <w:ind w:left="200" w:right="60"/>
        <w:spacing w:after="0" w:line="239" w:lineRule="auto"/>
        <w:rPr>
          <w:sz w:val="20"/>
          <w:szCs w:val="20"/>
          <w:color w:val="auto"/>
        </w:rPr>
      </w:pPr>
      <w:r>
        <w:rPr>
          <w:rFonts w:ascii="Arial" w:cs="Arial" w:eastAsia="Arial" w:hAnsi="Arial"/>
          <w:sz w:val="18"/>
          <w:szCs w:val="18"/>
          <w:color w:val="auto"/>
        </w:rPr>
        <w:t>In 2018, the Compensation Committee approved an increase in Mr. Pertz’s annual LTI in light of the Company’s success following Mr. Pertz’s appointment as CEO and his expected future contributions to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200"/>
        <w:spacing w:after="0" w:line="236" w:lineRule="auto"/>
        <w:rPr>
          <w:sz w:val="20"/>
          <w:szCs w:val="20"/>
          <w:color w:val="auto"/>
        </w:rPr>
      </w:pPr>
      <w:r>
        <w:rPr>
          <w:rFonts w:ascii="Arial" w:cs="Arial" w:eastAsia="Arial" w:hAnsi="Arial"/>
          <w:sz w:val="18"/>
          <w:szCs w:val="18"/>
          <w:color w:val="auto"/>
        </w:rPr>
        <w:t>Company and as a retention incentive. The Committee also adjusted the mix of equity vehicles in Mr. Pertz’s LTI award to increase the proportion of Performance Stock Options, thereby substantially increasing the proportion of his performance-based, at-risk compensation. As a result, for 2018, Mr. Pertz’s LTI was composed of Relative TSR PSUs (25% of the award), and Performance Stock Options (75% of the award, split equally between Performance Stock Options that vest only in the event of stock price appreciation of 25% or more and Performance Stock Options that vest only in the event of stock price appreciation of 50% or 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-2226945</wp:posOffset>
            </wp:positionV>
            <wp:extent cx="72891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78"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The following table sets forth the aggregate amount of LTI award opportunities approved by the Compensation Committee for 2018, for each of the named executive officers. The equity awards appear in the Grants of Plan-Based Awards Table on page 47.</w:t>
      </w:r>
    </w:p>
    <w:p>
      <w:pPr>
        <w:spacing w:after="0" w:line="200" w:lineRule="exact"/>
        <w:rPr>
          <w:sz w:val="20"/>
          <w:szCs w:val="20"/>
          <w:color w:val="auto"/>
        </w:rPr>
      </w:pPr>
    </w:p>
    <w:p>
      <w:pPr>
        <w:sectPr>
          <w:pgSz w:w="11900" w:h="16838" w:orient="portrait"/>
          <w:cols w:equalWidth="0" w:num="2">
            <w:col w:w="5460" w:space="360"/>
            <w:col w:w="5420"/>
          </w:cols>
          <w:pgMar w:left="240" w:top="459" w:right="419" w:bottom="1440" w:gutter="0" w:footer="0" w:header="0"/>
        </w:sectPr>
      </w:pPr>
    </w:p>
    <w:p>
      <w:pPr>
        <w:spacing w:after="0" w:line="165"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17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980" w:type="dxa"/>
            <w:vAlign w:val="bottom"/>
          </w:tcPr>
          <w:p>
            <w:pPr>
              <w:jc w:val="center"/>
              <w:ind w:left="437"/>
              <w:spacing w:after="0"/>
              <w:rPr>
                <w:sz w:val="20"/>
                <w:szCs w:val="20"/>
                <w:color w:val="auto"/>
              </w:rPr>
            </w:pPr>
            <w:r>
              <w:rPr>
                <w:rFonts w:ascii="Arial" w:cs="Arial" w:eastAsia="Arial" w:hAnsi="Arial"/>
                <w:sz w:val="14"/>
                <w:szCs w:val="14"/>
                <w:b w:val="1"/>
                <w:bCs w:val="1"/>
                <w:color w:val="0033A0"/>
              </w:rPr>
              <w:t>% Change</w:t>
            </w:r>
          </w:p>
        </w:tc>
      </w:tr>
      <w:tr>
        <w:trPr>
          <w:trHeight w:val="159"/>
        </w:trPr>
        <w:tc>
          <w:tcPr>
            <w:tcW w:w="17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60" w:type="dxa"/>
            <w:vAlign w:val="bottom"/>
          </w:tcPr>
          <w:p>
            <w:pPr>
              <w:jc w:val="right"/>
              <w:ind w:right="733"/>
              <w:spacing w:after="0" w:line="159" w:lineRule="exact"/>
              <w:rPr>
                <w:sz w:val="20"/>
                <w:szCs w:val="20"/>
                <w:color w:val="auto"/>
              </w:rPr>
            </w:pPr>
            <w:r>
              <w:rPr>
                <w:rFonts w:ascii="Arial" w:cs="Arial" w:eastAsia="Arial" w:hAnsi="Arial"/>
                <w:sz w:val="14"/>
                <w:szCs w:val="14"/>
                <w:b w:val="1"/>
                <w:bCs w:val="1"/>
                <w:color w:val="0033A0"/>
              </w:rPr>
              <w:t>2017 Long-Term</w:t>
            </w:r>
          </w:p>
        </w:tc>
        <w:tc>
          <w:tcPr>
            <w:tcW w:w="560" w:type="dxa"/>
            <w:vAlign w:val="bottom"/>
          </w:tcPr>
          <w:p>
            <w:pPr>
              <w:spacing w:after="0"/>
              <w:rPr>
                <w:sz w:val="13"/>
                <w:szCs w:val="13"/>
                <w:color w:val="auto"/>
              </w:rPr>
            </w:pPr>
          </w:p>
        </w:tc>
        <w:tc>
          <w:tcPr>
            <w:tcW w:w="2360" w:type="dxa"/>
            <w:vAlign w:val="bottom"/>
          </w:tcPr>
          <w:p>
            <w:pPr>
              <w:jc w:val="right"/>
              <w:ind w:right="793"/>
              <w:spacing w:after="0" w:line="159" w:lineRule="exact"/>
              <w:rPr>
                <w:sz w:val="20"/>
                <w:szCs w:val="20"/>
                <w:color w:val="auto"/>
              </w:rPr>
            </w:pPr>
            <w:r>
              <w:rPr>
                <w:rFonts w:ascii="Arial" w:cs="Arial" w:eastAsia="Arial" w:hAnsi="Arial"/>
                <w:sz w:val="14"/>
                <w:szCs w:val="14"/>
                <w:b w:val="1"/>
                <w:bCs w:val="1"/>
                <w:color w:val="0033A0"/>
              </w:rPr>
              <w:t>Total 2018 Long-Term</w:t>
            </w:r>
          </w:p>
        </w:tc>
        <w:tc>
          <w:tcPr>
            <w:tcW w:w="1980" w:type="dxa"/>
            <w:vAlign w:val="bottom"/>
          </w:tcPr>
          <w:p>
            <w:pPr>
              <w:jc w:val="center"/>
              <w:ind w:left="437"/>
              <w:spacing w:after="0" w:line="159" w:lineRule="exact"/>
              <w:rPr>
                <w:sz w:val="20"/>
                <w:szCs w:val="20"/>
                <w:color w:val="auto"/>
              </w:rPr>
            </w:pPr>
            <w:r>
              <w:rPr>
                <w:rFonts w:ascii="Arial" w:cs="Arial" w:eastAsia="Arial" w:hAnsi="Arial"/>
                <w:sz w:val="14"/>
                <w:szCs w:val="14"/>
                <w:b w:val="1"/>
                <w:bCs w:val="1"/>
                <w:color w:val="0033A0"/>
              </w:rPr>
              <w:t>(from 2017 LTI</w:t>
            </w:r>
          </w:p>
        </w:tc>
      </w:tr>
      <w:tr>
        <w:trPr>
          <w:trHeight w:val="179"/>
        </w:trPr>
        <w:tc>
          <w:tcPr>
            <w:tcW w:w="3440" w:type="dxa"/>
            <w:vAlign w:val="bottom"/>
            <w:tcBorders>
              <w:bottom w:val="single" w:sz="8" w:color="0033A0"/>
            </w:tcBorders>
            <w:gridSpan w:val="2"/>
          </w:tcPr>
          <w:p>
            <w:pPr>
              <w:ind w:left="60"/>
              <w:spacing w:after="0"/>
              <w:rPr>
                <w:sz w:val="20"/>
                <w:szCs w:val="20"/>
                <w:color w:val="auto"/>
              </w:rPr>
            </w:pPr>
            <w:r>
              <w:rPr>
                <w:rFonts w:ascii="Arial" w:cs="Arial" w:eastAsia="Arial" w:hAnsi="Arial"/>
                <w:sz w:val="14"/>
                <w:szCs w:val="14"/>
                <w:b w:val="1"/>
                <w:bCs w:val="1"/>
                <w:color w:val="0033A0"/>
              </w:rPr>
              <w:t>Name</w:t>
            </w:r>
          </w:p>
        </w:tc>
        <w:tc>
          <w:tcPr>
            <w:tcW w:w="2680" w:type="dxa"/>
            <w:vAlign w:val="bottom"/>
            <w:tcBorders>
              <w:bottom w:val="single" w:sz="8" w:color="0033A0"/>
            </w:tcBorders>
            <w:gridSpan w:val="2"/>
          </w:tcPr>
          <w:p>
            <w:pPr>
              <w:ind w:left="400"/>
              <w:spacing w:after="0" w:line="179" w:lineRule="exact"/>
              <w:rPr>
                <w:sz w:val="20"/>
                <w:szCs w:val="20"/>
                <w:color w:val="auto"/>
              </w:rPr>
            </w:pPr>
            <w:r>
              <w:rPr>
                <w:rFonts w:ascii="Arial" w:cs="Arial" w:eastAsia="Arial" w:hAnsi="Arial"/>
                <w:sz w:val="12"/>
                <w:szCs w:val="12"/>
                <w:b w:val="1"/>
                <w:bCs w:val="1"/>
                <w:color w:val="0033A0"/>
              </w:rPr>
              <w:t>Incentive Compensation</w:t>
            </w:r>
            <w:r>
              <w:rPr>
                <w:rFonts w:ascii="Arial" w:cs="Arial" w:eastAsia="Arial" w:hAnsi="Arial"/>
                <w:sz w:val="20"/>
                <w:szCs w:val="20"/>
                <w:b w:val="1"/>
                <w:bCs w:val="1"/>
                <w:color w:val="0033A0"/>
                <w:vertAlign w:val="superscript"/>
              </w:rPr>
              <w:t>(1)</w:t>
            </w:r>
          </w:p>
        </w:tc>
        <w:tc>
          <w:tcPr>
            <w:tcW w:w="2920" w:type="dxa"/>
            <w:vAlign w:val="bottom"/>
            <w:tcBorders>
              <w:bottom w:val="single" w:sz="8" w:color="0033A0"/>
            </w:tcBorders>
            <w:gridSpan w:val="2"/>
          </w:tcPr>
          <w:p>
            <w:pPr>
              <w:ind w:left="480"/>
              <w:spacing w:after="0"/>
              <w:rPr>
                <w:sz w:val="20"/>
                <w:szCs w:val="20"/>
                <w:color w:val="auto"/>
              </w:rPr>
            </w:pPr>
            <w:r>
              <w:rPr>
                <w:rFonts w:ascii="Arial" w:cs="Arial" w:eastAsia="Arial" w:hAnsi="Arial"/>
                <w:sz w:val="14"/>
                <w:szCs w:val="14"/>
                <w:b w:val="1"/>
                <w:bCs w:val="1"/>
                <w:color w:val="0033A0"/>
              </w:rPr>
              <w:t>Incentive Compensation</w:t>
            </w:r>
          </w:p>
        </w:tc>
        <w:tc>
          <w:tcPr>
            <w:tcW w:w="1980" w:type="dxa"/>
            <w:vAlign w:val="bottom"/>
            <w:tcBorders>
              <w:bottom w:val="single" w:sz="8" w:color="0033A0"/>
            </w:tcBorders>
          </w:tcPr>
          <w:p>
            <w:pPr>
              <w:jc w:val="center"/>
              <w:ind w:left="457"/>
              <w:spacing w:after="0"/>
              <w:rPr>
                <w:sz w:val="20"/>
                <w:szCs w:val="20"/>
                <w:color w:val="auto"/>
              </w:rPr>
            </w:pPr>
            <w:r>
              <w:rPr>
                <w:rFonts w:ascii="Arial" w:cs="Arial" w:eastAsia="Arial" w:hAnsi="Arial"/>
                <w:sz w:val="14"/>
                <w:szCs w:val="14"/>
                <w:b w:val="1"/>
                <w:bCs w:val="1"/>
                <w:color w:val="0033A0"/>
              </w:rPr>
              <w:t>amounts)</w:t>
            </w:r>
          </w:p>
        </w:tc>
      </w:tr>
      <w:tr>
        <w:trPr>
          <w:trHeight w:val="21"/>
        </w:trPr>
        <w:tc>
          <w:tcPr>
            <w:tcW w:w="17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77"/>
        </w:trPr>
        <w:tc>
          <w:tcPr>
            <w:tcW w:w="3440" w:type="dxa"/>
            <w:vAlign w:val="bottom"/>
            <w:tcBorders>
              <w:bottom w:val="single" w:sz="8" w:color="E5EAF5"/>
            </w:tcBorders>
            <w:gridSpan w:val="2"/>
            <w:shd w:val="clear" w:color="auto" w:fill="E5EAF5"/>
          </w:tcPr>
          <w:p>
            <w:pPr>
              <w:ind w:left="60"/>
              <w:spacing w:after="0"/>
              <w:rPr>
                <w:sz w:val="20"/>
                <w:szCs w:val="20"/>
                <w:color w:val="auto"/>
              </w:rPr>
            </w:pPr>
            <w:r>
              <w:rPr>
                <w:rFonts w:ascii="Arial" w:cs="Arial" w:eastAsia="Arial" w:hAnsi="Arial"/>
                <w:sz w:val="18"/>
                <w:szCs w:val="18"/>
                <w:color w:val="auto"/>
              </w:rPr>
              <w:t>Mr. Pertz</w:t>
            </w:r>
          </w:p>
        </w:tc>
        <w:tc>
          <w:tcPr>
            <w:tcW w:w="620" w:type="dxa"/>
            <w:vAlign w:val="bottom"/>
            <w:tcBorders>
              <w:bottom w:val="single" w:sz="8" w:color="E5EAF5"/>
            </w:tcBorders>
            <w:shd w:val="clear" w:color="auto" w:fill="E5EAF5"/>
          </w:tcPr>
          <w:p>
            <w:pPr>
              <w:ind w:left="400"/>
              <w:spacing w:after="0"/>
              <w:rPr>
                <w:sz w:val="20"/>
                <w:szCs w:val="20"/>
                <w:color w:val="auto"/>
              </w:rPr>
            </w:pPr>
            <w:r>
              <w:rPr>
                <w:rFonts w:ascii="Arial" w:cs="Arial" w:eastAsia="Arial" w:hAnsi="Arial"/>
                <w:sz w:val="18"/>
                <w:szCs w:val="18"/>
                <w:color w:val="auto"/>
              </w:rPr>
              <w:t>$</w:t>
            </w:r>
          </w:p>
        </w:tc>
        <w:tc>
          <w:tcPr>
            <w:tcW w:w="2060" w:type="dxa"/>
            <w:vAlign w:val="bottom"/>
            <w:tcBorders>
              <w:bottom w:val="single" w:sz="8" w:color="E5EAF5"/>
            </w:tcBorders>
            <w:shd w:val="clear" w:color="auto" w:fill="E5EAF5"/>
          </w:tcPr>
          <w:p>
            <w:pPr>
              <w:jc w:val="right"/>
              <w:ind w:right="373"/>
              <w:spacing w:after="0"/>
              <w:rPr>
                <w:sz w:val="20"/>
                <w:szCs w:val="20"/>
                <w:color w:val="auto"/>
              </w:rPr>
            </w:pPr>
            <w:r>
              <w:rPr>
                <w:rFonts w:ascii="Arial" w:cs="Arial" w:eastAsia="Arial" w:hAnsi="Arial"/>
                <w:sz w:val="18"/>
                <w:szCs w:val="18"/>
                <w:color w:val="auto"/>
              </w:rPr>
              <w:t>4,453,125</w:t>
            </w:r>
          </w:p>
        </w:tc>
        <w:tc>
          <w:tcPr>
            <w:tcW w:w="560" w:type="dxa"/>
            <w:vAlign w:val="bottom"/>
            <w:tcBorders>
              <w:bottom w:val="single" w:sz="8" w:color="E5EAF5"/>
            </w:tcBorders>
            <w:shd w:val="clear" w:color="auto" w:fill="E5EAF5"/>
          </w:tcPr>
          <w:p>
            <w:pPr>
              <w:ind w:left="460"/>
              <w:spacing w:after="0"/>
              <w:rPr>
                <w:sz w:val="20"/>
                <w:szCs w:val="20"/>
                <w:color w:val="auto"/>
              </w:rPr>
            </w:pPr>
            <w:r>
              <w:rPr>
                <w:rFonts w:ascii="Arial" w:cs="Arial" w:eastAsia="Arial" w:hAnsi="Arial"/>
                <w:sz w:val="18"/>
                <w:szCs w:val="18"/>
                <w:color w:val="auto"/>
                <w:w w:val="79"/>
              </w:rPr>
              <w:t>$</w:t>
            </w:r>
          </w:p>
        </w:tc>
        <w:tc>
          <w:tcPr>
            <w:tcW w:w="2360" w:type="dxa"/>
            <w:vAlign w:val="bottom"/>
            <w:tcBorders>
              <w:bottom w:val="single" w:sz="8" w:color="E5EAF5"/>
            </w:tcBorders>
            <w:shd w:val="clear" w:color="auto" w:fill="E5EAF5"/>
          </w:tcPr>
          <w:p>
            <w:pPr>
              <w:jc w:val="right"/>
              <w:ind w:right="693"/>
              <w:spacing w:after="0"/>
              <w:rPr>
                <w:sz w:val="20"/>
                <w:szCs w:val="20"/>
                <w:color w:val="auto"/>
              </w:rPr>
            </w:pPr>
            <w:r>
              <w:rPr>
                <w:rFonts w:ascii="Arial" w:cs="Arial" w:eastAsia="Arial" w:hAnsi="Arial"/>
                <w:sz w:val="18"/>
                <w:szCs w:val="18"/>
                <w:color w:val="auto"/>
              </w:rPr>
              <w:t>7,500,000</w:t>
            </w:r>
          </w:p>
        </w:tc>
        <w:tc>
          <w:tcPr>
            <w:tcW w:w="1980" w:type="dxa"/>
            <w:vAlign w:val="bottom"/>
            <w:tcBorders>
              <w:bottom w:val="single" w:sz="8" w:color="E5EAF5"/>
            </w:tcBorders>
            <w:shd w:val="clear" w:color="auto" w:fill="E5EAF5"/>
          </w:tcPr>
          <w:p>
            <w:pPr>
              <w:jc w:val="right"/>
              <w:spacing w:after="0"/>
              <w:rPr>
                <w:sz w:val="20"/>
                <w:szCs w:val="20"/>
                <w:color w:val="auto"/>
              </w:rPr>
            </w:pPr>
            <w:r>
              <w:rPr>
                <w:rFonts w:ascii="Arial" w:cs="Arial" w:eastAsia="Arial" w:hAnsi="Arial"/>
                <w:sz w:val="18"/>
                <w:szCs w:val="18"/>
                <w:color w:val="auto"/>
              </w:rPr>
              <w:t>68.4%</w:t>
            </w:r>
          </w:p>
        </w:tc>
      </w:tr>
      <w:tr>
        <w:trPr>
          <w:trHeight w:val="217"/>
        </w:trPr>
        <w:tc>
          <w:tcPr>
            <w:tcW w:w="3440" w:type="dxa"/>
            <w:vAlign w:val="bottom"/>
            <w:gridSpan w:val="2"/>
          </w:tcPr>
          <w:p>
            <w:pPr>
              <w:ind w:left="60"/>
              <w:spacing w:after="0"/>
              <w:rPr>
                <w:sz w:val="20"/>
                <w:szCs w:val="20"/>
                <w:color w:val="auto"/>
              </w:rPr>
            </w:pPr>
            <w:r>
              <w:rPr>
                <w:rFonts w:ascii="Arial" w:cs="Arial" w:eastAsia="Arial" w:hAnsi="Arial"/>
                <w:sz w:val="18"/>
                <w:szCs w:val="18"/>
                <w:color w:val="auto"/>
              </w:rPr>
              <w:t>Mr. Domanico</w:t>
            </w:r>
          </w:p>
        </w:tc>
        <w:tc>
          <w:tcPr>
            <w:tcW w:w="620" w:type="dxa"/>
            <w:vAlign w:val="bottom"/>
          </w:tcPr>
          <w:p>
            <w:pPr>
              <w:spacing w:after="0"/>
              <w:rPr>
                <w:sz w:val="18"/>
                <w:szCs w:val="18"/>
                <w:color w:val="auto"/>
              </w:rPr>
            </w:pPr>
          </w:p>
        </w:tc>
        <w:tc>
          <w:tcPr>
            <w:tcW w:w="2060" w:type="dxa"/>
            <w:vAlign w:val="bottom"/>
          </w:tcPr>
          <w:p>
            <w:pPr>
              <w:jc w:val="right"/>
              <w:ind w:right="373"/>
              <w:spacing w:after="0"/>
              <w:rPr>
                <w:sz w:val="20"/>
                <w:szCs w:val="20"/>
                <w:color w:val="auto"/>
              </w:rPr>
            </w:pPr>
            <w:r>
              <w:rPr>
                <w:rFonts w:ascii="Arial" w:cs="Arial" w:eastAsia="Arial" w:hAnsi="Arial"/>
                <w:sz w:val="18"/>
                <w:szCs w:val="18"/>
                <w:color w:val="auto"/>
              </w:rPr>
              <w:t>1,100,000</w:t>
            </w:r>
          </w:p>
        </w:tc>
        <w:tc>
          <w:tcPr>
            <w:tcW w:w="560" w:type="dxa"/>
            <w:vAlign w:val="bottom"/>
          </w:tcPr>
          <w:p>
            <w:pPr>
              <w:spacing w:after="0"/>
              <w:rPr>
                <w:sz w:val="18"/>
                <w:szCs w:val="18"/>
                <w:color w:val="auto"/>
              </w:rPr>
            </w:pPr>
          </w:p>
        </w:tc>
        <w:tc>
          <w:tcPr>
            <w:tcW w:w="2360" w:type="dxa"/>
            <w:vAlign w:val="bottom"/>
          </w:tcPr>
          <w:p>
            <w:pPr>
              <w:jc w:val="right"/>
              <w:ind w:right="693"/>
              <w:spacing w:after="0"/>
              <w:rPr>
                <w:sz w:val="20"/>
                <w:szCs w:val="20"/>
                <w:color w:val="auto"/>
              </w:rPr>
            </w:pPr>
            <w:r>
              <w:rPr>
                <w:rFonts w:ascii="Arial" w:cs="Arial" w:eastAsia="Arial" w:hAnsi="Arial"/>
                <w:sz w:val="18"/>
                <w:szCs w:val="18"/>
                <w:color w:val="auto"/>
              </w:rPr>
              <w:t>1,250,000</w:t>
            </w:r>
          </w:p>
        </w:tc>
        <w:tc>
          <w:tcPr>
            <w:tcW w:w="198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6"/>
        </w:trPr>
        <w:tc>
          <w:tcPr>
            <w:tcW w:w="17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23"/>
        </w:trPr>
        <w:tc>
          <w:tcPr>
            <w:tcW w:w="3440" w:type="dxa"/>
            <w:vAlign w:val="bottom"/>
            <w:tcBorders>
              <w:bottom w:val="single" w:sz="8" w:color="E5EAF5"/>
            </w:tcBorders>
            <w:gridSpan w:val="2"/>
            <w:shd w:val="clear" w:color="auto" w:fill="E5EAF5"/>
          </w:tcPr>
          <w:p>
            <w:pPr>
              <w:ind w:left="60"/>
              <w:spacing w:after="0" w:line="202" w:lineRule="exact"/>
              <w:rPr>
                <w:sz w:val="20"/>
                <w:szCs w:val="20"/>
                <w:color w:val="auto"/>
              </w:rPr>
            </w:pPr>
            <w:r>
              <w:rPr>
                <w:rFonts w:ascii="Arial" w:cs="Arial" w:eastAsia="Arial" w:hAnsi="Arial"/>
                <w:sz w:val="18"/>
                <w:szCs w:val="18"/>
                <w:color w:val="auto"/>
              </w:rPr>
              <w:t>Mr. Beech</w:t>
            </w:r>
          </w:p>
        </w:tc>
        <w:tc>
          <w:tcPr>
            <w:tcW w:w="620" w:type="dxa"/>
            <w:vAlign w:val="bottom"/>
            <w:tcBorders>
              <w:bottom w:val="single" w:sz="8" w:color="E5EAF5"/>
            </w:tcBorders>
            <w:shd w:val="clear" w:color="auto" w:fill="E5EAF5"/>
          </w:tcPr>
          <w:p>
            <w:pPr>
              <w:spacing w:after="0"/>
              <w:rPr>
                <w:sz w:val="19"/>
                <w:szCs w:val="19"/>
                <w:color w:val="auto"/>
              </w:rPr>
            </w:pPr>
          </w:p>
        </w:tc>
        <w:tc>
          <w:tcPr>
            <w:tcW w:w="2060" w:type="dxa"/>
            <w:vAlign w:val="bottom"/>
            <w:tcBorders>
              <w:bottom w:val="single" w:sz="8" w:color="E5EAF5"/>
            </w:tcBorders>
            <w:shd w:val="clear" w:color="auto" w:fill="E5EAF5"/>
          </w:tcPr>
          <w:p>
            <w:pPr>
              <w:jc w:val="right"/>
              <w:ind w:right="373"/>
              <w:spacing w:after="0" w:line="202" w:lineRule="exact"/>
              <w:rPr>
                <w:sz w:val="20"/>
                <w:szCs w:val="20"/>
                <w:color w:val="auto"/>
              </w:rPr>
            </w:pPr>
            <w:r>
              <w:rPr>
                <w:rFonts w:ascii="Arial" w:cs="Arial" w:eastAsia="Arial" w:hAnsi="Arial"/>
                <w:sz w:val="18"/>
                <w:szCs w:val="18"/>
                <w:color w:val="auto"/>
              </w:rPr>
              <w:t>550,000</w:t>
            </w:r>
          </w:p>
        </w:tc>
        <w:tc>
          <w:tcPr>
            <w:tcW w:w="560" w:type="dxa"/>
            <w:vAlign w:val="bottom"/>
            <w:tcBorders>
              <w:bottom w:val="single" w:sz="8" w:color="E5EAF5"/>
            </w:tcBorders>
            <w:shd w:val="clear" w:color="auto" w:fill="E5EAF5"/>
          </w:tcPr>
          <w:p>
            <w:pPr>
              <w:spacing w:after="0"/>
              <w:rPr>
                <w:sz w:val="19"/>
                <w:szCs w:val="19"/>
                <w:color w:val="auto"/>
              </w:rPr>
            </w:pPr>
          </w:p>
        </w:tc>
        <w:tc>
          <w:tcPr>
            <w:tcW w:w="2360" w:type="dxa"/>
            <w:vAlign w:val="bottom"/>
            <w:tcBorders>
              <w:bottom w:val="single" w:sz="8" w:color="E5EAF5"/>
            </w:tcBorders>
            <w:shd w:val="clear" w:color="auto" w:fill="E5EAF5"/>
          </w:tcPr>
          <w:p>
            <w:pPr>
              <w:jc w:val="right"/>
              <w:ind w:right="693"/>
              <w:spacing w:after="0" w:line="202" w:lineRule="exact"/>
              <w:rPr>
                <w:sz w:val="20"/>
                <w:szCs w:val="20"/>
                <w:color w:val="auto"/>
              </w:rPr>
            </w:pPr>
            <w:r>
              <w:rPr>
                <w:rFonts w:ascii="Arial" w:cs="Arial" w:eastAsia="Arial" w:hAnsi="Arial"/>
                <w:sz w:val="18"/>
                <w:szCs w:val="18"/>
                <w:color w:val="auto"/>
              </w:rPr>
              <w:t>600,000</w:t>
            </w:r>
          </w:p>
        </w:tc>
        <w:tc>
          <w:tcPr>
            <w:tcW w:w="1980" w:type="dxa"/>
            <w:vAlign w:val="bottom"/>
            <w:tcBorders>
              <w:bottom w:val="single" w:sz="8" w:color="E5EAF5"/>
            </w:tcBorders>
            <w:shd w:val="clear" w:color="auto" w:fill="E5EAF5"/>
          </w:tcPr>
          <w:p>
            <w:pPr>
              <w:jc w:val="right"/>
              <w:spacing w:after="0" w:line="202" w:lineRule="exact"/>
              <w:rPr>
                <w:sz w:val="20"/>
                <w:szCs w:val="20"/>
                <w:color w:val="auto"/>
              </w:rPr>
            </w:pPr>
            <w:r>
              <w:rPr>
                <w:rFonts w:ascii="Arial" w:cs="Arial" w:eastAsia="Arial" w:hAnsi="Arial"/>
                <w:sz w:val="18"/>
                <w:szCs w:val="18"/>
                <w:color w:val="auto"/>
              </w:rPr>
              <w:t>9%</w:t>
            </w:r>
          </w:p>
        </w:tc>
      </w:tr>
      <w:tr>
        <w:trPr>
          <w:trHeight w:val="217"/>
        </w:trPr>
        <w:tc>
          <w:tcPr>
            <w:tcW w:w="3440" w:type="dxa"/>
            <w:vAlign w:val="bottom"/>
            <w:gridSpan w:val="2"/>
          </w:tcPr>
          <w:p>
            <w:pPr>
              <w:ind w:left="60"/>
              <w:spacing w:after="0"/>
              <w:rPr>
                <w:sz w:val="20"/>
                <w:szCs w:val="20"/>
                <w:color w:val="auto"/>
              </w:rPr>
            </w:pPr>
            <w:r>
              <w:rPr>
                <w:rFonts w:ascii="Arial" w:cs="Arial" w:eastAsia="Arial" w:hAnsi="Arial"/>
                <w:sz w:val="18"/>
                <w:szCs w:val="18"/>
                <w:color w:val="auto"/>
              </w:rPr>
              <w:t>Mr. Marshall</w:t>
            </w:r>
          </w:p>
        </w:tc>
        <w:tc>
          <w:tcPr>
            <w:tcW w:w="620" w:type="dxa"/>
            <w:vAlign w:val="bottom"/>
          </w:tcPr>
          <w:p>
            <w:pPr>
              <w:spacing w:after="0"/>
              <w:rPr>
                <w:sz w:val="18"/>
                <w:szCs w:val="18"/>
                <w:color w:val="auto"/>
              </w:rPr>
            </w:pPr>
          </w:p>
        </w:tc>
        <w:tc>
          <w:tcPr>
            <w:tcW w:w="2060" w:type="dxa"/>
            <w:vAlign w:val="bottom"/>
          </w:tcPr>
          <w:p>
            <w:pPr>
              <w:jc w:val="right"/>
              <w:ind w:right="373"/>
              <w:spacing w:after="0"/>
              <w:rPr>
                <w:sz w:val="20"/>
                <w:szCs w:val="20"/>
                <w:color w:val="auto"/>
              </w:rPr>
            </w:pPr>
            <w:r>
              <w:rPr>
                <w:rFonts w:ascii="Arial" w:cs="Arial" w:eastAsia="Arial" w:hAnsi="Arial"/>
                <w:sz w:val="18"/>
                <w:szCs w:val="18"/>
                <w:color w:val="auto"/>
              </w:rPr>
              <w:t>650,000</w:t>
            </w:r>
          </w:p>
        </w:tc>
        <w:tc>
          <w:tcPr>
            <w:tcW w:w="560" w:type="dxa"/>
            <w:vAlign w:val="bottom"/>
          </w:tcPr>
          <w:p>
            <w:pPr>
              <w:spacing w:after="0"/>
              <w:rPr>
                <w:sz w:val="18"/>
                <w:szCs w:val="18"/>
                <w:color w:val="auto"/>
              </w:rPr>
            </w:pPr>
          </w:p>
        </w:tc>
        <w:tc>
          <w:tcPr>
            <w:tcW w:w="2360" w:type="dxa"/>
            <w:vAlign w:val="bottom"/>
          </w:tcPr>
          <w:p>
            <w:pPr>
              <w:jc w:val="right"/>
              <w:ind w:right="693"/>
              <w:spacing w:after="0"/>
              <w:rPr>
                <w:sz w:val="20"/>
                <w:szCs w:val="20"/>
                <w:color w:val="auto"/>
              </w:rPr>
            </w:pPr>
            <w:r>
              <w:rPr>
                <w:rFonts w:ascii="Arial" w:cs="Arial" w:eastAsia="Arial" w:hAnsi="Arial"/>
                <w:sz w:val="18"/>
                <w:szCs w:val="18"/>
                <w:color w:val="auto"/>
              </w:rPr>
              <w:t>750,000</w:t>
            </w:r>
          </w:p>
        </w:tc>
        <w:tc>
          <w:tcPr>
            <w:tcW w:w="198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26"/>
        </w:trPr>
        <w:tc>
          <w:tcPr>
            <w:tcW w:w="17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62"/>
        </w:trPr>
        <w:tc>
          <w:tcPr>
            <w:tcW w:w="3440" w:type="dxa"/>
            <w:vAlign w:val="bottom"/>
            <w:tcBorders>
              <w:bottom w:val="single" w:sz="8" w:color="E5EAF5"/>
            </w:tcBorders>
            <w:gridSpan w:val="2"/>
            <w:shd w:val="clear" w:color="auto" w:fill="E5EAF5"/>
          </w:tcPr>
          <w:p>
            <w:pPr>
              <w:ind w:left="60"/>
              <w:spacing w:after="0" w:line="202" w:lineRule="exact"/>
              <w:rPr>
                <w:sz w:val="20"/>
                <w:szCs w:val="20"/>
                <w:color w:val="auto"/>
              </w:rPr>
            </w:pPr>
            <w:r>
              <w:rPr>
                <w:rFonts w:ascii="Arial" w:cs="Arial" w:eastAsia="Arial" w:hAnsi="Arial"/>
                <w:sz w:val="18"/>
                <w:szCs w:val="18"/>
                <w:color w:val="auto"/>
              </w:rPr>
              <w:t>Mr. Zukerman</w:t>
            </w:r>
          </w:p>
        </w:tc>
        <w:tc>
          <w:tcPr>
            <w:tcW w:w="620" w:type="dxa"/>
            <w:vAlign w:val="bottom"/>
            <w:tcBorders>
              <w:bottom w:val="single" w:sz="8" w:color="E5EAF5"/>
            </w:tcBorders>
            <w:shd w:val="clear" w:color="auto" w:fill="E5EAF5"/>
          </w:tcPr>
          <w:p>
            <w:pPr>
              <w:spacing w:after="0"/>
              <w:rPr>
                <w:sz w:val="22"/>
                <w:szCs w:val="22"/>
                <w:color w:val="auto"/>
              </w:rPr>
            </w:pPr>
          </w:p>
        </w:tc>
        <w:tc>
          <w:tcPr>
            <w:tcW w:w="2060" w:type="dxa"/>
            <w:vAlign w:val="bottom"/>
            <w:tcBorders>
              <w:bottom w:val="single" w:sz="8" w:color="E5EAF5"/>
            </w:tcBorders>
            <w:shd w:val="clear" w:color="auto" w:fill="E5EAF5"/>
          </w:tcPr>
          <w:p>
            <w:pPr>
              <w:jc w:val="right"/>
              <w:ind w:right="373"/>
              <w:spacing w:after="0" w:line="202" w:lineRule="exact"/>
              <w:rPr>
                <w:sz w:val="20"/>
                <w:szCs w:val="20"/>
                <w:color w:val="auto"/>
              </w:rPr>
            </w:pPr>
            <w:r>
              <w:rPr>
                <w:rFonts w:ascii="Arial" w:cs="Arial" w:eastAsia="Arial" w:hAnsi="Arial"/>
                <w:sz w:val="18"/>
                <w:szCs w:val="18"/>
                <w:color w:val="auto"/>
              </w:rPr>
              <w:t>1,250,000</w:t>
            </w:r>
          </w:p>
        </w:tc>
        <w:tc>
          <w:tcPr>
            <w:tcW w:w="560" w:type="dxa"/>
            <w:vAlign w:val="bottom"/>
            <w:tcBorders>
              <w:bottom w:val="single" w:sz="8" w:color="E5EAF5"/>
            </w:tcBorders>
            <w:shd w:val="clear" w:color="auto" w:fill="E5EAF5"/>
          </w:tcPr>
          <w:p>
            <w:pPr>
              <w:spacing w:after="0"/>
              <w:rPr>
                <w:sz w:val="22"/>
                <w:szCs w:val="22"/>
                <w:color w:val="auto"/>
              </w:rPr>
            </w:pPr>
          </w:p>
        </w:tc>
        <w:tc>
          <w:tcPr>
            <w:tcW w:w="2360" w:type="dxa"/>
            <w:vAlign w:val="bottom"/>
            <w:tcBorders>
              <w:bottom w:val="single" w:sz="8" w:color="E5EAF5"/>
            </w:tcBorders>
            <w:shd w:val="clear" w:color="auto" w:fill="E5EAF5"/>
          </w:tcPr>
          <w:p>
            <w:pPr>
              <w:jc w:val="right"/>
              <w:ind w:right="693"/>
              <w:spacing w:after="0" w:line="202" w:lineRule="exact"/>
              <w:rPr>
                <w:sz w:val="20"/>
                <w:szCs w:val="20"/>
                <w:color w:val="auto"/>
              </w:rPr>
            </w:pPr>
            <w:r>
              <w:rPr>
                <w:rFonts w:ascii="Arial" w:cs="Arial" w:eastAsia="Arial" w:hAnsi="Arial"/>
                <w:sz w:val="18"/>
                <w:szCs w:val="18"/>
                <w:color w:val="auto"/>
              </w:rPr>
              <w:t>1,250,000</w:t>
            </w:r>
          </w:p>
        </w:tc>
        <w:tc>
          <w:tcPr>
            <w:tcW w:w="1980" w:type="dxa"/>
            <w:vAlign w:val="bottom"/>
            <w:tcBorders>
              <w:bottom w:val="single" w:sz="8" w:color="E5EAF5"/>
            </w:tcBorders>
            <w:shd w:val="clear" w:color="auto" w:fill="E5EAF5"/>
          </w:tcPr>
          <w:p>
            <w:pPr>
              <w:jc w:val="right"/>
              <w:ind w:right="157"/>
              <w:spacing w:after="0" w:line="202" w:lineRule="exact"/>
              <w:rPr>
                <w:sz w:val="20"/>
                <w:szCs w:val="20"/>
                <w:color w:val="auto"/>
              </w:rPr>
            </w:pPr>
            <w:r>
              <w:rPr>
                <w:rFonts w:ascii="Arial" w:cs="Arial" w:eastAsia="Arial" w:hAnsi="Arial"/>
                <w:sz w:val="18"/>
                <w:szCs w:val="18"/>
                <w:color w:val="auto"/>
              </w:rPr>
              <w:t>—</w:t>
            </w:r>
          </w:p>
        </w:tc>
      </w:tr>
      <w:tr>
        <w:trPr>
          <w:trHeight w:val="129"/>
        </w:trPr>
        <w:tc>
          <w:tcPr>
            <w:tcW w:w="1740" w:type="dxa"/>
            <w:vAlign w:val="bottom"/>
            <w:tcBorders>
              <w:top w:val="single" w:sz="8" w:color="0033A0"/>
              <w:bottom w:val="single" w:sz="8" w:color="auto"/>
            </w:tcBorders>
          </w:tcPr>
          <w:p>
            <w:pPr>
              <w:spacing w:after="0"/>
              <w:rPr>
                <w:sz w:val="11"/>
                <w:szCs w:val="11"/>
                <w:color w:val="auto"/>
              </w:rPr>
            </w:pPr>
          </w:p>
        </w:tc>
        <w:tc>
          <w:tcPr>
            <w:tcW w:w="1700" w:type="dxa"/>
            <w:vAlign w:val="bottom"/>
            <w:tcBorders>
              <w:top w:val="single" w:sz="8" w:color="0033A0"/>
            </w:tcBorders>
          </w:tcPr>
          <w:p>
            <w:pPr>
              <w:spacing w:after="0"/>
              <w:rPr>
                <w:sz w:val="11"/>
                <w:szCs w:val="11"/>
                <w:color w:val="auto"/>
              </w:rPr>
            </w:pPr>
          </w:p>
        </w:tc>
        <w:tc>
          <w:tcPr>
            <w:tcW w:w="620" w:type="dxa"/>
            <w:vAlign w:val="bottom"/>
            <w:tcBorders>
              <w:top w:val="single" w:sz="8" w:color="0033A0"/>
            </w:tcBorders>
          </w:tcPr>
          <w:p>
            <w:pPr>
              <w:spacing w:after="0"/>
              <w:rPr>
                <w:sz w:val="11"/>
                <w:szCs w:val="11"/>
                <w:color w:val="auto"/>
              </w:rPr>
            </w:pPr>
          </w:p>
        </w:tc>
        <w:tc>
          <w:tcPr>
            <w:tcW w:w="2060" w:type="dxa"/>
            <w:vAlign w:val="bottom"/>
            <w:tcBorders>
              <w:top w:val="single" w:sz="8" w:color="0033A0"/>
            </w:tcBorders>
          </w:tcPr>
          <w:p>
            <w:pPr>
              <w:spacing w:after="0"/>
              <w:rPr>
                <w:sz w:val="11"/>
                <w:szCs w:val="11"/>
                <w:color w:val="auto"/>
              </w:rPr>
            </w:pPr>
          </w:p>
        </w:tc>
        <w:tc>
          <w:tcPr>
            <w:tcW w:w="560" w:type="dxa"/>
            <w:vAlign w:val="bottom"/>
            <w:tcBorders>
              <w:top w:val="single" w:sz="8" w:color="0033A0"/>
            </w:tcBorders>
          </w:tcPr>
          <w:p>
            <w:pPr>
              <w:spacing w:after="0"/>
              <w:rPr>
                <w:sz w:val="11"/>
                <w:szCs w:val="11"/>
                <w:color w:val="auto"/>
              </w:rPr>
            </w:pPr>
          </w:p>
        </w:tc>
        <w:tc>
          <w:tcPr>
            <w:tcW w:w="2360" w:type="dxa"/>
            <w:vAlign w:val="bottom"/>
            <w:tcBorders>
              <w:top w:val="single" w:sz="8" w:color="0033A0"/>
            </w:tcBorders>
          </w:tcPr>
          <w:p>
            <w:pPr>
              <w:spacing w:after="0"/>
              <w:rPr>
                <w:sz w:val="11"/>
                <w:szCs w:val="11"/>
                <w:color w:val="auto"/>
              </w:rPr>
            </w:pPr>
          </w:p>
        </w:tc>
        <w:tc>
          <w:tcPr>
            <w:tcW w:w="1980" w:type="dxa"/>
            <w:vAlign w:val="bottom"/>
            <w:tcBorders>
              <w:top w:val="single" w:sz="8" w:color="0033A0"/>
            </w:tcBorders>
          </w:tcPr>
          <w:p>
            <w:pPr>
              <w:spacing w:after="0"/>
              <w:rPr>
                <w:sz w:val="11"/>
                <w:szCs w:val="11"/>
                <w:color w:val="auto"/>
              </w:rPr>
            </w:pPr>
          </w:p>
        </w:tc>
      </w:tr>
    </w:tbl>
    <w:p>
      <w:pPr>
        <w:spacing w:after="0" w:line="45" w:lineRule="exact"/>
        <w:rPr>
          <w:sz w:val="20"/>
          <w:szCs w:val="20"/>
          <w:color w:val="auto"/>
        </w:rPr>
      </w:pPr>
    </w:p>
    <w:p>
      <w:pPr>
        <w:ind w:left="520" w:right="60" w:hanging="316"/>
        <w:spacing w:after="0" w:line="199" w:lineRule="auto"/>
        <w:tabs>
          <w:tab w:leader="none" w:pos="520" w:val="left"/>
        </w:tabs>
        <w:numPr>
          <w:ilvl w:val="0"/>
          <w:numId w:val="36"/>
        </w:numPr>
        <w:rPr>
          <w:rFonts w:ascii="Arial" w:cs="Arial" w:eastAsia="Arial" w:hAnsi="Arial"/>
          <w:sz w:val="24"/>
          <w:szCs w:val="24"/>
          <w:color w:val="auto"/>
          <w:vertAlign w:val="superscript"/>
        </w:rPr>
      </w:pPr>
      <w:r>
        <w:rPr>
          <w:rFonts w:ascii="Arial" w:cs="Arial" w:eastAsia="Arial" w:hAnsi="Arial"/>
          <w:sz w:val="14"/>
          <w:szCs w:val="14"/>
          <w:color w:val="auto"/>
        </w:rPr>
        <w:t>The value of equity awards included in total LTI compensation is calculated using assumptions for financial reporting purposes; therefore the target amounts in the table above differ from the amount reported in the Summary Compensation and Grants of Plan Based Awards Tables. See Note 18 to the Company’s financial statements in its Annual Report on Form 10-K for the year ended December 31, 2018. See also footnotes 3 and 4 to the Summary Compensation Table on page 44.</w:t>
      </w:r>
    </w:p>
    <w:p>
      <w:pPr>
        <w:sectPr>
          <w:pgSz w:w="11900" w:h="16838" w:orient="portrait"/>
          <w:cols w:equalWidth="0" w:num="1">
            <w:col w:w="11240"/>
          </w:cols>
          <w:pgMar w:left="240" w:top="459" w:right="419" w:bottom="1440" w:gutter="0" w:footer="0" w:header="0"/>
          <w:type w:val="continuous"/>
        </w:sectPr>
      </w:pPr>
    </w:p>
    <w:p>
      <w:pPr>
        <w:spacing w:after="0" w:line="13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Equity Awards under the 2017 Equity Incentive Plan</w:t>
      </w:r>
    </w:p>
    <w:p>
      <w:pPr>
        <w:spacing w:after="0" w:line="126"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u w:val="single" w:color="auto"/>
          <w:color w:val="auto"/>
        </w:rPr>
        <w:t>Internal Metric PSU Awards</w:t>
      </w:r>
      <w:r>
        <w:rPr>
          <w:rFonts w:ascii="Arial" w:cs="Arial" w:eastAsia="Arial" w:hAnsi="Arial"/>
          <w:sz w:val="18"/>
          <w:szCs w:val="18"/>
          <w:color w:val="auto"/>
        </w:rPr>
        <w:t>. In 2018, Internal Metric PSUs represented 25% of the LTI award for each named executive officer other than the Chief Executive Officer, who did not receive any Internal Metric PSUs. In February 2018, the Compensation Committee established non-GAAP EBITDA as the performance metric for the Internal Metric PSUs awarded in 2018 to incentivize leaders to execute our organic and acquisition growth strategy, align to one of the most common performance metrics used for LTI plans in our peer group and ensure that we did not have overlap with the metrics in our annual incentive plan.</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360"/>
        <w:spacing w:after="0"/>
        <w:rPr>
          <w:sz w:val="20"/>
          <w:szCs w:val="20"/>
          <w:color w:val="auto"/>
        </w:rPr>
      </w:pPr>
      <w:r>
        <w:rPr>
          <w:rFonts w:ascii="Arial" w:cs="Arial" w:eastAsia="Arial" w:hAnsi="Arial"/>
          <w:sz w:val="14"/>
          <w:szCs w:val="14"/>
          <w:b w:val="1"/>
          <w:bCs w:val="1"/>
          <w:color w:val="0033A0"/>
        </w:rPr>
        <w:t>Non-GAAP EBITDA</w:t>
      </w:r>
    </w:p>
    <w:p>
      <w:pPr>
        <w:spacing w:after="0" w:line="19" w:lineRule="exact"/>
        <w:rPr>
          <w:sz w:val="20"/>
          <w:szCs w:val="20"/>
          <w:color w:val="auto"/>
        </w:rPr>
      </w:pPr>
    </w:p>
    <w:p>
      <w:pPr>
        <w:ind w:left="2340"/>
        <w:spacing w:after="0"/>
        <w:rPr>
          <w:sz w:val="20"/>
          <w:szCs w:val="20"/>
          <w:color w:val="auto"/>
        </w:rPr>
      </w:pPr>
      <w:r>
        <w:rPr>
          <w:rFonts w:ascii="Arial" w:cs="Arial" w:eastAsia="Arial" w:hAnsi="Arial"/>
          <w:sz w:val="14"/>
          <w:szCs w:val="14"/>
          <w:b w:val="1"/>
          <w:bCs w:val="1"/>
          <w:color w:val="0033A0"/>
        </w:rPr>
        <w:t>Performance Levels</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jc w:val="both"/>
        <w:ind w:right="220"/>
        <w:spacing w:after="0"/>
        <w:rPr>
          <w:sz w:val="20"/>
          <w:szCs w:val="20"/>
          <w:color w:val="auto"/>
        </w:rPr>
      </w:pPr>
      <w:r>
        <w:rPr>
          <w:rFonts w:ascii="Arial" w:cs="Arial" w:eastAsia="Arial" w:hAnsi="Arial"/>
          <w:sz w:val="18"/>
          <w:szCs w:val="18"/>
          <w:color w:val="auto"/>
        </w:rPr>
        <w:t>The Internal Metric PSUs awarded in 2018 are subject to a three-year performance period that began on January 1, 2018 and will end on December 31, 2020.</w:t>
      </w:r>
    </w:p>
    <w:p>
      <w:pPr>
        <w:spacing w:after="0" w:line="95"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The Compensation Committee established threshold, target and maximum levels of non-GAAP EBITDA for the Internal Metric PSUs, which correspond to payouts in shares of Brink’s Common Stock at a rate of 0% to 200% of target as noted below.</w:t>
      </w:r>
    </w:p>
    <w:p>
      <w:pPr>
        <w:spacing w:after="0" w:line="94"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At the time the Compensation Committee established the target levels of performance, it believed that achievement of the threshold performance level was attainable, but not certain, that target performance would be difficult to achieve, and that the maximum level of performance was possible, but not likely to be achieved.</w:t>
      </w:r>
    </w:p>
    <w:p>
      <w:pPr>
        <w:spacing w:after="0" w:line="340"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color w:val="0033A0"/>
        </w:rPr>
        <w:t>Performance Shares Earned</w:t>
      </w:r>
    </w:p>
    <w:p>
      <w:pPr>
        <w:spacing w:after="0" w:line="19"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color w:val="0033A0"/>
        </w:rPr>
        <w:t>as a Percent of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-3561080</wp:posOffset>
            </wp:positionH>
            <wp:positionV relativeFrom="paragraph">
              <wp:posOffset>-1905</wp:posOffset>
            </wp:positionV>
            <wp:extent cx="69977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7" w:lineRule="exact"/>
        <w:rPr>
          <w:sz w:val="20"/>
          <w:szCs w:val="20"/>
          <w:color w:val="auto"/>
        </w:rPr>
      </w:pPr>
    </w:p>
    <w:p>
      <w:pPr>
        <w:sectPr>
          <w:pgSz w:w="11900" w:h="16838" w:orient="portrait"/>
          <w:cols w:equalWidth="0" w:num="2">
            <w:col w:w="5420" w:space="400"/>
            <w:col w:w="5420"/>
          </w:cols>
          <w:pgMar w:left="240" w:top="459" w:right="419" w:bottom="1440" w:gutter="0" w:footer="0" w:header="0"/>
          <w:type w:val="continuous"/>
        </w:sectPr>
      </w:pPr>
    </w:p>
    <w:tbl>
      <w:tblPr>
        <w:tblLayout w:type="fixed"/>
        <w:tblInd w:w="200" w:type="dxa"/>
        <w:tblCellMar>
          <w:top w:w="0" w:type="dxa"/>
          <w:left w:w="0" w:type="dxa"/>
          <w:bottom w:w="0" w:type="dxa"/>
          <w:right w:w="0" w:type="dxa"/>
        </w:tblCellMar>
      </w:tblPr>
      <w:tr>
        <w:trPr>
          <w:trHeight w:val="277"/>
        </w:trPr>
        <w:tc>
          <w:tcPr>
            <w:tcW w:w="20" w:type="dxa"/>
            <w:vAlign w:val="bottom"/>
          </w:tcPr>
          <w:p>
            <w:pPr>
              <w:spacing w:after="0"/>
              <w:rPr>
                <w:sz w:val="24"/>
                <w:szCs w:val="24"/>
                <w:color w:val="auto"/>
              </w:rPr>
            </w:pPr>
          </w:p>
        </w:tc>
        <w:tc>
          <w:tcPr>
            <w:tcW w:w="320" w:type="dxa"/>
            <w:vAlign w:val="bottom"/>
            <w:tcBorders>
              <w:bottom w:val="single" w:sz="8" w:color="E5EAF5"/>
            </w:tcBorders>
            <w:shd w:val="clear" w:color="auto" w:fill="E5EAF5"/>
          </w:tcPr>
          <w:p>
            <w:pPr>
              <w:spacing w:after="0"/>
              <w:rPr>
                <w:sz w:val="24"/>
                <w:szCs w:val="24"/>
                <w:color w:val="auto"/>
              </w:rPr>
            </w:pPr>
          </w:p>
        </w:tc>
        <w:tc>
          <w:tcPr>
            <w:tcW w:w="20" w:type="dxa"/>
            <w:vAlign w:val="bottom"/>
            <w:tcBorders>
              <w:bottom w:val="single" w:sz="8" w:color="E5EAF5"/>
            </w:tcBorders>
            <w:shd w:val="clear" w:color="auto" w:fill="E5EAF5"/>
          </w:tcPr>
          <w:p>
            <w:pPr>
              <w:spacing w:after="0"/>
              <w:rPr>
                <w:sz w:val="24"/>
                <w:szCs w:val="24"/>
                <w:color w:val="auto"/>
              </w:rPr>
            </w:pPr>
          </w:p>
        </w:tc>
        <w:tc>
          <w:tcPr>
            <w:tcW w:w="5280" w:type="dxa"/>
            <w:vAlign w:val="bottom"/>
            <w:tcBorders>
              <w:bottom w:val="single" w:sz="8" w:color="E5EAF5"/>
            </w:tcBorders>
            <w:shd w:val="clear" w:color="auto" w:fill="E5EAF5"/>
          </w:tcPr>
          <w:p>
            <w:pPr>
              <w:jc w:val="center"/>
              <w:ind w:right="210"/>
              <w:spacing w:after="0"/>
              <w:rPr>
                <w:sz w:val="20"/>
                <w:szCs w:val="20"/>
                <w:color w:val="auto"/>
              </w:rPr>
            </w:pPr>
            <w:r>
              <w:rPr>
                <w:rFonts w:ascii="Arial" w:cs="Arial" w:eastAsia="Arial" w:hAnsi="Arial"/>
                <w:sz w:val="18"/>
                <w:szCs w:val="18"/>
                <w:color w:val="auto"/>
                <w:w w:val="99"/>
              </w:rPr>
              <w:t>Below Threshold Performance</w:t>
            </w:r>
          </w:p>
        </w:tc>
        <w:tc>
          <w:tcPr>
            <w:tcW w:w="5400" w:type="dxa"/>
            <w:vAlign w:val="bottom"/>
            <w:tcBorders>
              <w:bottom w:val="single" w:sz="8" w:color="E5EAF5"/>
            </w:tcBorders>
            <w:shd w:val="clear" w:color="auto" w:fill="E5EAF5"/>
          </w:tcPr>
          <w:p>
            <w:pPr>
              <w:jc w:val="center"/>
              <w:ind w:left="90"/>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80" w:type="dxa"/>
            <w:vAlign w:val="bottom"/>
          </w:tcPr>
          <w:p>
            <w:pPr>
              <w:jc w:val="center"/>
              <w:ind w:right="190"/>
              <w:spacing w:after="0"/>
              <w:rPr>
                <w:sz w:val="20"/>
                <w:szCs w:val="20"/>
                <w:color w:val="auto"/>
              </w:rPr>
            </w:pPr>
            <w:r>
              <w:rPr>
                <w:rFonts w:ascii="Arial" w:cs="Arial" w:eastAsia="Arial" w:hAnsi="Arial"/>
                <w:sz w:val="18"/>
                <w:szCs w:val="18"/>
                <w:color w:val="auto"/>
                <w:w w:val="99"/>
              </w:rPr>
              <w:t>Threshold Performance</w:t>
            </w:r>
          </w:p>
        </w:tc>
        <w:tc>
          <w:tcPr>
            <w:tcW w:w="5400" w:type="dxa"/>
            <w:vAlign w:val="bottom"/>
          </w:tcPr>
          <w:p>
            <w:pPr>
              <w:jc w:val="center"/>
              <w:ind w:left="110"/>
              <w:spacing w:after="0"/>
              <w:rPr>
                <w:sz w:val="20"/>
                <w:szCs w:val="20"/>
                <w:color w:val="auto"/>
              </w:rPr>
            </w:pPr>
            <w:r>
              <w:rPr>
                <w:rFonts w:ascii="Arial" w:cs="Arial" w:eastAsia="Arial" w:hAnsi="Arial"/>
                <w:sz w:val="18"/>
                <w:szCs w:val="18"/>
                <w:color w:val="auto"/>
                <w:w w:val="99"/>
              </w:rPr>
              <w:t>50%</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5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Borders>
              <w:bottom w:val="single" w:sz="8" w:color="E5EAF5"/>
            </w:tcBorders>
            <w:shd w:val="clear" w:color="auto" w:fill="E5EAF5"/>
          </w:tcPr>
          <w:p>
            <w:pPr>
              <w:spacing w:after="0"/>
              <w:rPr>
                <w:sz w:val="19"/>
                <w:szCs w:val="19"/>
                <w:color w:val="auto"/>
              </w:rPr>
            </w:pPr>
          </w:p>
        </w:tc>
        <w:tc>
          <w:tcPr>
            <w:tcW w:w="20" w:type="dxa"/>
            <w:vAlign w:val="bottom"/>
            <w:tcBorders>
              <w:bottom w:val="single" w:sz="8" w:color="E5EAF5"/>
            </w:tcBorders>
            <w:shd w:val="clear" w:color="auto" w:fill="E5EAF5"/>
          </w:tcPr>
          <w:p>
            <w:pPr>
              <w:spacing w:after="0"/>
              <w:rPr>
                <w:sz w:val="19"/>
                <w:szCs w:val="19"/>
                <w:color w:val="auto"/>
              </w:rPr>
            </w:pPr>
          </w:p>
        </w:tc>
        <w:tc>
          <w:tcPr>
            <w:tcW w:w="5280" w:type="dxa"/>
            <w:vAlign w:val="bottom"/>
            <w:tcBorders>
              <w:bottom w:val="single" w:sz="8" w:color="E5EAF5"/>
            </w:tcBorders>
            <w:shd w:val="clear" w:color="auto" w:fill="E5EAF5"/>
          </w:tcPr>
          <w:p>
            <w:pPr>
              <w:jc w:val="center"/>
              <w:ind w:right="210"/>
              <w:spacing w:after="0" w:line="202" w:lineRule="exact"/>
              <w:rPr>
                <w:sz w:val="20"/>
                <w:szCs w:val="20"/>
                <w:color w:val="auto"/>
              </w:rPr>
            </w:pPr>
            <w:r>
              <w:rPr>
                <w:rFonts w:ascii="Arial" w:cs="Arial" w:eastAsia="Arial" w:hAnsi="Arial"/>
                <w:sz w:val="18"/>
                <w:szCs w:val="18"/>
                <w:color w:val="auto"/>
                <w:w w:val="98"/>
              </w:rPr>
              <w:t>Target Performance</w:t>
            </w:r>
          </w:p>
        </w:tc>
        <w:tc>
          <w:tcPr>
            <w:tcW w:w="5400" w:type="dxa"/>
            <w:vAlign w:val="bottom"/>
            <w:tcBorders>
              <w:bottom w:val="single" w:sz="8" w:color="E5EAF5"/>
            </w:tcBorders>
            <w:shd w:val="clear" w:color="auto" w:fill="E5EAF5"/>
          </w:tcPr>
          <w:p>
            <w:pPr>
              <w:jc w:val="center"/>
              <w:ind w:left="90"/>
              <w:spacing w:after="0" w:line="202" w:lineRule="exact"/>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80" w:type="dxa"/>
            <w:vAlign w:val="bottom"/>
          </w:tcPr>
          <w:p>
            <w:pPr>
              <w:jc w:val="center"/>
              <w:ind w:right="210"/>
              <w:spacing w:after="0"/>
              <w:rPr>
                <w:sz w:val="20"/>
                <w:szCs w:val="20"/>
                <w:color w:val="auto"/>
              </w:rPr>
            </w:pPr>
            <w:r>
              <w:rPr>
                <w:rFonts w:ascii="Arial" w:cs="Arial" w:eastAsia="Arial" w:hAnsi="Arial"/>
                <w:sz w:val="18"/>
                <w:szCs w:val="18"/>
                <w:color w:val="auto"/>
                <w:w w:val="99"/>
              </w:rPr>
              <w:t>Maximum Performance</w:t>
            </w:r>
          </w:p>
        </w:tc>
        <w:tc>
          <w:tcPr>
            <w:tcW w:w="5400" w:type="dxa"/>
            <w:vAlign w:val="bottom"/>
          </w:tcPr>
          <w:p>
            <w:pPr>
              <w:jc w:val="center"/>
              <w:ind w:left="90"/>
              <w:spacing w:after="0"/>
              <w:rPr>
                <w:sz w:val="20"/>
                <w:szCs w:val="20"/>
                <w:color w:val="auto"/>
              </w:rPr>
            </w:pPr>
            <w:r>
              <w:rPr>
                <w:rFonts w:ascii="Arial" w:cs="Arial" w:eastAsia="Arial" w:hAnsi="Arial"/>
                <w:sz w:val="18"/>
                <w:szCs w:val="18"/>
                <w:color w:val="auto"/>
                <w:w w:val="99"/>
              </w:rPr>
              <w:t>200%</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20" w:type="dxa"/>
            <w:vAlign w:val="bottom"/>
            <w:tcBorders>
              <w:bottom w:val="single" w:sz="8" w:color="0033A0"/>
            </w:tcBorders>
          </w:tcPr>
          <w:p>
            <w:pPr>
              <w:spacing w:after="0"/>
              <w:rPr>
                <w:sz w:val="3"/>
                <w:szCs w:val="3"/>
                <w:color w:val="auto"/>
              </w:rPr>
            </w:pPr>
          </w:p>
        </w:tc>
        <w:tc>
          <w:tcPr>
            <w:tcW w:w="20" w:type="dxa"/>
            <w:vAlign w:val="bottom"/>
            <w:tcBorders>
              <w:bottom w:val="single" w:sz="8" w:color="0033A0"/>
            </w:tcBorders>
          </w:tcPr>
          <w:p>
            <w:pPr>
              <w:spacing w:after="0"/>
              <w:rPr>
                <w:sz w:val="3"/>
                <w:szCs w:val="3"/>
                <w:color w:val="auto"/>
              </w:rPr>
            </w:pPr>
          </w:p>
        </w:tc>
        <w:tc>
          <w:tcPr>
            <w:tcW w:w="5280" w:type="dxa"/>
            <w:vAlign w:val="bottom"/>
            <w:tcBorders>
              <w:bottom w:val="single" w:sz="8" w:color="0033A0"/>
            </w:tcBorders>
          </w:tcPr>
          <w:p>
            <w:pPr>
              <w:spacing w:after="0"/>
              <w:rPr>
                <w:sz w:val="3"/>
                <w:szCs w:val="3"/>
                <w:color w:val="auto"/>
              </w:rPr>
            </w:pPr>
          </w:p>
        </w:tc>
        <w:tc>
          <w:tcPr>
            <w:tcW w:w="5400" w:type="dxa"/>
            <w:vAlign w:val="bottom"/>
            <w:tcBorders>
              <w:bottom w:val="single" w:sz="8" w:color="0033A0"/>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34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w w:val="89"/>
              </w:rPr>
              <w:t>36</w:t>
            </w:r>
          </w:p>
        </w:tc>
        <w:tc>
          <w:tcPr>
            <w:tcW w:w="20" w:type="dxa"/>
            <w:vAlign w:val="bottom"/>
          </w:tcPr>
          <w:p>
            <w:pPr>
              <w:spacing w:after="0"/>
              <w:rPr>
                <w:sz w:val="14"/>
                <w:szCs w:val="14"/>
                <w:color w:val="auto"/>
              </w:rPr>
            </w:pPr>
          </w:p>
        </w:tc>
        <w:tc>
          <w:tcPr>
            <w:tcW w:w="5280" w:type="dxa"/>
            <w:vAlign w:val="bottom"/>
            <w:vMerge w:val="restart"/>
          </w:tcPr>
          <w:p>
            <w:pPr>
              <w:jc w:val="center"/>
              <w:ind w:right="210"/>
              <w:spacing w:after="0"/>
              <w:rPr>
                <w:sz w:val="20"/>
                <w:szCs w:val="20"/>
                <w:color w:val="auto"/>
              </w:rPr>
            </w:pPr>
            <w:r>
              <w:rPr>
                <w:rFonts w:ascii="Arial" w:cs="Arial" w:eastAsia="Arial" w:hAnsi="Arial"/>
                <w:sz w:val="18"/>
                <w:szCs w:val="18"/>
                <w:i w:val="1"/>
                <w:iCs w:val="1"/>
                <w:color w:val="auto"/>
                <w:w w:val="99"/>
              </w:rPr>
              <w:t>2019 Proxy Statement</w:t>
            </w:r>
          </w:p>
        </w:tc>
        <w:tc>
          <w:tcPr>
            <w:tcW w:w="5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340" w:type="dxa"/>
            <w:vAlign w:val="bottom"/>
            <w:gridSpan w:val="2"/>
            <w:vMerge w:val="continue"/>
          </w:tcPr>
          <w:p>
            <w:pPr>
              <w:spacing w:after="0"/>
              <w:rPr>
                <w:sz w:val="24"/>
                <w:szCs w:val="24"/>
                <w:color w:val="auto"/>
              </w:rPr>
            </w:pPr>
          </w:p>
        </w:tc>
        <w:tc>
          <w:tcPr>
            <w:tcW w:w="20" w:type="dxa"/>
            <w:vAlign w:val="bottom"/>
            <w:shd w:val="clear" w:color="auto" w:fill="0033A0"/>
          </w:tcPr>
          <w:p>
            <w:pPr>
              <w:spacing w:after="0"/>
              <w:rPr>
                <w:sz w:val="24"/>
                <w:szCs w:val="24"/>
                <w:color w:val="auto"/>
              </w:rPr>
            </w:pPr>
          </w:p>
        </w:tc>
        <w:tc>
          <w:tcPr>
            <w:tcW w:w="5280" w:type="dxa"/>
            <w:vAlign w:val="bottom"/>
            <w:vMerge w:val="continue"/>
          </w:tcPr>
          <w:p>
            <w:pPr>
              <w:spacing w:after="0"/>
              <w:rPr>
                <w:sz w:val="24"/>
                <w:szCs w:val="24"/>
                <w:color w:val="auto"/>
              </w:rPr>
            </w:pPr>
          </w:p>
        </w:tc>
        <w:tc>
          <w:tcPr>
            <w:tcW w:w="5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-170815</wp:posOffset>
            </wp:positionV>
            <wp:extent cx="720090" cy="1289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0090" cy="12890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right"/>
        <w:ind w:right="20"/>
        <w:spacing w:after="0"/>
        <w:rPr>
          <w:sz w:val="20"/>
          <w:szCs w:val="20"/>
          <w:color w:val="auto"/>
        </w:rPr>
      </w:pPr>
      <w:r>
        <w:rPr>
          <w:rFonts w:ascii="Arial" w:cs="Arial" w:eastAsia="Arial" w:hAnsi="Arial"/>
          <w:sz w:val="20"/>
          <w:szCs w:val="20"/>
          <w:b w:val="1"/>
          <w:bCs w:val="1"/>
          <w:color w:val="0033A0"/>
        </w:rPr>
        <w:t>COMPENSATION DISCUSSION AND ANALYSIS</w:t>
      </w:r>
    </w:p>
    <w:p>
      <w:pPr>
        <w:sectPr>
          <w:pgSz w:w="11900" w:h="16838" w:orient="portrait"/>
          <w:cols w:equalWidth="0" w:num="1">
            <w:col w:w="11240"/>
          </w:cols>
          <w:pgMar w:left="240" w:top="459" w:right="419" w:bottom="1440" w:gutter="0" w:footer="0" w:header="0"/>
        </w:sectPr>
      </w:pPr>
    </w:p>
    <w:p>
      <w:pPr>
        <w:spacing w:after="0" w:line="337"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u w:val="single" w:color="auto"/>
          <w:color w:val="auto"/>
        </w:rPr>
        <w:t>Relative TSR PSU Awards</w:t>
      </w:r>
      <w:r>
        <w:rPr>
          <w:rFonts w:ascii="Arial" w:cs="Arial" w:eastAsia="Arial" w:hAnsi="Arial"/>
          <w:sz w:val="18"/>
          <w:szCs w:val="18"/>
          <w:color w:val="auto"/>
        </w:rPr>
        <w:t>. In 2018, Relative TSR PSUs represented 25% of the LTI award for the CEO and 25% of each other named executive officer’s LTI award. In February 2018, the Compensation Committee established that the Company’s Relative TSR will be determined by the percentile rank of the Company’s TSR for the performance period as compared to the TSR for the performance period for companies in the S&amp;P Mid Cap 400 with foreign</w:t>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ind w:right="360"/>
        <w:spacing w:after="0" w:line="239" w:lineRule="auto"/>
        <w:rPr>
          <w:sz w:val="20"/>
          <w:szCs w:val="20"/>
          <w:color w:val="auto"/>
        </w:rPr>
      </w:pPr>
      <w:r>
        <w:rPr>
          <w:rFonts w:ascii="Arial" w:cs="Arial" w:eastAsia="Arial" w:hAnsi="Arial"/>
          <w:sz w:val="18"/>
          <w:szCs w:val="18"/>
          <w:color w:val="auto"/>
        </w:rPr>
        <w:t>revenues that exceed 50% of total revenues. The Relative TSR PSUs awarded in 2018 are subject to a three-year performance period that began on January 1, 2018 and will end on December 31, 2020.</w:t>
      </w:r>
    </w:p>
    <w:p>
      <w:pPr>
        <w:spacing w:after="0" w:line="94"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The Compensation Committee established threshold, target and maximum levels of TSR performance, which correspond to payouts in shares of Brink’s Common Stock at a rate of 0% to 200% as noted below.</w:t>
      </w:r>
    </w:p>
    <w:p>
      <w:pPr>
        <w:spacing w:after="0" w:line="200" w:lineRule="exact"/>
        <w:rPr>
          <w:sz w:val="20"/>
          <w:szCs w:val="20"/>
          <w:color w:val="auto"/>
        </w:rPr>
      </w:pPr>
    </w:p>
    <w:p>
      <w:pPr>
        <w:sectPr>
          <w:pgSz w:w="11900" w:h="16838" w:orient="portrait"/>
          <w:cols w:equalWidth="0" w:num="2">
            <w:col w:w="5360" w:space="460"/>
            <w:col w:w="5420"/>
          </w:cols>
          <w:pgMar w:left="240" w:top="459" w:right="419" w:bottom="1440" w:gutter="0" w:footer="0" w:header="0"/>
          <w:type w:val="continuous"/>
        </w:sectPr>
      </w:pPr>
    </w:p>
    <w:p>
      <w:pPr>
        <w:spacing w:after="0" w:line="165"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5620" w:type="dxa"/>
            <w:vAlign w:val="bottom"/>
          </w:tcPr>
          <w:p>
            <w:pPr>
              <w:jc w:val="center"/>
              <w:spacing w:after="0"/>
              <w:rPr>
                <w:sz w:val="20"/>
                <w:szCs w:val="20"/>
                <w:color w:val="auto"/>
              </w:rPr>
            </w:pPr>
            <w:r>
              <w:rPr>
                <w:rFonts w:ascii="Arial" w:cs="Arial" w:eastAsia="Arial" w:hAnsi="Arial"/>
                <w:sz w:val="14"/>
                <w:szCs w:val="14"/>
                <w:b w:val="1"/>
                <w:bCs w:val="1"/>
                <w:color w:val="0033A0"/>
              </w:rPr>
              <w:t>Relative TSR</w:t>
            </w:r>
          </w:p>
        </w:tc>
        <w:tc>
          <w:tcPr>
            <w:tcW w:w="5400" w:type="dxa"/>
            <w:vAlign w:val="bottom"/>
          </w:tcPr>
          <w:p>
            <w:pPr>
              <w:jc w:val="center"/>
              <w:ind w:left="116"/>
              <w:spacing w:after="0"/>
              <w:rPr>
                <w:sz w:val="20"/>
                <w:szCs w:val="20"/>
                <w:color w:val="auto"/>
              </w:rPr>
            </w:pPr>
            <w:r>
              <w:rPr>
                <w:rFonts w:ascii="Arial" w:cs="Arial" w:eastAsia="Arial" w:hAnsi="Arial"/>
                <w:sz w:val="14"/>
                <w:szCs w:val="14"/>
                <w:b w:val="1"/>
                <w:bCs w:val="1"/>
                <w:color w:val="0033A0"/>
              </w:rPr>
              <w:t>Performance Shares Earned</w:t>
            </w:r>
          </w:p>
        </w:tc>
      </w:tr>
      <w:tr>
        <w:trPr>
          <w:trHeight w:val="175"/>
        </w:trPr>
        <w:tc>
          <w:tcPr>
            <w:tcW w:w="5620" w:type="dxa"/>
            <w:vAlign w:val="bottom"/>
            <w:tcBorders>
              <w:bottom w:val="single" w:sz="8" w:color="0033A0"/>
            </w:tcBorders>
          </w:tcPr>
          <w:p>
            <w:pPr>
              <w:jc w:val="center"/>
              <w:spacing w:after="0"/>
              <w:rPr>
                <w:sz w:val="20"/>
                <w:szCs w:val="20"/>
                <w:color w:val="auto"/>
              </w:rPr>
            </w:pPr>
            <w:r>
              <w:rPr>
                <w:rFonts w:ascii="Arial" w:cs="Arial" w:eastAsia="Arial" w:hAnsi="Arial"/>
                <w:sz w:val="14"/>
                <w:szCs w:val="14"/>
                <w:b w:val="1"/>
                <w:bCs w:val="1"/>
                <w:color w:val="0033A0"/>
              </w:rPr>
              <w:t>Performance Levels</w:t>
            </w:r>
          </w:p>
        </w:tc>
        <w:tc>
          <w:tcPr>
            <w:tcW w:w="5400" w:type="dxa"/>
            <w:vAlign w:val="bottom"/>
            <w:tcBorders>
              <w:bottom w:val="single" w:sz="8" w:color="0033A0"/>
            </w:tcBorders>
          </w:tcPr>
          <w:p>
            <w:pPr>
              <w:jc w:val="center"/>
              <w:ind w:left="116"/>
              <w:spacing w:after="0"/>
              <w:rPr>
                <w:sz w:val="20"/>
                <w:szCs w:val="20"/>
                <w:color w:val="auto"/>
              </w:rPr>
            </w:pPr>
            <w:r>
              <w:rPr>
                <w:rFonts w:ascii="Arial" w:cs="Arial" w:eastAsia="Arial" w:hAnsi="Arial"/>
                <w:sz w:val="14"/>
                <w:szCs w:val="14"/>
                <w:b w:val="1"/>
                <w:bCs w:val="1"/>
                <w:color w:val="0033A0"/>
              </w:rPr>
              <w:t>as a Percent of Target</w:t>
            </w:r>
          </w:p>
        </w:tc>
      </w:tr>
      <w:tr>
        <w:trPr>
          <w:trHeight w:val="21"/>
        </w:trPr>
        <w:tc>
          <w:tcPr>
            <w:tcW w:w="56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r>
      <w:tr>
        <w:trPr>
          <w:trHeight w:val="277"/>
        </w:trPr>
        <w:tc>
          <w:tcPr>
            <w:tcW w:w="5620" w:type="dxa"/>
            <w:vAlign w:val="bottom"/>
            <w:tcBorders>
              <w:bottom w:val="single" w:sz="8" w:color="E5EAF5"/>
            </w:tcBorders>
            <w:shd w:val="clear" w:color="auto" w:fill="E5EAF5"/>
          </w:tcPr>
          <w:p>
            <w:pPr>
              <w:jc w:val="center"/>
              <w:spacing w:after="0"/>
              <w:rPr>
                <w:sz w:val="20"/>
                <w:szCs w:val="20"/>
                <w:color w:val="auto"/>
              </w:rPr>
            </w:pPr>
            <w:r>
              <w:rPr>
                <w:rFonts w:ascii="Arial" w:cs="Arial" w:eastAsia="Arial" w:hAnsi="Arial"/>
                <w:sz w:val="18"/>
                <w:szCs w:val="18"/>
                <w:color w:val="auto"/>
                <w:w w:val="99"/>
              </w:rPr>
              <w:t>Below Threshold Performance</w:t>
            </w:r>
          </w:p>
        </w:tc>
        <w:tc>
          <w:tcPr>
            <w:tcW w:w="5400" w:type="dxa"/>
            <w:vAlign w:val="bottom"/>
            <w:tcBorders>
              <w:bottom w:val="single" w:sz="8" w:color="E5EAF5"/>
            </w:tcBorders>
            <w:shd w:val="clear" w:color="auto" w:fill="E5EAF5"/>
          </w:tcPr>
          <w:p>
            <w:pPr>
              <w:jc w:val="center"/>
              <w:ind w:left="96"/>
              <w:spacing w:after="0"/>
              <w:rPr>
                <w:sz w:val="20"/>
                <w:szCs w:val="20"/>
                <w:color w:val="auto"/>
              </w:rPr>
            </w:pPr>
            <w:r>
              <w:rPr>
                <w:rFonts w:ascii="Arial" w:cs="Arial" w:eastAsia="Arial" w:hAnsi="Arial"/>
                <w:sz w:val="18"/>
                <w:szCs w:val="18"/>
                <w:color w:val="auto"/>
                <w:w w:val="99"/>
              </w:rPr>
              <w:t>0%</w:t>
            </w:r>
          </w:p>
        </w:tc>
      </w:tr>
      <w:tr>
        <w:trPr>
          <w:trHeight w:val="217"/>
        </w:trPr>
        <w:tc>
          <w:tcPr>
            <w:tcW w:w="5620" w:type="dxa"/>
            <w:vAlign w:val="bottom"/>
          </w:tcPr>
          <w:p>
            <w:pPr>
              <w:jc w:val="center"/>
              <w:spacing w:after="0"/>
              <w:rPr>
                <w:sz w:val="20"/>
                <w:szCs w:val="20"/>
                <w:color w:val="auto"/>
              </w:rPr>
            </w:pPr>
            <w:r>
              <w:rPr>
                <w:rFonts w:ascii="Arial" w:cs="Arial" w:eastAsia="Arial" w:hAnsi="Arial"/>
                <w:sz w:val="18"/>
                <w:szCs w:val="18"/>
                <w:color w:val="auto"/>
                <w:w w:val="99"/>
              </w:rPr>
              <w:t>Threshold Performance</w:t>
            </w:r>
          </w:p>
        </w:tc>
        <w:tc>
          <w:tcPr>
            <w:tcW w:w="5400" w:type="dxa"/>
            <w:vAlign w:val="bottom"/>
          </w:tcPr>
          <w:p>
            <w:pPr>
              <w:jc w:val="center"/>
              <w:ind w:left="116"/>
              <w:spacing w:after="0"/>
              <w:rPr>
                <w:sz w:val="20"/>
                <w:szCs w:val="20"/>
                <w:color w:val="auto"/>
              </w:rPr>
            </w:pPr>
            <w:r>
              <w:rPr>
                <w:rFonts w:ascii="Arial" w:cs="Arial" w:eastAsia="Arial" w:hAnsi="Arial"/>
                <w:sz w:val="18"/>
                <w:szCs w:val="18"/>
                <w:color w:val="auto"/>
                <w:w w:val="99"/>
              </w:rPr>
              <w:t>25%</w:t>
            </w:r>
          </w:p>
        </w:tc>
      </w:tr>
      <w:tr>
        <w:trPr>
          <w:trHeight w:val="26"/>
        </w:trPr>
        <w:tc>
          <w:tcPr>
            <w:tcW w:w="5620" w:type="dxa"/>
            <w:vAlign w:val="bottom"/>
          </w:tcPr>
          <w:p>
            <w:pPr>
              <w:spacing w:after="0"/>
              <w:rPr>
                <w:sz w:val="2"/>
                <w:szCs w:val="2"/>
                <w:color w:val="auto"/>
              </w:rPr>
            </w:pPr>
          </w:p>
        </w:tc>
        <w:tc>
          <w:tcPr>
            <w:tcW w:w="5400" w:type="dxa"/>
            <w:vAlign w:val="bottom"/>
          </w:tcPr>
          <w:p>
            <w:pPr>
              <w:spacing w:after="0"/>
              <w:rPr>
                <w:sz w:val="2"/>
                <w:szCs w:val="2"/>
                <w:color w:val="auto"/>
              </w:rPr>
            </w:pPr>
          </w:p>
        </w:tc>
      </w:tr>
      <w:tr>
        <w:trPr>
          <w:trHeight w:val="223"/>
        </w:trPr>
        <w:tc>
          <w:tcPr>
            <w:tcW w:w="5620" w:type="dxa"/>
            <w:vAlign w:val="bottom"/>
            <w:tcBorders>
              <w:bottom w:val="single" w:sz="8" w:color="E5EAF5"/>
            </w:tcBorders>
            <w:shd w:val="clear" w:color="auto" w:fill="E5EAF5"/>
          </w:tcPr>
          <w:p>
            <w:pPr>
              <w:jc w:val="center"/>
              <w:spacing w:after="0" w:line="202" w:lineRule="exact"/>
              <w:rPr>
                <w:sz w:val="20"/>
                <w:szCs w:val="20"/>
                <w:color w:val="auto"/>
              </w:rPr>
            </w:pPr>
            <w:r>
              <w:rPr>
                <w:rFonts w:ascii="Arial" w:cs="Arial" w:eastAsia="Arial" w:hAnsi="Arial"/>
                <w:sz w:val="18"/>
                <w:szCs w:val="18"/>
                <w:color w:val="auto"/>
                <w:w w:val="98"/>
              </w:rPr>
              <w:t>Target Performance</w:t>
            </w:r>
          </w:p>
        </w:tc>
        <w:tc>
          <w:tcPr>
            <w:tcW w:w="5400" w:type="dxa"/>
            <w:vAlign w:val="bottom"/>
            <w:tcBorders>
              <w:bottom w:val="single" w:sz="8" w:color="E5EAF5"/>
            </w:tcBorders>
            <w:shd w:val="clear" w:color="auto" w:fill="E5EAF5"/>
          </w:tcPr>
          <w:p>
            <w:pPr>
              <w:jc w:val="center"/>
              <w:ind w:left="96"/>
              <w:spacing w:after="0" w:line="202" w:lineRule="exact"/>
              <w:rPr>
                <w:sz w:val="20"/>
                <w:szCs w:val="20"/>
                <w:color w:val="auto"/>
              </w:rPr>
            </w:pPr>
            <w:r>
              <w:rPr>
                <w:rFonts w:ascii="Arial" w:cs="Arial" w:eastAsia="Arial" w:hAnsi="Arial"/>
                <w:sz w:val="18"/>
                <w:szCs w:val="18"/>
                <w:color w:val="auto"/>
                <w:w w:val="99"/>
              </w:rPr>
              <w:t>100%</w:t>
            </w:r>
          </w:p>
        </w:tc>
      </w:tr>
      <w:tr>
        <w:trPr>
          <w:trHeight w:val="217"/>
        </w:trPr>
        <w:tc>
          <w:tcPr>
            <w:tcW w:w="5620" w:type="dxa"/>
            <w:vAlign w:val="bottom"/>
          </w:tcPr>
          <w:p>
            <w:pPr>
              <w:jc w:val="center"/>
              <w:spacing w:after="0"/>
              <w:rPr>
                <w:sz w:val="20"/>
                <w:szCs w:val="20"/>
                <w:color w:val="auto"/>
              </w:rPr>
            </w:pPr>
            <w:r>
              <w:rPr>
                <w:rFonts w:ascii="Arial" w:cs="Arial" w:eastAsia="Arial" w:hAnsi="Arial"/>
                <w:sz w:val="18"/>
                <w:szCs w:val="18"/>
                <w:color w:val="auto"/>
                <w:w w:val="99"/>
              </w:rPr>
              <w:t>Maximum Performance</w:t>
            </w:r>
          </w:p>
        </w:tc>
        <w:tc>
          <w:tcPr>
            <w:tcW w:w="5400" w:type="dxa"/>
            <w:vAlign w:val="bottom"/>
          </w:tcPr>
          <w:p>
            <w:pPr>
              <w:jc w:val="center"/>
              <w:ind w:left="96"/>
              <w:spacing w:after="0"/>
              <w:rPr>
                <w:sz w:val="20"/>
                <w:szCs w:val="20"/>
                <w:color w:val="auto"/>
              </w:rPr>
            </w:pPr>
            <w:r>
              <w:rPr>
                <w:rFonts w:ascii="Arial" w:cs="Arial" w:eastAsia="Arial" w:hAnsi="Arial"/>
                <w:sz w:val="18"/>
                <w:szCs w:val="18"/>
                <w:color w:val="auto"/>
                <w:w w:val="99"/>
              </w:rPr>
              <w:t>200%</w:t>
            </w:r>
          </w:p>
        </w:tc>
      </w:tr>
      <w:tr>
        <w:trPr>
          <w:trHeight w:val="33"/>
        </w:trPr>
        <w:tc>
          <w:tcPr>
            <w:tcW w:w="5620" w:type="dxa"/>
            <w:vAlign w:val="bottom"/>
            <w:tcBorders>
              <w:bottom w:val="single" w:sz="8" w:color="0033A0"/>
            </w:tcBorders>
          </w:tcPr>
          <w:p>
            <w:pPr>
              <w:spacing w:after="0"/>
              <w:rPr>
                <w:sz w:val="2"/>
                <w:szCs w:val="2"/>
                <w:color w:val="auto"/>
              </w:rPr>
            </w:pPr>
          </w:p>
        </w:tc>
        <w:tc>
          <w:tcPr>
            <w:tcW w:w="5400" w:type="dxa"/>
            <w:vAlign w:val="bottom"/>
            <w:tcBorders>
              <w:bottom w:val="single" w:sz="8" w:color="0033A0"/>
            </w:tcBorders>
          </w:tcPr>
          <w:p>
            <w:pPr>
              <w:spacing w:after="0"/>
              <w:rPr>
                <w:sz w:val="2"/>
                <w:szCs w:val="2"/>
                <w:color w:val="auto"/>
              </w:rPr>
            </w:pPr>
          </w:p>
        </w:tc>
      </w:tr>
    </w:tbl>
    <w:p>
      <w:pPr>
        <w:spacing w:after="0" w:line="175" w:lineRule="exact"/>
        <w:rPr>
          <w:sz w:val="20"/>
          <w:szCs w:val="20"/>
          <w:color w:val="auto"/>
        </w:rPr>
      </w:pPr>
    </w:p>
    <w:p>
      <w:pPr>
        <w:sectPr>
          <w:pgSz w:w="11900" w:h="16838" w:orient="portrait"/>
          <w:cols w:equalWidth="0" w:num="1">
            <w:col w:w="11240"/>
          </w:cols>
          <w:pgMar w:left="240" w:top="459" w:right="419" w:bottom="1440" w:gutter="0" w:footer="0" w:header="0"/>
          <w:type w:val="continuous"/>
        </w:sectPr>
      </w:pPr>
    </w:p>
    <w:p>
      <w:pPr>
        <w:ind w:left="220" w:right="180"/>
        <w:spacing w:after="0" w:line="237" w:lineRule="auto"/>
        <w:rPr>
          <w:sz w:val="20"/>
          <w:szCs w:val="20"/>
          <w:color w:val="auto"/>
        </w:rPr>
      </w:pPr>
      <w:r>
        <w:rPr>
          <w:rFonts w:ascii="Arial" w:cs="Arial" w:eastAsia="Arial" w:hAnsi="Arial"/>
          <w:sz w:val="18"/>
          <w:szCs w:val="18"/>
          <w:color w:val="auto"/>
        </w:rPr>
        <w:t>At the time the Compensation Committee established the target levels of performance, it believed that achievement of the threshold performance level was attainable, but not certain, that target performance would be difficult to achieve, and that the maximum level of performance was possible, but not likely to be achieved.</w:t>
      </w:r>
    </w:p>
    <w:p>
      <w:pPr>
        <w:spacing w:after="0" w:line="97" w:lineRule="exact"/>
        <w:rPr>
          <w:sz w:val="20"/>
          <w:szCs w:val="20"/>
          <w:color w:val="auto"/>
        </w:rPr>
      </w:pPr>
    </w:p>
    <w:p>
      <w:pPr>
        <w:ind w:left="220"/>
        <w:spacing w:after="0" w:line="237" w:lineRule="auto"/>
        <w:rPr>
          <w:sz w:val="20"/>
          <w:szCs w:val="20"/>
          <w:color w:val="auto"/>
        </w:rPr>
      </w:pPr>
      <w:r>
        <w:rPr>
          <w:rFonts w:ascii="Arial" w:cs="Arial" w:eastAsia="Arial" w:hAnsi="Arial"/>
          <w:sz w:val="18"/>
          <w:szCs w:val="18"/>
          <w:u w:val="single" w:color="auto"/>
          <w:color w:val="auto"/>
        </w:rPr>
        <w:t>RSU Awards</w:t>
      </w:r>
      <w:r>
        <w:rPr>
          <w:rFonts w:ascii="Arial" w:cs="Arial" w:eastAsia="Arial" w:hAnsi="Arial"/>
          <w:sz w:val="18"/>
          <w:szCs w:val="18"/>
          <w:color w:val="auto"/>
        </w:rPr>
        <w:t>. In 2018, RSUs represented 25% of the LTI award for each named executive officer other than the Chief Executive Officer, who did not receive any RSUs. RSUs awarded as part of the named executive officers’ 2018 long-term incentive awards will vest in three equal annual installments beginning on the first anniversary of the grant date.</w:t>
      </w:r>
    </w:p>
    <w:p>
      <w:pPr>
        <w:spacing w:after="0" w:line="97" w:lineRule="exact"/>
        <w:rPr>
          <w:sz w:val="20"/>
          <w:szCs w:val="20"/>
          <w:color w:val="auto"/>
        </w:rPr>
      </w:pPr>
    </w:p>
    <w:p>
      <w:pPr>
        <w:ind w:left="220" w:right="80"/>
        <w:spacing w:after="0" w:line="250" w:lineRule="auto"/>
        <w:rPr>
          <w:sz w:val="20"/>
          <w:szCs w:val="20"/>
          <w:color w:val="auto"/>
        </w:rPr>
      </w:pPr>
      <w:r>
        <w:rPr>
          <w:rFonts w:ascii="Arial" w:cs="Arial" w:eastAsia="Arial" w:hAnsi="Arial"/>
          <w:sz w:val="17"/>
          <w:szCs w:val="17"/>
          <w:u w:val="single" w:color="auto"/>
          <w:color w:val="auto"/>
        </w:rPr>
        <w:t>Performance Stock Options</w:t>
      </w:r>
      <w:r>
        <w:rPr>
          <w:rFonts w:ascii="Arial" w:cs="Arial" w:eastAsia="Arial" w:hAnsi="Arial"/>
          <w:sz w:val="17"/>
          <w:szCs w:val="17"/>
          <w:color w:val="auto"/>
        </w:rPr>
        <w:t>. In 2018, Performance Stock Options represented 75% of the CEO’s LTI award and 25% of each other named executive officer’s LTI award. Performance Stock Options awarded as part of the 2018 long-term incentive awards for named executive officers other than the Chief Executive Officer will vest on the third anniversary of the grant date if the average closing price of the Company’s common stock during any 15 day period between the grant date and the three year anniversary of the grant date is 125% of the closing price on the grant date. Options representing half of the value of option awards to the Chief Executive Officer will vest on the third anniversary of the grant date if the average closing price of the Company’s common stock during any 15 day period between the grant date and the three year anniversary of the grant date is 125% of the closing price on the grant date, and options representing the other half of the value of option awards granted to the Chief Executive Officer will vest on the third anniversary of the grant date if</w:t>
      </w:r>
    </w:p>
    <w:p>
      <w:pPr>
        <w:spacing w:after="0" w:line="20" w:lineRule="exact"/>
        <w:rPr>
          <w:sz w:val="20"/>
          <w:szCs w:val="20"/>
          <w:color w:val="auto"/>
        </w:rPr>
      </w:pPr>
      <w:r>
        <w:rPr>
          <w:sz w:val="20"/>
          <w:szCs w:val="20"/>
          <w:color w:val="auto"/>
        </w:rPr>
        <w:br w:type="column"/>
      </w:r>
    </w:p>
    <w:p>
      <w:pPr>
        <w:ind w:right="200"/>
        <w:spacing w:after="0" w:line="239" w:lineRule="auto"/>
        <w:rPr>
          <w:sz w:val="20"/>
          <w:szCs w:val="20"/>
          <w:color w:val="auto"/>
        </w:rPr>
      </w:pPr>
      <w:r>
        <w:rPr>
          <w:rFonts w:ascii="Arial" w:cs="Arial" w:eastAsia="Arial" w:hAnsi="Arial"/>
          <w:sz w:val="18"/>
          <w:szCs w:val="18"/>
          <w:color w:val="auto"/>
        </w:rPr>
        <w:t>the average closing price of the Company’s common stock during any 15 day period between the grant date and the three year anniversary of the grant date is 150% of the closing price on the grant date.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Long Term Incentive Payouts</w:t>
      </w:r>
    </w:p>
    <w:p>
      <w:pPr>
        <w:spacing w:after="0" w:line="126"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In 2018, the Compensation Committee certified the level of payouts for the Relative TSR PSUs and Internal Metric PSUs that were awarded in 2016. The long-term incentive awards to the named executive officers were comprised of Relative TSR PSUs (37.5%), Internal Metric PSUs (37.5%) and RSUs (25%). The Relative TSR PSU payouts were determined by Brink’s total shareholder return (calculated based on the 20 day average closing stock prices at the start and end of the three year performance period) as compared to companies in the S&amp;P Small Cap 600 with foreign revenues exceeding 50%. The Compensation Committee approved a payout of Relative TSR PSUs at a level of 150% of target, which reflected TSR at the 75</w:t>
      </w:r>
      <w:r>
        <w:rPr>
          <w:rFonts w:ascii="Arial" w:cs="Arial" w:eastAsia="Arial" w:hAnsi="Arial"/>
          <w:sz w:val="15"/>
          <w:szCs w:val="15"/>
          <w:color w:val="auto"/>
        </w:rPr>
        <w:t>th</w:t>
      </w:r>
      <w:r>
        <w:rPr>
          <w:rFonts w:ascii="Arial" w:cs="Arial" w:eastAsia="Arial" w:hAnsi="Arial"/>
          <w:sz w:val="18"/>
          <w:szCs w:val="18"/>
          <w:color w:val="auto"/>
        </w:rPr>
        <w:t xml:space="preserve"> percentile as compared to the peer companies (as a result of stock price appreciation from $29.79 per share at the beginning of the performance period compared to $66.53 per share at the end of the performance period). Individual payouts to each of the named executive officers appear in the Realized Pay Table on page 46.</w:t>
      </w:r>
    </w:p>
    <w:p>
      <w:pPr>
        <w:spacing w:after="0" w:line="106"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PSU payouts for the 2016 – 2018 performance period were determined by the Company’s performance against threshold, target and maximum levels of non-GAAP operating profit for a two year period (January 1, 2016 – December 31, 2017) set by the Compensation Committee in February 2016. The 2016 – 2018 PSU design was approved by the</w:t>
      </w:r>
    </w:p>
    <w:p>
      <w:pPr>
        <w:spacing w:after="0" w:line="200" w:lineRule="exact"/>
        <w:rPr>
          <w:sz w:val="20"/>
          <w:szCs w:val="20"/>
          <w:color w:val="auto"/>
        </w:rPr>
      </w:pPr>
    </w:p>
    <w:p>
      <w:pPr>
        <w:sectPr>
          <w:pgSz w:w="11900" w:h="16838" w:orient="portrait"/>
          <w:cols w:equalWidth="0" w:num="2">
            <w:col w:w="5480" w:space="340"/>
            <w:col w:w="5420"/>
          </w:cols>
          <w:pgMar w:left="240" w:top="459" w:right="419" w:bottom="1440" w:gutter="0" w:footer="0" w:header="0"/>
          <w:type w:val="continuous"/>
        </w:sectPr>
      </w:pPr>
    </w:p>
    <w:p>
      <w:pPr>
        <w:spacing w:after="0" w:line="182" w:lineRule="exact"/>
        <w:rPr>
          <w:sz w:val="20"/>
          <w:szCs w:val="20"/>
          <w:color w:val="auto"/>
        </w:rPr>
      </w:pPr>
    </w:p>
    <w:tbl>
      <w:tblPr>
        <w:tblLayout w:type="fixed"/>
        <w:tblInd w:w="8820" w:type="dxa"/>
        <w:tblCellMar>
          <w:top w:w="0" w:type="dxa"/>
          <w:left w:w="0" w:type="dxa"/>
          <w:bottom w:w="0" w:type="dxa"/>
          <w:right w:w="0" w:type="dxa"/>
        </w:tblCellMar>
      </w:tblPr>
      <w:tr>
        <w:trPr>
          <w:trHeight w:val="297"/>
        </w:trPr>
        <w:tc>
          <w:tcPr>
            <w:tcW w:w="1900" w:type="dxa"/>
            <w:vAlign w:val="bottom"/>
            <w:tcBorders>
              <w:right w:val="single" w:sz="8" w:color="0033A0"/>
            </w:tcBorders>
          </w:tcPr>
          <w:p>
            <w:pPr>
              <w:spacing w:after="0"/>
              <w:rPr>
                <w:sz w:val="20"/>
                <w:szCs w:val="20"/>
                <w:color w:val="auto"/>
              </w:rPr>
            </w:pPr>
            <w:r>
              <w:rPr>
                <w:rFonts w:ascii="Arial" w:cs="Arial" w:eastAsia="Arial" w:hAnsi="Arial"/>
                <w:sz w:val="18"/>
                <w:szCs w:val="18"/>
                <w:i w:val="1"/>
                <w:iCs w:val="1"/>
                <w:color w:val="auto"/>
              </w:rPr>
              <w:t>2019 Proxy Statement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-170815</wp:posOffset>
            </wp:positionV>
            <wp:extent cx="720090" cy="1289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0090" cy="12890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type w:val="continuous"/>
        </w:sectPr>
      </w:pPr>
    </w:p>
    <w:bookmarkStart w:id="42" w:name="page43"/>
    <w:bookmarkEnd w:id="4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0033A0"/>
        </w:rPr>
        <w:t>The Brink’s Company</w:t>
      </w:r>
    </w:p>
    <w:p>
      <w:pPr>
        <w:spacing w:after="0" w:line="215" w:lineRule="exact"/>
        <w:rPr>
          <w:sz w:val="20"/>
          <w:szCs w:val="20"/>
          <w:color w:val="auto"/>
        </w:rPr>
      </w:pPr>
    </w:p>
    <w:p>
      <w:pPr>
        <w:ind w:left="200" w:right="120"/>
        <w:spacing w:after="0" w:line="237" w:lineRule="auto"/>
        <w:rPr>
          <w:sz w:val="20"/>
          <w:szCs w:val="20"/>
          <w:color w:val="auto"/>
        </w:rPr>
      </w:pPr>
      <w:r>
        <w:rPr>
          <w:rFonts w:ascii="Arial" w:cs="Arial" w:eastAsia="Arial" w:hAnsi="Arial"/>
          <w:sz w:val="18"/>
          <w:szCs w:val="18"/>
          <w:color w:val="auto"/>
        </w:rPr>
        <w:t>Compensation Committee in keeping with the desire to have a three year term for this LTI vehicle, while recognizing management’s two year strategic plan period. In February 2019, the Compensation Committee considered the Company’s performance against the goals. The performance exceeded the target performance level of $450 million of non-GAAP operating profit, which resulted in a payout of 110% of target shares.</w:t>
      </w:r>
    </w:p>
    <w:p>
      <w:pPr>
        <w:spacing w:after="0" w:line="95" w:lineRule="exact"/>
        <w:rPr>
          <w:sz w:val="20"/>
          <w:szCs w:val="20"/>
          <w:color w:val="auto"/>
        </w:rPr>
      </w:pPr>
    </w:p>
    <w:p>
      <w:pPr>
        <w:jc w:val="both"/>
        <w:ind w:left="200"/>
        <w:spacing w:after="0"/>
        <w:rPr>
          <w:sz w:val="20"/>
          <w:szCs w:val="20"/>
          <w:color w:val="auto"/>
        </w:rPr>
      </w:pPr>
      <w:r>
        <w:rPr>
          <w:rFonts w:ascii="Arial" w:cs="Arial" w:eastAsia="Arial" w:hAnsi="Arial"/>
          <w:sz w:val="18"/>
          <w:szCs w:val="18"/>
          <w:color w:val="auto"/>
        </w:rPr>
        <w:t>The cumulative non-GAAP operating profit performance result of $457 million reflects adjustments (in accordance with the terms of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2013 Equity Incentive Plan) for the impact of foreign exchange, acquisitions and divestitures, changes in pension accounting and exclusion of amortization expenses. These adjustments were designed to ensure that participants are neither helped nor hurt by changes in foreign exchange rates, changes in how we measure non-GAAP results or the impact or timing of acquisitions or divestitures.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-1713230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7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following tables show the Company’s performance against the PSU performance goals, resulting in the payouts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-2583815</wp:posOffset>
            </wp:positionH>
            <wp:positionV relativeFrom="paragraph">
              <wp:posOffset>350520</wp:posOffset>
            </wp:positionV>
            <wp:extent cx="5034280" cy="337058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034280" cy="3370580"/>
                    </a:xfrm>
                    <a:prstGeom prst="rect">
                      <a:avLst/>
                    </a:prstGeom>
                    <a:noFill/>
                  </pic:spPr>
                </pic:pic>
              </a:graphicData>
            </a:graphic>
          </wp:anchor>
        </w:drawing>
      </w:r>
    </w:p>
    <w:p>
      <w:pPr>
        <w:spacing w:after="0" w:line="372" w:lineRule="exact"/>
        <w:rPr>
          <w:sz w:val="20"/>
          <w:szCs w:val="20"/>
          <w:color w:val="auto"/>
        </w:rPr>
      </w:pPr>
    </w:p>
    <w:p>
      <w:pPr>
        <w:sectPr>
          <w:pgSz w:w="11900" w:h="16838" w:orient="portrait"/>
          <w:cols w:equalWidth="0" w:num="2">
            <w:col w:w="5420" w:space="400"/>
            <w:col w:w="5300"/>
          </w:cols>
          <w:pgMar w:left="240" w:top="45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60" w:hanging="425"/>
        <w:spacing w:after="0"/>
        <w:tabs>
          <w:tab w:leader="none" w:pos="20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Reflects pre-approved adjustments, as described above.</w:t>
      </w:r>
    </w:p>
    <w:p>
      <w:pPr>
        <w:sectPr>
          <w:pgSz w:w="11900" w:h="16838" w:orient="portrait"/>
          <w:cols w:equalWidth="0" w:num="1">
            <w:col w:w="11120"/>
          </w:cols>
          <w:pgMar w:left="240" w:top="459" w:right="539" w:bottom="1440" w:gutter="0" w:footer="0" w:header="0"/>
          <w:type w:val="continuous"/>
        </w:sectPr>
      </w:pPr>
    </w:p>
    <w:p>
      <w:pPr>
        <w:spacing w:after="0" w:line="14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Tax Deductibility</w:t>
      </w:r>
    </w:p>
    <w:p>
      <w:pPr>
        <w:spacing w:after="0" w:line="126" w:lineRule="exact"/>
        <w:rPr>
          <w:sz w:val="20"/>
          <w:szCs w:val="20"/>
          <w:color w:val="auto"/>
        </w:rPr>
      </w:pPr>
    </w:p>
    <w:p>
      <w:pPr>
        <w:ind w:left="220"/>
        <w:spacing w:after="0" w:line="236" w:lineRule="auto"/>
        <w:rPr>
          <w:sz w:val="20"/>
          <w:szCs w:val="20"/>
          <w:color w:val="auto"/>
        </w:rPr>
      </w:pPr>
      <w:r>
        <w:rPr>
          <w:rFonts w:ascii="Arial" w:cs="Arial" w:eastAsia="Arial" w:hAnsi="Arial"/>
          <w:sz w:val="18"/>
          <w:szCs w:val="18"/>
          <w:color w:val="auto"/>
        </w:rPr>
        <w:t>Prior to the adoption of the Tax Cuts and Jobs Act of 2017 on December 22, 2017 (“Tax Reform”), under Section 162(m) of the Code, compensation in excess of $1,000,000 paid in any one year to a publicly-held corporation’s covered employees who are employed by the corporation at year-end would not be deductible for federal income tax purposes unless the compensation was considered “qualified performance-based compensation” (or another</w:t>
      </w:r>
    </w:p>
    <w:p>
      <w:pPr>
        <w:spacing w:after="0" w:line="290" w:lineRule="exact"/>
        <w:rPr>
          <w:sz w:val="20"/>
          <w:szCs w:val="20"/>
          <w:color w:val="auto"/>
        </w:rPr>
      </w:pPr>
    </w:p>
    <w:tbl>
      <w:tblPr>
        <w:tblLayout w:type="fixed"/>
        <w:tblInd w:w="200" w:type="dxa"/>
        <w:tblCellMar>
          <w:top w:w="0" w:type="dxa"/>
          <w:left w:w="0" w:type="dxa"/>
          <w:bottom w:w="0" w:type="dxa"/>
          <w:right w:w="0" w:type="dxa"/>
        </w:tblCellMar>
      </w:tblPr>
      <w:tr>
        <w:trPr>
          <w:trHeight w:val="297"/>
        </w:trPr>
        <w:tc>
          <w:tcPr>
            <w:tcW w:w="360" w:type="dxa"/>
            <w:vAlign w:val="bottom"/>
            <w:tcBorders>
              <w:right w:val="single" w:sz="8" w:color="0033A0"/>
            </w:tcBorders>
          </w:tcPr>
          <w:p>
            <w:pPr>
              <w:jc w:val="right"/>
              <w:ind w:right="70"/>
              <w:spacing w:after="0"/>
              <w:rPr>
                <w:sz w:val="20"/>
                <w:szCs w:val="20"/>
                <w:color w:val="auto"/>
              </w:rPr>
            </w:pPr>
            <w:r>
              <w:rPr>
                <w:rFonts w:ascii="Arial" w:cs="Arial" w:eastAsia="Arial" w:hAnsi="Arial"/>
                <w:sz w:val="18"/>
                <w:szCs w:val="18"/>
                <w:b w:val="1"/>
                <w:bCs w:val="1"/>
                <w:color w:val="auto"/>
                <w:w w:val="89"/>
              </w:rPr>
              <w:t>38</w:t>
            </w:r>
          </w:p>
        </w:tc>
        <w:tc>
          <w:tcPr>
            <w:tcW w:w="3380" w:type="dxa"/>
            <w:vAlign w:val="bottom"/>
          </w:tcPr>
          <w:p>
            <w:pPr>
              <w:ind w:left="1600"/>
              <w:spacing w:after="0"/>
              <w:rPr>
                <w:sz w:val="20"/>
                <w:szCs w:val="20"/>
                <w:color w:val="auto"/>
              </w:rPr>
            </w:pPr>
            <w:r>
              <w:rPr>
                <w:rFonts w:ascii="Arial" w:cs="Arial" w:eastAsia="Arial" w:hAnsi="Arial"/>
                <w:sz w:val="18"/>
                <w:szCs w:val="18"/>
                <w:i w:val="1"/>
                <w:iCs w:val="1"/>
                <w:color w:val="auto"/>
                <w:w w:val="98"/>
              </w:rPr>
              <w:t>2019 Proxy Statement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-170815</wp:posOffset>
            </wp:positionV>
            <wp:extent cx="720090" cy="1289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009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exemption is met). Covered employees included the Chief Executive Officer and the three other most highly-compensated executive officers as of the last day of the taxable year other than the Chief Executive Officer or Chief Financial Officer.</w:t>
      </w:r>
    </w:p>
    <w:p>
      <w:pPr>
        <w:spacing w:after="0" w:line="94"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As a result of Tax Reform: (i) the exception for qualified performance-based compensation was eliminated effective for tax years beginning on or after January 1, 2018, (ii) the definition of “covered employees” was expanded to include the Chief</w:t>
      </w:r>
    </w:p>
    <w:p>
      <w:pPr>
        <w:sectPr>
          <w:pgSz w:w="11900" w:h="16838" w:orient="portrait"/>
          <w:cols w:equalWidth="0" w:num="2">
            <w:col w:w="5480" w:space="340"/>
            <w:col w:w="5300"/>
          </w:cols>
          <w:pgMar w:left="240" w:top="459" w:right="539" w:bottom="1440" w:gutter="0" w:footer="0" w:header="0"/>
          <w:type w:val="continuous"/>
        </w:sectPr>
      </w:pPr>
    </w:p>
    <w:bookmarkStart w:id="43" w:name="page44"/>
    <w:bookmarkEnd w:id="4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20" w:right="140"/>
        <w:spacing w:after="0" w:line="252" w:lineRule="auto"/>
        <w:rPr>
          <w:sz w:val="20"/>
          <w:szCs w:val="20"/>
          <w:color w:val="auto"/>
        </w:rPr>
      </w:pPr>
      <w:r>
        <w:rPr>
          <w:rFonts w:ascii="Arial" w:cs="Arial" w:eastAsia="Arial" w:hAnsi="Arial"/>
          <w:sz w:val="17"/>
          <w:szCs w:val="17"/>
          <w:color w:val="auto"/>
        </w:rPr>
        <w:t>Financial Officer, and (iii) “covered employee status” was made permanent for any executive who was a “covered employee” for any tax year beginning after December 31, 2016. However, performance-based compensation arrangements pursuant to written binding contracts in effect as of November 2, 2017 may continue to be treated as performance-based compensation and are deductible so long as the arrangements are not modified thereafter in any material respect (“162(m) Transition Relief”).</w:t>
      </w:r>
    </w:p>
    <w:p>
      <w:pPr>
        <w:spacing w:after="0" w:line="87" w:lineRule="exact"/>
        <w:rPr>
          <w:sz w:val="20"/>
          <w:szCs w:val="20"/>
          <w:color w:val="auto"/>
        </w:rPr>
      </w:pPr>
    </w:p>
    <w:p>
      <w:pPr>
        <w:ind w:left="220" w:right="80"/>
        <w:spacing w:after="0" w:line="255" w:lineRule="auto"/>
        <w:rPr>
          <w:sz w:val="20"/>
          <w:szCs w:val="20"/>
          <w:color w:val="auto"/>
        </w:rPr>
      </w:pPr>
      <w:r>
        <w:rPr>
          <w:rFonts w:ascii="Arial" w:cs="Arial" w:eastAsia="Arial" w:hAnsi="Arial"/>
          <w:sz w:val="17"/>
          <w:szCs w:val="17"/>
          <w:color w:val="auto"/>
        </w:rPr>
        <w:t>We believe that PSU payouts for the 2016-2018 and 2017-2019 performance periods and Stock Option awards granted in 2017 and 2018 that are subject to award agreements entered into prior to November 2, 2017 and not subsequently materially modified, will continue to be deductible under the 162(m) Transition Relief.</w:t>
      </w:r>
    </w:p>
    <w:p>
      <w:pPr>
        <w:spacing w:after="0" w:line="82" w:lineRule="exact"/>
        <w:rPr>
          <w:sz w:val="20"/>
          <w:szCs w:val="20"/>
          <w:color w:val="auto"/>
        </w:rPr>
      </w:pPr>
    </w:p>
    <w:p>
      <w:pPr>
        <w:ind w:left="220"/>
        <w:spacing w:after="0" w:line="250" w:lineRule="auto"/>
        <w:rPr>
          <w:sz w:val="20"/>
          <w:szCs w:val="20"/>
          <w:color w:val="auto"/>
        </w:rPr>
      </w:pPr>
      <w:r>
        <w:rPr>
          <w:rFonts w:ascii="Arial" w:cs="Arial" w:eastAsia="Arial" w:hAnsi="Arial"/>
          <w:sz w:val="17"/>
          <w:szCs w:val="17"/>
          <w:color w:val="auto"/>
        </w:rPr>
        <w:t>There can be no guarantee, however, that amounts potentially subject to the Section 162(m) Transition Relief limitations will be treated by the Internal Revenue Service as qualified performance-based compensation under Section 162(m) Transition Relief or that such amounts will be deductible by the Company. As described above, a number of requirements must be met under Section 162(m) of the Code and the corresponding 162(m) Transition Relief in order for particular compensation to qualify for the exception. There can be no assurance that amounts intended to constitute “qualified performance-based” compensation under the 162(m) Transition Relief, including, if applicable, amounts payable under EIP or the Company’s LTI program, will be fully deductible under all circumstances. In addition, the Company reserves the flexibility to award non -deductible compensation in circumstances where the Company believes, in its good faith business judgment, that such an award is in its best interest in attracting or retaining capable management.</w:t>
      </w:r>
    </w:p>
    <w:p>
      <w:pPr>
        <w:spacing w:after="0" w:line="6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Equity Grant Practices</w:t>
      </w:r>
    </w:p>
    <w:p>
      <w:pPr>
        <w:spacing w:after="0" w:line="126" w:lineRule="exact"/>
        <w:rPr>
          <w:sz w:val="20"/>
          <w:szCs w:val="20"/>
          <w:color w:val="auto"/>
        </w:rPr>
      </w:pPr>
    </w:p>
    <w:p>
      <w:pPr>
        <w:ind w:left="220"/>
        <w:spacing w:after="0" w:line="236" w:lineRule="auto"/>
        <w:rPr>
          <w:sz w:val="20"/>
          <w:szCs w:val="20"/>
          <w:color w:val="auto"/>
        </w:rPr>
      </w:pPr>
      <w:r>
        <w:rPr>
          <w:rFonts w:ascii="Arial" w:cs="Arial" w:eastAsia="Arial" w:hAnsi="Arial"/>
          <w:sz w:val="18"/>
          <w:szCs w:val="18"/>
          <w:color w:val="auto"/>
        </w:rPr>
        <w:t>The Company does not strategically time LTI awards in coordination with the release of material non-public information and has never had a practice of doing so. It is Company policy not to engage in backdating options. In addition, the Company has never timed and does not plan to time the release of material non-public information for the purpose of affecting the value of executive compensation. The accounting for PSU, RSU and Option awards granted by the Company is compliant with accounting principles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ind w:left="1000"/>
        <w:spacing w:after="0"/>
        <w:rPr>
          <w:sz w:val="20"/>
          <w:szCs w:val="20"/>
          <w:color w:val="auto"/>
        </w:rPr>
      </w:pPr>
      <w:r>
        <w:rPr>
          <w:rFonts w:ascii="Arial" w:cs="Arial" w:eastAsia="Arial" w:hAnsi="Arial"/>
          <w:sz w:val="19"/>
          <w:szCs w:val="19"/>
          <w:b w:val="1"/>
          <w:bCs w:val="1"/>
          <w:color w:val="0033A0"/>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-661035</wp:posOffset>
            </wp:positionV>
            <wp:extent cx="72891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7"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generally accepted in the United States and is disclosed in the Company’s annual and quarterly financial reports filed with the SEC. The determination of grant date fair value for RSUs, PSUs and Options is described on page 44.</w:t>
      </w:r>
    </w:p>
    <w:p>
      <w:pPr>
        <w:spacing w:after="0" w:line="72"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b w:val="1"/>
          <w:bCs w:val="1"/>
          <w:i w:val="1"/>
          <w:iCs w:val="1"/>
          <w:color w:val="auto"/>
        </w:rPr>
        <w:t>“Double Trigger” Acceleration of Vesting Following Change in Control</w:t>
      </w:r>
    </w:p>
    <w:p>
      <w:pPr>
        <w:spacing w:after="0" w:line="68"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The Compensation Committee has approved terms and conditions for the executive officers’ PSU awards that provide for double trigger vesting of awards upon a change in control—which means that the vesting of these awards will accelerate only upon certain terminations of employment following a change in control. For Internal Metric PSUs awarded in 2018, a change in control within the first twelve months of the performance period will result in conversion of the awards to time-based RSUs at target level that vest at the end of the performance period. The RSUs resulting from the conversion of Internal Metric PSUs will be subject to a double trigger for accelerated vesting. If a change in control occurs after the first twelve months of the performance period, the Compensation Committee will assess performance against the pre-established goals (adjusted for the reduced duration of the performance period) and the Internal Metric PSUs will be converted to time based RSUs that vest at the end of the performance period for that number of shares that would have become payable based on the goals (as adjusted) achieved through the date of the change in control. The RSUs resulting from the conversion of Internal Metric PSUs will be subject to a double trigger for accelerated vesting.</w:t>
      </w:r>
    </w:p>
    <w:p>
      <w:pPr>
        <w:spacing w:after="0" w:line="106"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For Relative TSR PSUs awarded in 2018, a change in control during the performance period will result in conversion of the awards to time-based RSUs that vest at the end of the performance period for that number of shares of Brink’s Common stock that is equal to the number of Relative TSR PSUs that would have become payable based on the goals achieved through the date of the change in control. The RSUs resulting from the conversion of Relative TSR PSUs will be subject to a double trigger for accelerated vesting.</w:t>
      </w:r>
    </w:p>
    <w:p>
      <w:pPr>
        <w:spacing w:after="0" w:line="9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For Performance Stock Option awards granted in 2018, in the event of a change in control prior to the vesting date, the stock price performance condition will be deemed achieved and the Options will be subject to a double trigger for accelerated vesting.</w:t>
      </w:r>
    </w:p>
    <w:p>
      <w:pPr>
        <w:spacing w:after="0" w:line="284" w:lineRule="exact"/>
        <w:rPr>
          <w:sz w:val="20"/>
          <w:szCs w:val="20"/>
          <w:color w:val="auto"/>
        </w:rPr>
      </w:pPr>
    </w:p>
    <w:tbl>
      <w:tblPr>
        <w:tblLayout w:type="fixed"/>
        <w:tblInd w:w="3000" w:type="dxa"/>
        <w:tblCellMar>
          <w:top w:w="0" w:type="dxa"/>
          <w:left w:w="0" w:type="dxa"/>
          <w:bottom w:w="0" w:type="dxa"/>
          <w:right w:w="0" w:type="dxa"/>
        </w:tblCellMar>
      </w:tblPr>
      <w:tr>
        <w:trPr>
          <w:trHeight w:val="297"/>
        </w:trPr>
        <w:tc>
          <w:tcPr>
            <w:tcW w:w="1900" w:type="dxa"/>
            <w:vAlign w:val="bottom"/>
            <w:tcBorders>
              <w:right w:val="single" w:sz="8" w:color="0033A0"/>
            </w:tcBorders>
          </w:tcPr>
          <w:p>
            <w:pPr>
              <w:spacing w:after="0"/>
              <w:rPr>
                <w:sz w:val="20"/>
                <w:szCs w:val="20"/>
                <w:color w:val="auto"/>
              </w:rPr>
            </w:pPr>
            <w:r>
              <w:rPr>
                <w:rFonts w:ascii="Arial" w:cs="Arial" w:eastAsia="Arial" w:hAnsi="Arial"/>
                <w:sz w:val="18"/>
                <w:szCs w:val="18"/>
                <w:i w:val="1"/>
                <w:iCs w:val="1"/>
                <w:color w:val="auto"/>
              </w:rPr>
              <w:t>2019 Proxy Statement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1026160</wp:posOffset>
            </wp:positionH>
            <wp:positionV relativeFrom="paragraph">
              <wp:posOffset>-170815</wp:posOffset>
            </wp:positionV>
            <wp:extent cx="720090" cy="1289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0090" cy="128905"/>
                    </a:xfrm>
                    <a:prstGeom prst="rect">
                      <a:avLst/>
                    </a:prstGeom>
                    <a:noFill/>
                  </pic:spPr>
                </pic:pic>
              </a:graphicData>
            </a:graphic>
          </wp:anchor>
        </w:drawing>
      </w:r>
    </w:p>
    <w:p>
      <w:pPr>
        <w:sectPr>
          <w:pgSz w:w="11900" w:h="16838" w:orient="portrait"/>
          <w:cols w:equalWidth="0" w:num="2">
            <w:col w:w="5460" w:space="360"/>
            <w:col w:w="5400"/>
          </w:cols>
          <w:pgMar w:left="24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00"/>
        <w:spacing w:after="0"/>
        <w:rPr>
          <w:sz w:val="20"/>
          <w:szCs w:val="20"/>
          <w:color w:val="auto"/>
        </w:rPr>
      </w:pPr>
      <w:r>
        <w:rPr>
          <w:rFonts w:ascii="Arial" w:cs="Arial" w:eastAsia="Arial" w:hAnsi="Arial"/>
          <w:sz w:val="19"/>
          <w:szCs w:val="19"/>
          <w:b w:val="1"/>
          <w:bCs w:val="1"/>
          <w:color w:val="0033A0"/>
        </w:rPr>
        <w:t>The Brink’s Company</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auto"/>
        </w:rPr>
        <w:t>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68580</wp:posOffset>
            </wp:positionV>
            <wp:extent cx="69977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00"/>
          </w:cols>
          <w:pgMar w:left="240" w:top="459" w:right="459" w:bottom="1440" w:gutter="0" w:footer="0" w:header="0"/>
        </w:sectPr>
      </w:pPr>
    </w:p>
    <w:p>
      <w:pPr>
        <w:spacing w:after="0" w:line="3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 xml:space="preserve">General. </w:t>
      </w:r>
      <w:r>
        <w:rPr>
          <w:rFonts w:ascii="Arial" w:cs="Arial" w:eastAsia="Arial" w:hAnsi="Arial"/>
          <w:sz w:val="18"/>
          <w:szCs w:val="18"/>
          <w:color w:val="auto"/>
        </w:rPr>
        <w:t>The types and amounts of benefits provided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named executive officers are established based upon an assessment of competitive market factors and a determination of what is needed to attract and retain talent, as well as providing long-term financial security to the Company’s employees and their families. The Company’s primary benefits for the named executive officers include participation in the plans and arrangements listed below.</w:t>
      </w:r>
    </w:p>
    <w:p>
      <w:pPr>
        <w:spacing w:after="0" w:line="73" w:lineRule="exact"/>
        <w:rPr>
          <w:sz w:val="20"/>
          <w:szCs w:val="20"/>
          <w:color w:val="auto"/>
        </w:rPr>
      </w:pPr>
    </w:p>
    <w:p>
      <w:pPr>
        <w:ind w:left="220"/>
        <w:spacing w:after="0" w:line="236" w:lineRule="auto"/>
        <w:rPr>
          <w:sz w:val="20"/>
          <w:szCs w:val="20"/>
          <w:color w:val="auto"/>
        </w:rPr>
      </w:pPr>
      <w:r>
        <w:rPr>
          <w:rFonts w:ascii="Arial" w:cs="Arial" w:eastAsia="Arial" w:hAnsi="Arial"/>
          <w:sz w:val="18"/>
          <w:szCs w:val="18"/>
          <w:b w:val="1"/>
          <w:bCs w:val="1"/>
          <w:i w:val="1"/>
          <w:iCs w:val="1"/>
          <w:color w:val="auto"/>
        </w:rPr>
        <w:t xml:space="preserve">Deferred Compensation. </w:t>
      </w:r>
      <w:r>
        <w:rPr>
          <w:rFonts w:ascii="Arial" w:cs="Arial" w:eastAsia="Arial" w:hAnsi="Arial"/>
          <w:sz w:val="18"/>
          <w:szCs w:val="18"/>
          <w:color w:val="auto"/>
        </w:rPr>
        <w:t>The Company maintains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non-qualified deferred compensation program, the Key Employees’ Deferred Compensation Program, for certain of its most highly compensated U.S.– based employees, including all of the named executive officers based in the U.S. Under the deferred compensation program, named executive officers may defer a portion of their compensation, which is invested in mutual funds or converted to units that track Brink’s Common Stock, according to the executive’s instructions at the time of enrollment. Matching contributions by the Company are made in the form of units of Brink’s Common Stock, which are subject to a five-year vesting period from the date of original participation in the program. As a result, participation in the deferred compensation program enhances the alignment of the interests of the named executive officers with the Company’s shareholders by providing the Company’s executive officers with a further opportunity to meet or make progress against their stock ownership guidelines. The Compensation Committee also believes that the deferred compensation program furthers the Company’s goal of retaining program participants, including the named executive officers, in part, because any matching contributions by the Company are subject to a five-year vesting period that begins at the time of enrollment in the program. Because he is not based in the U.S., Mr. Zukerman does not participate in this program.</w:t>
      </w:r>
    </w:p>
    <w:p>
      <w:pPr>
        <w:spacing w:after="0" w:line="107" w:lineRule="exact"/>
        <w:rPr>
          <w:sz w:val="20"/>
          <w:szCs w:val="20"/>
          <w:color w:val="auto"/>
        </w:rPr>
      </w:pPr>
    </w:p>
    <w:p>
      <w:pPr>
        <w:jc w:val="both"/>
        <w:ind w:left="220" w:right="200"/>
        <w:spacing w:after="0"/>
        <w:rPr>
          <w:sz w:val="20"/>
          <w:szCs w:val="20"/>
          <w:color w:val="auto"/>
        </w:rPr>
      </w:pPr>
      <w:r>
        <w:rPr>
          <w:rFonts w:ascii="Arial" w:cs="Arial" w:eastAsia="Arial" w:hAnsi="Arial"/>
          <w:sz w:val="18"/>
          <w:szCs w:val="18"/>
          <w:color w:val="auto"/>
        </w:rPr>
        <w:t>For more information on the Company’s deferred compensation program, see “Non-qualified Deferred Compensation” beginning on page 55.</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Pension Plans</w:t>
      </w:r>
    </w:p>
    <w:p>
      <w:pPr>
        <w:spacing w:after="0" w:line="126" w:lineRule="exact"/>
        <w:rPr>
          <w:sz w:val="20"/>
          <w:szCs w:val="20"/>
          <w:color w:val="auto"/>
        </w:rPr>
      </w:pPr>
    </w:p>
    <w:p>
      <w:pPr>
        <w:ind w:left="220" w:right="100"/>
        <w:spacing w:after="0" w:line="238" w:lineRule="auto"/>
        <w:rPr>
          <w:sz w:val="20"/>
          <w:szCs w:val="20"/>
          <w:color w:val="auto"/>
        </w:rPr>
      </w:pPr>
      <w:r>
        <w:rPr>
          <w:rFonts w:ascii="Arial" w:cs="Arial" w:eastAsia="Arial" w:hAnsi="Arial"/>
          <w:sz w:val="18"/>
          <w:szCs w:val="18"/>
          <w:color w:val="auto"/>
        </w:rPr>
        <w:t>The Company maintains a frozen noncontributory defined benefit pension plan covering U.S. employees who met plan eligibility requirements and were employed before December 31, 2005. In addition, the Company maintains a frozen pension equalization plan under which the Company makes</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additional payments in excess of those payable under the Code limitations applicable to the pension plan. Mr. Marshall is the only named executive officer who participates in the Frozen Pension Plan and the Pension Equalization Plan. The accrual of benefits under these plans has been frozen since December 31, 2005. The Company also maintains pension plans in other countries in which it has operations. Mr. Zukerman participates in the Company’s Switzerland Pension Plan which provides benefits to Switzerland-based employees. For more information on the Company’s pension plans, see “Pension Benefits” beginning on page 53.</w:t>
      </w:r>
    </w:p>
    <w:p>
      <w:pPr>
        <w:spacing w:after="0" w:line="76"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b w:val="1"/>
          <w:bCs w:val="1"/>
          <w:i w:val="1"/>
          <w:iCs w:val="1"/>
          <w:color w:val="auto"/>
        </w:rPr>
        <w:t xml:space="preserve">Executive Salary Continuation Plan. </w:t>
      </w:r>
      <w:r>
        <w:rPr>
          <w:rFonts w:ascii="Arial" w:cs="Arial" w:eastAsia="Arial" w:hAnsi="Arial"/>
          <w:sz w:val="18"/>
          <w:szCs w:val="18"/>
          <w:color w:val="auto"/>
        </w:rPr>
        <w:t>The U.S.–based named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officers participate along with other senior executives in the Company’s Executive Salary Continuation Plan, which, in the event a participant dies while in the employment of the Company, provides that the Company will pay a designated beneficiary a death benefit equal to three times the participant’s annual salary. This benefit is paid out over a 10-year period following the participant’s death. Because he is not based in the U.S., Mr. Zukerman does not participate in this plan.</w:t>
      </w:r>
    </w:p>
    <w:p>
      <w:pPr>
        <w:spacing w:after="0" w:line="76" w:lineRule="exact"/>
        <w:rPr>
          <w:sz w:val="20"/>
          <w:szCs w:val="20"/>
          <w:color w:val="auto"/>
        </w:rPr>
      </w:pPr>
    </w:p>
    <w:p>
      <w:pPr>
        <w:spacing w:after="0" w:line="239" w:lineRule="auto"/>
        <w:rPr>
          <w:sz w:val="20"/>
          <w:szCs w:val="20"/>
          <w:color w:val="auto"/>
        </w:rPr>
      </w:pPr>
      <w:r>
        <w:rPr>
          <w:rFonts w:ascii="Arial" w:cs="Arial" w:eastAsia="Arial" w:hAnsi="Arial"/>
          <w:sz w:val="18"/>
          <w:szCs w:val="18"/>
          <w:b w:val="1"/>
          <w:bCs w:val="1"/>
          <w:i w:val="1"/>
          <w:iCs w:val="1"/>
          <w:color w:val="auto"/>
        </w:rPr>
        <w:t xml:space="preserve">Long-Term Disability Plan. </w:t>
      </w:r>
      <w:r>
        <w:rPr>
          <w:rFonts w:ascii="Arial" w:cs="Arial" w:eastAsia="Arial" w:hAnsi="Arial"/>
          <w:sz w:val="18"/>
          <w:szCs w:val="18"/>
          <w:color w:val="auto"/>
        </w:rPr>
        <w:t>U.S.-based named executive officers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participate along with other salaried U.S. employees in a long-term disability program. In the event that the executive is totally incapacitated, he would receive 50% of current annual base salary plus the average of the last three years’ annual incentive payments, with a maximum annual payment of $300,000. These payments would continue (as long as the executive is totally disabled) until the executive reaches the social security normal retirement age. Because he is not based in the U.S., Mr. Zukerman does not participate in this plan.</w:t>
      </w:r>
    </w:p>
    <w:p>
      <w:pPr>
        <w:spacing w:after="0" w:line="73"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b w:val="1"/>
          <w:bCs w:val="1"/>
          <w:i w:val="1"/>
          <w:iCs w:val="1"/>
          <w:color w:val="auto"/>
        </w:rPr>
        <w:t xml:space="preserve">Health and Welfare Plans. </w:t>
      </w:r>
      <w:r>
        <w:rPr>
          <w:rFonts w:ascii="Arial" w:cs="Arial" w:eastAsia="Arial" w:hAnsi="Arial"/>
          <w:sz w:val="18"/>
          <w:szCs w:val="18"/>
          <w:color w:val="auto"/>
        </w:rPr>
        <w:t>Messrs. Pertz, Domanico, Beech,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Marshall are also eligible to participate in the Company’s health, dental and vision plans, and various insurance plans, including basic life insurance, and the Company’s matching charitable gifts program on the same basis as any other salaried U.S. employee.</w:t>
      </w:r>
    </w:p>
    <w:p>
      <w:pPr>
        <w:spacing w:after="0" w:line="69" w:lineRule="exact"/>
        <w:rPr>
          <w:sz w:val="20"/>
          <w:szCs w:val="20"/>
          <w:color w:val="auto"/>
        </w:rPr>
      </w:pPr>
    </w:p>
    <w:p>
      <w:pPr>
        <w:spacing w:after="0" w:line="242" w:lineRule="auto"/>
        <w:rPr>
          <w:sz w:val="20"/>
          <w:szCs w:val="20"/>
          <w:color w:val="auto"/>
        </w:rPr>
      </w:pPr>
      <w:r>
        <w:rPr>
          <w:rFonts w:ascii="Arial" w:cs="Arial" w:eastAsia="Arial" w:hAnsi="Arial"/>
          <w:sz w:val="18"/>
          <w:szCs w:val="18"/>
          <w:b w:val="1"/>
          <w:bCs w:val="1"/>
          <w:i w:val="1"/>
          <w:iCs w:val="1"/>
          <w:color w:val="auto"/>
        </w:rPr>
        <w:t xml:space="preserve">Perquisites. </w:t>
      </w:r>
      <w:r>
        <w:rPr>
          <w:rFonts w:ascii="Arial" w:cs="Arial" w:eastAsia="Arial" w:hAnsi="Arial"/>
          <w:sz w:val="18"/>
          <w:szCs w:val="18"/>
          <w:color w:val="auto"/>
        </w:rPr>
        <w:t>For 2018, the Company provided its named executive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officers with limited perquisites, including limited personal and spouse travel, entertainment and gifts, reimbursement of relocation expenses, executive physical examinations, and payment of certain tax preparation expenses for Mr. Zukerman. Executives bear all tax consequences and are not grossed up.</w:t>
      </w:r>
    </w:p>
    <w:p>
      <w:pPr>
        <w:spacing w:after="0" w:line="401" w:lineRule="exact"/>
        <w:rPr>
          <w:sz w:val="20"/>
          <w:szCs w:val="20"/>
          <w:color w:val="auto"/>
        </w:rPr>
      </w:pPr>
    </w:p>
    <w:p>
      <w:pPr>
        <w:sectPr>
          <w:pgSz w:w="11900" w:h="16838" w:orient="portrait"/>
          <w:cols w:equalWidth="0" w:num="2">
            <w:col w:w="5480" w:space="340"/>
            <w:col w:w="5380"/>
          </w:cols>
          <w:pgMar w:left="240" w:top="459" w:right="459" w:bottom="1440" w:gutter="0" w:footer="0" w:header="0"/>
          <w:type w:val="continuous"/>
        </w:sectPr>
      </w:pPr>
    </w:p>
    <w:p>
      <w:pPr>
        <w:spacing w:after="0" w:line="85" w:lineRule="exact"/>
        <w:rPr>
          <w:sz w:val="20"/>
          <w:szCs w:val="20"/>
          <w:color w:val="auto"/>
        </w:rPr>
      </w:pPr>
    </w:p>
    <w:tbl>
      <w:tblPr>
        <w:tblLayout w:type="fixed"/>
        <w:tblInd w:w="200" w:type="dxa"/>
        <w:tblCellMar>
          <w:top w:w="0" w:type="dxa"/>
          <w:left w:w="0" w:type="dxa"/>
          <w:bottom w:w="0" w:type="dxa"/>
          <w:right w:w="0" w:type="dxa"/>
        </w:tblCellMar>
      </w:tblPr>
      <w:tr>
        <w:trPr>
          <w:trHeight w:val="297"/>
        </w:trPr>
        <w:tc>
          <w:tcPr>
            <w:tcW w:w="360" w:type="dxa"/>
            <w:vAlign w:val="bottom"/>
            <w:tcBorders>
              <w:right w:val="single" w:sz="8" w:color="0033A0"/>
            </w:tcBorders>
          </w:tcPr>
          <w:p>
            <w:pPr>
              <w:jc w:val="right"/>
              <w:ind w:right="70"/>
              <w:spacing w:after="0"/>
              <w:rPr>
                <w:sz w:val="20"/>
                <w:szCs w:val="20"/>
                <w:color w:val="auto"/>
              </w:rPr>
            </w:pPr>
            <w:r>
              <w:rPr>
                <w:rFonts w:ascii="Arial" w:cs="Arial" w:eastAsia="Arial" w:hAnsi="Arial"/>
                <w:sz w:val="18"/>
                <w:szCs w:val="18"/>
                <w:b w:val="1"/>
                <w:bCs w:val="1"/>
                <w:color w:val="auto"/>
                <w:w w:val="89"/>
              </w:rPr>
              <w:t>40</w:t>
            </w:r>
          </w:p>
        </w:tc>
        <w:tc>
          <w:tcPr>
            <w:tcW w:w="3380" w:type="dxa"/>
            <w:vAlign w:val="bottom"/>
          </w:tcPr>
          <w:p>
            <w:pPr>
              <w:ind w:left="1600"/>
              <w:spacing w:after="0"/>
              <w:rPr>
                <w:sz w:val="20"/>
                <w:szCs w:val="20"/>
                <w:color w:val="auto"/>
              </w:rPr>
            </w:pPr>
            <w:r>
              <w:rPr>
                <w:rFonts w:ascii="Arial" w:cs="Arial" w:eastAsia="Arial" w:hAnsi="Arial"/>
                <w:sz w:val="18"/>
                <w:szCs w:val="18"/>
                <w:i w:val="1"/>
                <w:iCs w:val="1"/>
                <w:color w:val="auto"/>
                <w:w w:val="98"/>
              </w:rPr>
              <w:t>2019 Proxy Statement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-170815</wp:posOffset>
            </wp:positionV>
            <wp:extent cx="720090" cy="1289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0090" cy="128905"/>
                    </a:xfrm>
                    <a:prstGeom prst="rect">
                      <a:avLst/>
                    </a:prstGeom>
                    <a:noFill/>
                  </pic:spPr>
                </pic:pic>
              </a:graphicData>
            </a:graphic>
          </wp:anchor>
        </w:drawing>
      </w:r>
    </w:p>
    <w:p>
      <w:pPr>
        <w:sectPr>
          <w:pgSz w:w="11900" w:h="16838" w:orient="portrait"/>
          <w:cols w:equalWidth="0" w:num="1">
            <w:col w:w="11200"/>
          </w:cols>
          <w:pgMar w:left="240" w:top="459" w:right="459" w:bottom="1440" w:gutter="0" w:footer="0" w:header="0"/>
          <w:type w:val="continuous"/>
        </w:sectPr>
      </w:pPr>
    </w:p>
    <w:bookmarkStart w:id="45" w:name="page46"/>
    <w:bookmarkEnd w:id="4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0033A0"/>
        </w:rPr>
        <w:t>Severance Pay Plan</w:t>
      </w:r>
    </w:p>
    <w:p>
      <w:pPr>
        <w:spacing w:after="0" w:line="126"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The Severance Pay Plan provides severance benefits to eligible employees, including the named executive officers, whose employment is terminated by the Company without cause other than by reason of incapacity or terminated by the participant for good reason. A participant would not be entitled to severance benefits under the Severance Pay Plan if the participant were otherwise eligible for more favorable severance benefits under another arrangement (including a Change in Control Agreement, see below) or in connection with a divestiture in which the participant is offered a comparable position. The Severance Pay Plan provides the following benefits to a participant if his or her employment is terminated under the circumstances described above:</w:t>
      </w:r>
    </w:p>
    <w:p>
      <w:pPr>
        <w:spacing w:after="0" w:line="109" w:lineRule="exact"/>
        <w:rPr>
          <w:sz w:val="20"/>
          <w:szCs w:val="20"/>
          <w:color w:val="auto"/>
        </w:rPr>
      </w:pPr>
    </w:p>
    <w:p>
      <w:pPr>
        <w:ind w:left="980" w:right="140" w:hanging="317"/>
        <w:spacing w:after="0" w:line="237" w:lineRule="auto"/>
        <w:tabs>
          <w:tab w:leader="none" w:pos="980" w:val="left"/>
        </w:tabs>
        <w:numPr>
          <w:ilvl w:val="0"/>
          <w:numId w:val="38"/>
        </w:numPr>
        <w:rPr>
          <w:rFonts w:ascii="Arial" w:cs="Arial" w:eastAsia="Arial" w:hAnsi="Arial"/>
          <w:sz w:val="18"/>
          <w:szCs w:val="18"/>
          <w:color w:val="0033A0"/>
        </w:rPr>
      </w:pPr>
      <w:r>
        <w:rPr>
          <w:rFonts w:ascii="Arial" w:cs="Arial" w:eastAsia="Arial" w:hAnsi="Arial"/>
          <w:sz w:val="18"/>
          <w:szCs w:val="18"/>
          <w:color w:val="auto"/>
        </w:rPr>
        <w:t>a lump sum payment equal to the sum of: (a) the executive’s annual base salary through the date of termination, (b) any bonus or incentive compensation approved but not paid, and (c) any accrued vacation pay, in each case to the extent not already paid or credited as of the date of termination;</w:t>
      </w:r>
    </w:p>
    <w:p>
      <w:pPr>
        <w:spacing w:after="0" w:line="110" w:lineRule="exact"/>
        <w:rPr>
          <w:rFonts w:ascii="Arial" w:cs="Arial" w:eastAsia="Arial" w:hAnsi="Arial"/>
          <w:sz w:val="18"/>
          <w:szCs w:val="18"/>
          <w:color w:val="0033A0"/>
        </w:rPr>
      </w:pPr>
    </w:p>
    <w:p>
      <w:pPr>
        <w:ind w:left="980" w:right="200" w:hanging="317"/>
        <w:spacing w:after="0" w:line="239" w:lineRule="auto"/>
        <w:tabs>
          <w:tab w:leader="none" w:pos="980" w:val="left"/>
        </w:tabs>
        <w:numPr>
          <w:ilvl w:val="0"/>
          <w:numId w:val="38"/>
        </w:numPr>
        <w:rPr>
          <w:rFonts w:ascii="Arial" w:cs="Arial" w:eastAsia="Arial" w:hAnsi="Arial"/>
          <w:sz w:val="18"/>
          <w:szCs w:val="18"/>
          <w:color w:val="0033A0"/>
        </w:rPr>
      </w:pPr>
      <w:r>
        <w:rPr>
          <w:rFonts w:ascii="Arial" w:cs="Arial" w:eastAsia="Arial" w:hAnsi="Arial"/>
          <w:sz w:val="18"/>
          <w:szCs w:val="18"/>
          <w:color w:val="auto"/>
        </w:rPr>
        <w:t>a lump sum payment equal to the product of (a) one (one and a half (1.5) for the Chief Executive Officer), multiplied by (b) the sum of annual base salary and target annual incentive opportunity;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0033A0"/>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-668020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95" w:lineRule="exact"/>
        <w:rPr>
          <w:sz w:val="20"/>
          <w:szCs w:val="20"/>
          <w:color w:val="auto"/>
        </w:rPr>
      </w:pPr>
    </w:p>
    <w:p>
      <w:pPr>
        <w:ind w:left="780" w:right="80" w:hanging="317"/>
        <w:spacing w:after="0"/>
        <w:tabs>
          <w:tab w:leader="none" w:pos="780" w:val="left"/>
        </w:tabs>
        <w:numPr>
          <w:ilvl w:val="0"/>
          <w:numId w:val="39"/>
        </w:numPr>
        <w:rPr>
          <w:rFonts w:ascii="Arial" w:cs="Arial" w:eastAsia="Arial" w:hAnsi="Arial"/>
          <w:sz w:val="18"/>
          <w:szCs w:val="18"/>
          <w:color w:val="0033A0"/>
        </w:rPr>
      </w:pPr>
      <w:r>
        <w:rPr>
          <w:rFonts w:ascii="Arial" w:cs="Arial" w:eastAsia="Arial" w:hAnsi="Arial"/>
          <w:sz w:val="18"/>
          <w:szCs w:val="18"/>
          <w:color w:val="auto"/>
        </w:rPr>
        <w:t>a prorated bonus for the year of termination, so long as the participant was employed by the company for at least six months of the performance year;</w:t>
      </w:r>
    </w:p>
    <w:p>
      <w:pPr>
        <w:spacing w:after="0" w:line="108" w:lineRule="exact"/>
        <w:rPr>
          <w:rFonts w:ascii="Arial" w:cs="Arial" w:eastAsia="Arial" w:hAnsi="Arial"/>
          <w:sz w:val="18"/>
          <w:szCs w:val="18"/>
          <w:color w:val="0033A0"/>
        </w:rPr>
      </w:pPr>
    </w:p>
    <w:p>
      <w:pPr>
        <w:ind w:left="780" w:right="80" w:hanging="317"/>
        <w:spacing w:after="0" w:line="237" w:lineRule="auto"/>
        <w:tabs>
          <w:tab w:leader="none" w:pos="780" w:val="left"/>
        </w:tabs>
        <w:numPr>
          <w:ilvl w:val="0"/>
          <w:numId w:val="39"/>
        </w:numPr>
        <w:rPr>
          <w:rFonts w:ascii="Arial" w:cs="Arial" w:eastAsia="Arial" w:hAnsi="Arial"/>
          <w:sz w:val="18"/>
          <w:szCs w:val="18"/>
          <w:color w:val="0033A0"/>
        </w:rPr>
      </w:pPr>
      <w:r>
        <w:rPr>
          <w:rFonts w:ascii="Arial" w:cs="Arial" w:eastAsia="Arial" w:hAnsi="Arial"/>
          <w:sz w:val="18"/>
          <w:szCs w:val="18"/>
          <w:color w:val="auto"/>
        </w:rPr>
        <w:t>reimbursement payments for continued medical and dental benefit coverage until the earlier of 12 months (18 months for the Chief Executive Officer) following the date of termination and such time as the participant becomes eligible to receive medical and dental benefits under another employer-provided plan;</w:t>
      </w:r>
    </w:p>
    <w:p>
      <w:pPr>
        <w:spacing w:after="0" w:line="110" w:lineRule="exact"/>
        <w:rPr>
          <w:rFonts w:ascii="Arial" w:cs="Arial" w:eastAsia="Arial" w:hAnsi="Arial"/>
          <w:sz w:val="18"/>
          <w:szCs w:val="18"/>
          <w:color w:val="0033A0"/>
        </w:rPr>
      </w:pPr>
    </w:p>
    <w:p>
      <w:pPr>
        <w:ind w:left="780" w:right="100" w:hanging="317"/>
        <w:spacing w:after="0" w:line="238" w:lineRule="auto"/>
        <w:tabs>
          <w:tab w:leader="none" w:pos="780" w:val="left"/>
        </w:tabs>
        <w:numPr>
          <w:ilvl w:val="0"/>
          <w:numId w:val="39"/>
        </w:numPr>
        <w:rPr>
          <w:rFonts w:ascii="Arial" w:cs="Arial" w:eastAsia="Arial" w:hAnsi="Arial"/>
          <w:sz w:val="18"/>
          <w:szCs w:val="18"/>
          <w:color w:val="0033A0"/>
        </w:rPr>
      </w:pPr>
      <w:r>
        <w:rPr>
          <w:rFonts w:ascii="Arial" w:cs="Arial" w:eastAsia="Arial" w:hAnsi="Arial"/>
          <w:sz w:val="18"/>
          <w:szCs w:val="18"/>
          <w:color w:val="auto"/>
        </w:rPr>
        <w:t>continued vesting of equity awards granted in connection with the Company’s ordinary LTI award grant cycle with payout at the lower of target or actual performance until the first anniversary of the participant’s date of termination; and</w:t>
      </w:r>
    </w:p>
    <w:p>
      <w:pPr>
        <w:spacing w:after="0" w:line="108" w:lineRule="exact"/>
        <w:rPr>
          <w:rFonts w:ascii="Arial" w:cs="Arial" w:eastAsia="Arial" w:hAnsi="Arial"/>
          <w:sz w:val="18"/>
          <w:szCs w:val="18"/>
          <w:color w:val="0033A0"/>
        </w:rPr>
      </w:pPr>
    </w:p>
    <w:p>
      <w:pPr>
        <w:ind w:left="780" w:right="100" w:hanging="317"/>
        <w:spacing w:after="0" w:line="246" w:lineRule="auto"/>
        <w:tabs>
          <w:tab w:leader="none" w:pos="780" w:val="left"/>
        </w:tabs>
        <w:numPr>
          <w:ilvl w:val="0"/>
          <w:numId w:val="39"/>
        </w:numPr>
        <w:rPr>
          <w:rFonts w:ascii="Arial" w:cs="Arial" w:eastAsia="Arial" w:hAnsi="Arial"/>
          <w:sz w:val="18"/>
          <w:szCs w:val="18"/>
          <w:color w:val="0033A0"/>
        </w:rPr>
      </w:pPr>
      <w:r>
        <w:rPr>
          <w:rFonts w:ascii="Arial" w:cs="Arial" w:eastAsia="Arial" w:hAnsi="Arial"/>
          <w:sz w:val="18"/>
          <w:szCs w:val="18"/>
          <w:color w:val="auto"/>
        </w:rPr>
        <w:t>reasonable outplacement services during the period over which the health care benefits are provided.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See “Potential Payments Upon Termination or Change in Control”— Severance Pay Plan beginning on page 58 for additional information about the Severance Pay Plan.</w:t>
      </w:r>
    </w:p>
    <w:p>
      <w:pPr>
        <w:spacing w:after="0" w:line="984" w:lineRule="exact"/>
        <w:rPr>
          <w:sz w:val="20"/>
          <w:szCs w:val="20"/>
          <w:color w:val="auto"/>
        </w:rPr>
      </w:pPr>
    </w:p>
    <w:p>
      <w:pPr>
        <w:sectPr>
          <w:pgSz w:w="11900" w:h="16838" w:orient="portrait"/>
          <w:cols w:equalWidth="0" w:num="2">
            <w:col w:w="5340" w:space="480"/>
            <w:col w:w="5400"/>
          </w:cols>
          <w:pgMar w:left="240" w:top="459" w:right="439" w:bottom="1440" w:gutter="0" w:footer="0" w:header="0"/>
        </w:sectPr>
      </w:pPr>
    </w:p>
    <w:p>
      <w:pPr>
        <w:spacing w:after="0" w:line="148"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auto"/>
        </w:rPr>
        <w:t>Change in Control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68580</wp:posOffset>
            </wp:positionV>
            <wp:extent cx="69977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type w:val="continuous"/>
        </w:sectPr>
      </w:pPr>
    </w:p>
    <w:p>
      <w:pPr>
        <w:spacing w:after="0" w:line="336"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The Company has change in control agreements with each of the named executive officers that are described under “Potential Payments upon Termination or Change in Control—Change in Control Agreements” beginning on page 61. The Compensation Committee believes that the change in control agreements serve the interests of the Company and its shareholders by ensuring that if a change in control is ever under consideration, the named executive officers will be able to advise the Board whether the potential change in control transaction is in the best interests of shareholders, without being unduly influenced by personal considerations, such as fear of the economic</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consequences of losing their jobs as a result of a change in control. The change in control agreements are “double trigger,” which means that benefits become available to named executive officers under the agreements only upon a change in control followed by certain terminations of employment. The Compensation Committee believes that a double trigger appropriately protects the legitimate interests of the named executive officers in employment security without unduly burdening the Company or affecting shareholder value in connection with a change in control. The Compensation Committee reviews the potential payments under these agreements each year.</w:t>
      </w:r>
    </w:p>
    <w:p>
      <w:pPr>
        <w:spacing w:after="0" w:line="200" w:lineRule="exact"/>
        <w:rPr>
          <w:sz w:val="20"/>
          <w:szCs w:val="20"/>
          <w:color w:val="auto"/>
        </w:rPr>
      </w:pPr>
    </w:p>
    <w:p>
      <w:pPr>
        <w:sectPr>
          <w:pgSz w:w="11900" w:h="16838" w:orient="portrait"/>
          <w:cols w:equalWidth="0" w:num="2">
            <w:col w:w="5400" w:space="420"/>
            <w:col w:w="5400"/>
          </w:cols>
          <w:pgMar w:left="240" w:top="459" w:right="439" w:bottom="1440" w:gutter="0" w:footer="0" w:header="0"/>
          <w:type w:val="continuous"/>
        </w:sectPr>
      </w:pPr>
    </w:p>
    <w:p>
      <w:pPr>
        <w:spacing w:after="0" w:line="74" w:lineRule="exact"/>
        <w:rPr>
          <w:sz w:val="20"/>
          <w:szCs w:val="20"/>
          <w:color w:val="auto"/>
        </w:rPr>
      </w:pPr>
    </w:p>
    <w:tbl>
      <w:tblPr>
        <w:tblLayout w:type="fixed"/>
        <w:tblInd w:w="8820" w:type="dxa"/>
        <w:tblCellMar>
          <w:top w:w="0" w:type="dxa"/>
          <w:left w:w="0" w:type="dxa"/>
          <w:bottom w:w="0" w:type="dxa"/>
          <w:right w:w="0" w:type="dxa"/>
        </w:tblCellMar>
      </w:tblPr>
      <w:tr>
        <w:trPr>
          <w:trHeight w:val="297"/>
        </w:trPr>
        <w:tc>
          <w:tcPr>
            <w:tcW w:w="1900" w:type="dxa"/>
            <w:vAlign w:val="bottom"/>
            <w:tcBorders>
              <w:right w:val="single" w:sz="8" w:color="0033A0"/>
            </w:tcBorders>
          </w:tcPr>
          <w:p>
            <w:pPr>
              <w:spacing w:after="0"/>
              <w:rPr>
                <w:sz w:val="20"/>
                <w:szCs w:val="20"/>
                <w:color w:val="auto"/>
              </w:rPr>
            </w:pPr>
            <w:r>
              <w:rPr>
                <w:rFonts w:ascii="Arial" w:cs="Arial" w:eastAsia="Arial" w:hAnsi="Arial"/>
                <w:sz w:val="18"/>
                <w:szCs w:val="18"/>
                <w:i w:val="1"/>
                <w:iCs w:val="1"/>
                <w:color w:val="auto"/>
              </w:rPr>
              <w:t>2019 Proxy Statement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-170815</wp:posOffset>
            </wp:positionV>
            <wp:extent cx="720090" cy="1289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0090" cy="12890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type w:val="continuous"/>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0033A0"/>
        </w:rPr>
        <w:t>The Brink’s Company</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auto"/>
        </w:rPr>
        <w:t>Compensation Recoupment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68580</wp:posOffset>
            </wp:positionV>
            <wp:extent cx="69977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00"/>
          </w:cols>
          <w:pgMar w:left="240" w:top="459" w:right="459" w:bottom="1440" w:gutter="0" w:footer="0" w:header="0"/>
        </w:sectPr>
      </w:pPr>
    </w:p>
    <w:p>
      <w:pPr>
        <w:spacing w:after="0" w:line="336"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In the event the Company is required to provide an accounting restatement for any of the prior three fiscal years for which audited financial statements have been completed, due to material noncompliance with any financial reporting requirement under the federal securities laws, the Company will recoup from the executive officers and</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any recipient of performance-based cash or equity compensation who was directly responsible for the restatement, any performance-based cash or equity-based incentive compensation that they would not have been entitled to receive under the restated results.</w:t>
      </w:r>
    </w:p>
    <w:p>
      <w:pPr>
        <w:spacing w:after="0" w:line="589" w:lineRule="exact"/>
        <w:rPr>
          <w:sz w:val="20"/>
          <w:szCs w:val="20"/>
          <w:color w:val="auto"/>
        </w:rPr>
      </w:pPr>
    </w:p>
    <w:p>
      <w:pPr>
        <w:sectPr>
          <w:pgSz w:w="11900" w:h="16838" w:orient="portrait"/>
          <w:cols w:equalWidth="0" w:num="2">
            <w:col w:w="5480" w:space="340"/>
            <w:col w:w="5380"/>
          </w:cols>
          <w:pgMar w:left="240" w:top="459" w:right="459" w:bottom="1440" w:gutter="0" w:footer="0" w:header="0"/>
          <w:type w:val="continuous"/>
        </w:sectPr>
      </w:pPr>
    </w:p>
    <w:p>
      <w:pPr>
        <w:spacing w:after="0" w:line="151"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auto"/>
        </w:rPr>
        <w:t>Stock Ownership Guidelines and Prohibition Against Hedging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68580</wp:posOffset>
            </wp:positionV>
            <wp:extent cx="69977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00"/>
          </w:cols>
          <w:pgMar w:left="240" w:top="459" w:right="459" w:bottom="1440" w:gutter="0" w:footer="0" w:header="0"/>
          <w:type w:val="continuous"/>
        </w:sectPr>
      </w:pPr>
    </w:p>
    <w:p>
      <w:pPr>
        <w:spacing w:after="0" w:line="323" w:lineRule="exact"/>
        <w:rPr>
          <w:sz w:val="20"/>
          <w:szCs w:val="20"/>
          <w:color w:val="auto"/>
        </w:rPr>
      </w:pPr>
    </w:p>
    <w:p>
      <w:pPr>
        <w:ind w:left="200" w:right="560"/>
        <w:spacing w:after="0" w:line="246" w:lineRule="auto"/>
        <w:rPr>
          <w:sz w:val="20"/>
          <w:szCs w:val="20"/>
          <w:color w:val="auto"/>
        </w:rPr>
      </w:pPr>
      <w:r>
        <w:rPr>
          <w:rFonts w:ascii="Arial" w:cs="Arial" w:eastAsia="Arial" w:hAnsi="Arial"/>
          <w:sz w:val="18"/>
          <w:szCs w:val="18"/>
          <w:color w:val="auto"/>
        </w:rPr>
        <w:t>The Company maintains stock ownership guidelines for its executive officers in the amounts below:</w:t>
      </w:r>
    </w:p>
    <w:p>
      <w:pPr>
        <w:spacing w:after="0" w:line="102" w:lineRule="exact"/>
        <w:rPr>
          <w:sz w:val="20"/>
          <w:szCs w:val="20"/>
          <w:color w:val="auto"/>
        </w:rPr>
      </w:pPr>
    </w:p>
    <w:p>
      <w:pPr>
        <w:jc w:val="both"/>
        <w:ind w:left="980" w:right="260" w:hanging="317"/>
        <w:spacing w:after="0"/>
        <w:tabs>
          <w:tab w:leader="none" w:pos="980" w:val="left"/>
        </w:tabs>
        <w:numPr>
          <w:ilvl w:val="0"/>
          <w:numId w:val="40"/>
        </w:numPr>
        <w:rPr>
          <w:rFonts w:ascii="Arial" w:cs="Arial" w:eastAsia="Arial" w:hAnsi="Arial"/>
          <w:sz w:val="18"/>
          <w:szCs w:val="18"/>
          <w:color w:val="0033A0"/>
        </w:rPr>
      </w:pPr>
      <w:r>
        <w:rPr>
          <w:rFonts w:ascii="Arial" w:cs="Arial" w:eastAsia="Arial" w:hAnsi="Arial"/>
          <w:sz w:val="18"/>
          <w:szCs w:val="18"/>
          <w:color w:val="auto"/>
        </w:rPr>
        <w:t>Chief Executive Officer—must hold shares of Brink’s Common Stock with a value equal to five times base salary</w:t>
      </w:r>
    </w:p>
    <w:p>
      <w:pPr>
        <w:spacing w:after="0" w:line="108" w:lineRule="exact"/>
        <w:rPr>
          <w:rFonts w:ascii="Arial" w:cs="Arial" w:eastAsia="Arial" w:hAnsi="Arial"/>
          <w:sz w:val="18"/>
          <w:szCs w:val="18"/>
          <w:color w:val="0033A0"/>
        </w:rPr>
      </w:pPr>
    </w:p>
    <w:p>
      <w:pPr>
        <w:ind w:left="980" w:hanging="317"/>
        <w:spacing w:after="0"/>
        <w:tabs>
          <w:tab w:leader="none" w:pos="980" w:val="left"/>
        </w:tabs>
        <w:numPr>
          <w:ilvl w:val="0"/>
          <w:numId w:val="40"/>
        </w:numPr>
        <w:rPr>
          <w:rFonts w:ascii="Arial" w:cs="Arial" w:eastAsia="Arial" w:hAnsi="Arial"/>
          <w:sz w:val="18"/>
          <w:szCs w:val="18"/>
          <w:color w:val="0033A0"/>
        </w:rPr>
      </w:pPr>
      <w:r>
        <w:rPr>
          <w:rFonts w:ascii="Arial" w:cs="Arial" w:eastAsia="Arial" w:hAnsi="Arial"/>
          <w:sz w:val="18"/>
          <w:szCs w:val="18"/>
          <w:color w:val="auto"/>
        </w:rPr>
        <w:t>All other executive officers—must hold shares of Brink’s Common Stock with a value equal to three times base salary</w:t>
      </w:r>
    </w:p>
    <w:p>
      <w:pPr>
        <w:spacing w:after="0" w:line="95" w:lineRule="exact"/>
        <w:rPr>
          <w:sz w:val="20"/>
          <w:szCs w:val="20"/>
          <w:color w:val="auto"/>
        </w:rPr>
      </w:pPr>
    </w:p>
    <w:p>
      <w:pPr>
        <w:ind w:left="200" w:right="40"/>
        <w:spacing w:after="0" w:line="239" w:lineRule="auto"/>
        <w:rPr>
          <w:sz w:val="20"/>
          <w:szCs w:val="20"/>
          <w:color w:val="auto"/>
        </w:rPr>
      </w:pPr>
      <w:r>
        <w:rPr>
          <w:rFonts w:ascii="Arial" w:cs="Arial" w:eastAsia="Arial" w:hAnsi="Arial"/>
          <w:sz w:val="18"/>
          <w:szCs w:val="18"/>
          <w:color w:val="auto"/>
        </w:rPr>
        <w:t>Shares of Brink’s Common Stock owned outright, deferred compensation stock-based units and vested and unvested RSUs on an after-tax basis (but not unexercised stock options) are all eligible to be included for purposes of satisfying the guidelines.</w:t>
      </w:r>
    </w:p>
    <w:p>
      <w:pPr>
        <w:spacing w:after="0" w:line="20" w:lineRule="exact"/>
        <w:rPr>
          <w:sz w:val="20"/>
          <w:szCs w:val="20"/>
          <w:color w:val="auto"/>
        </w:rPr>
      </w:pPr>
      <w:r>
        <w:rPr>
          <w:sz w:val="20"/>
          <w:szCs w:val="20"/>
          <w:color w:val="auto"/>
        </w:rPr>
        <w:br w:type="column"/>
      </w:r>
    </w:p>
    <w:p>
      <w:pPr>
        <w:spacing w:after="0" w:line="30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Unearned PSUs and unvested stock options do not count towards executive officers’ guidelines. Until an executive officer meets his or her stock ownership guideline, the executive officer must hold at least 50% of any profit shares from stock option exercises, restricted stock unit vesting, or payout of any PSUs or Market Share Units.</w:t>
      </w:r>
    </w:p>
    <w:p>
      <w:pPr>
        <w:spacing w:after="0" w:line="97"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Executive officers are prohibited from engaging in any hedging transaction that could reduce or limit the officer’s economic risk relative to his or her holdings, ownership or interest in Company securities. In addition, directors and executive officers are required to obtain approval to pledge Company securities.</w:t>
      </w:r>
    </w:p>
    <w:p>
      <w:pPr>
        <w:spacing w:after="0" w:line="646" w:lineRule="exact"/>
        <w:rPr>
          <w:sz w:val="20"/>
          <w:szCs w:val="20"/>
          <w:color w:val="auto"/>
        </w:rPr>
      </w:pPr>
    </w:p>
    <w:p>
      <w:pPr>
        <w:sectPr>
          <w:pgSz w:w="11900" w:h="16838" w:orient="portrait"/>
          <w:cols w:equalWidth="0" w:num="2">
            <w:col w:w="5400" w:space="420"/>
            <w:col w:w="5380"/>
          </w:cols>
          <w:pgMar w:left="240" w:top="459" w:right="459" w:bottom="1440" w:gutter="0" w:footer="0" w:header="0"/>
          <w:type w:val="continuous"/>
        </w:sectPr>
      </w:pPr>
    </w:p>
    <w:p>
      <w:pPr>
        <w:spacing w:after="0" w:line="84" w:lineRule="exact"/>
        <w:rPr>
          <w:sz w:val="20"/>
          <w:szCs w:val="20"/>
          <w:color w:val="auto"/>
        </w:rPr>
      </w:pPr>
    </w:p>
    <w:tbl>
      <w:tblPr>
        <w:tblLayout w:type="fixed"/>
        <w:tblInd w:w="200" w:type="dxa"/>
        <w:tblCellMar>
          <w:top w:w="0" w:type="dxa"/>
          <w:left w:w="0" w:type="dxa"/>
          <w:bottom w:w="0" w:type="dxa"/>
          <w:right w:w="0" w:type="dxa"/>
        </w:tblCellMar>
      </w:tblPr>
      <w:tr>
        <w:trPr>
          <w:trHeight w:val="297"/>
        </w:trPr>
        <w:tc>
          <w:tcPr>
            <w:tcW w:w="360" w:type="dxa"/>
            <w:vAlign w:val="bottom"/>
            <w:tcBorders>
              <w:right w:val="single" w:sz="8" w:color="0033A0"/>
            </w:tcBorders>
          </w:tcPr>
          <w:p>
            <w:pPr>
              <w:jc w:val="right"/>
              <w:ind w:right="70"/>
              <w:spacing w:after="0"/>
              <w:rPr>
                <w:sz w:val="20"/>
                <w:szCs w:val="20"/>
                <w:color w:val="auto"/>
              </w:rPr>
            </w:pPr>
            <w:r>
              <w:rPr>
                <w:rFonts w:ascii="Arial" w:cs="Arial" w:eastAsia="Arial" w:hAnsi="Arial"/>
                <w:sz w:val="18"/>
                <w:szCs w:val="18"/>
                <w:b w:val="1"/>
                <w:bCs w:val="1"/>
                <w:color w:val="auto"/>
                <w:w w:val="89"/>
              </w:rPr>
              <w:t>42</w:t>
            </w:r>
          </w:p>
        </w:tc>
        <w:tc>
          <w:tcPr>
            <w:tcW w:w="3380" w:type="dxa"/>
            <w:vAlign w:val="bottom"/>
          </w:tcPr>
          <w:p>
            <w:pPr>
              <w:ind w:left="1600"/>
              <w:spacing w:after="0"/>
              <w:rPr>
                <w:sz w:val="20"/>
                <w:szCs w:val="20"/>
                <w:color w:val="auto"/>
              </w:rPr>
            </w:pPr>
            <w:r>
              <w:rPr>
                <w:rFonts w:ascii="Arial" w:cs="Arial" w:eastAsia="Arial" w:hAnsi="Arial"/>
                <w:sz w:val="18"/>
                <w:szCs w:val="18"/>
                <w:i w:val="1"/>
                <w:iCs w:val="1"/>
                <w:color w:val="auto"/>
                <w:w w:val="98"/>
              </w:rPr>
              <w:t>2019 Proxy Statement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-170815</wp:posOffset>
            </wp:positionV>
            <wp:extent cx="720090" cy="1289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0090" cy="128905"/>
                    </a:xfrm>
                    <a:prstGeom prst="rect">
                      <a:avLst/>
                    </a:prstGeom>
                    <a:noFill/>
                  </pic:spPr>
                </pic:pic>
              </a:graphicData>
            </a:graphic>
          </wp:anchor>
        </w:drawing>
      </w:r>
    </w:p>
    <w:p>
      <w:pPr>
        <w:sectPr>
          <w:pgSz w:w="11900" w:h="16838" w:orient="portrait"/>
          <w:cols w:equalWidth="0" w:num="1">
            <w:col w:w="11200"/>
          </w:cols>
          <w:pgMar w:left="240" w:top="459" w:right="459" w:bottom="1440" w:gutter="0" w:footer="0" w:header="0"/>
          <w:type w:val="continuous"/>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0033A0"/>
        </w:rPr>
        <w:t>The Brink’s Company</w:t>
      </w:r>
    </w:p>
    <w:p>
      <w:pPr>
        <w:spacing w:after="0" w:line="161" w:lineRule="exact"/>
        <w:rPr>
          <w:sz w:val="20"/>
          <w:szCs w:val="20"/>
          <w:color w:val="auto"/>
        </w:rPr>
      </w:pPr>
    </w:p>
    <w:p>
      <w:pPr>
        <w:ind w:left="200" w:right="1520"/>
        <w:spacing w:after="0" w:line="256" w:lineRule="auto"/>
        <w:rPr>
          <w:sz w:val="20"/>
          <w:szCs w:val="20"/>
          <w:color w:val="auto"/>
        </w:rPr>
      </w:pPr>
      <w:r>
        <w:rPr>
          <w:rFonts w:ascii="Arial" w:cs="Arial" w:eastAsia="Arial" w:hAnsi="Arial"/>
          <w:sz w:val="43"/>
          <w:szCs w:val="43"/>
          <w:color w:val="0033A0"/>
        </w:rPr>
        <w:t>COMPENSATION AND BENEFITS COMMITTEE REPORT</w:t>
      </w:r>
    </w:p>
    <w:p>
      <w:pPr>
        <w:spacing w:after="0" w:line="161" w:lineRule="exact"/>
        <w:rPr>
          <w:sz w:val="20"/>
          <w:szCs w:val="20"/>
          <w:color w:val="auto"/>
        </w:rPr>
      </w:pPr>
    </w:p>
    <w:p>
      <w:pPr>
        <w:ind w:left="200" w:right="60"/>
        <w:spacing w:after="0"/>
        <w:rPr>
          <w:sz w:val="20"/>
          <w:szCs w:val="20"/>
          <w:color w:val="auto"/>
        </w:rPr>
      </w:pPr>
      <w:r>
        <w:rPr>
          <w:rFonts w:ascii="Arial" w:cs="Arial" w:eastAsia="Arial" w:hAnsi="Arial"/>
          <w:sz w:val="18"/>
          <w:szCs w:val="18"/>
          <w:color w:val="auto"/>
        </w:rPr>
        <w:t>The Compensation Committee has reviewed and discussed the Compensation Discussion and Analysis with management and, based on such review and discussions, the Compensation Committee has recommended to the Board that the Compensation Discussion and Analysis be included in this proxy statement.</w:t>
      </w:r>
    </w:p>
    <w:p>
      <w:pPr>
        <w:spacing w:after="0" w:line="7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 xml:space="preserve">Susan E. Docherty, </w:t>
      </w:r>
      <w:r>
        <w:rPr>
          <w:rFonts w:ascii="Arial" w:cs="Arial" w:eastAsia="Arial" w:hAnsi="Arial"/>
          <w:sz w:val="18"/>
          <w:szCs w:val="18"/>
          <w:i w:val="1"/>
          <w:iCs w:val="1"/>
          <w:color w:val="auto"/>
        </w:rPr>
        <w:t>Chair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Michael J. Herling</w:t>
      </w:r>
    </w:p>
    <w:p>
      <w:pPr>
        <w:ind w:left="6060"/>
        <w:spacing w:after="0"/>
        <w:rPr>
          <w:sz w:val="20"/>
          <w:szCs w:val="20"/>
          <w:color w:val="auto"/>
        </w:rPr>
      </w:pPr>
      <w:r>
        <w:rPr>
          <w:rFonts w:ascii="Arial" w:cs="Arial" w:eastAsia="Arial" w:hAnsi="Arial"/>
          <w:sz w:val="18"/>
          <w:szCs w:val="18"/>
          <w:color w:val="auto"/>
        </w:rPr>
        <w:t>Dan R. Henry</w:t>
      </w:r>
    </w:p>
    <w:p>
      <w:pPr>
        <w:spacing w:after="0" w:line="145" w:lineRule="exact"/>
        <w:rPr>
          <w:sz w:val="20"/>
          <w:szCs w:val="20"/>
          <w:color w:val="auto"/>
        </w:rPr>
      </w:pPr>
    </w:p>
    <w:tbl>
      <w:tblPr>
        <w:tblLayout w:type="fixed"/>
        <w:tblInd w:w="8820" w:type="dxa"/>
        <w:tblCellMar>
          <w:top w:w="0" w:type="dxa"/>
          <w:left w:w="0" w:type="dxa"/>
          <w:bottom w:w="0" w:type="dxa"/>
          <w:right w:w="0" w:type="dxa"/>
        </w:tblCellMar>
      </w:tblPr>
      <w:tr>
        <w:trPr>
          <w:trHeight w:val="297"/>
        </w:trPr>
        <w:tc>
          <w:tcPr>
            <w:tcW w:w="1900" w:type="dxa"/>
            <w:vAlign w:val="bottom"/>
            <w:tcBorders>
              <w:right w:val="single" w:sz="8" w:color="0033A0"/>
            </w:tcBorders>
          </w:tcPr>
          <w:p>
            <w:pPr>
              <w:spacing w:after="0"/>
              <w:rPr>
                <w:sz w:val="20"/>
                <w:szCs w:val="20"/>
                <w:color w:val="auto"/>
              </w:rPr>
            </w:pPr>
            <w:r>
              <w:rPr>
                <w:rFonts w:ascii="Arial" w:cs="Arial" w:eastAsia="Arial" w:hAnsi="Arial"/>
                <w:sz w:val="18"/>
                <w:szCs w:val="18"/>
                <w:i w:val="1"/>
                <w:iCs w:val="1"/>
                <w:color w:val="auto"/>
              </w:rPr>
              <w:t>2019 Proxy Statement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-170815</wp:posOffset>
            </wp:positionV>
            <wp:extent cx="720090" cy="1289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0090" cy="128905"/>
                    </a:xfrm>
                    <a:prstGeom prst="rect">
                      <a:avLst/>
                    </a:prstGeom>
                    <a:noFill/>
                  </pic:spPr>
                </pic:pic>
              </a:graphicData>
            </a:graphic>
          </wp:anchor>
        </w:drawing>
      </w:r>
    </w:p>
    <w:p>
      <w:pPr>
        <w:sectPr>
          <w:pgSz w:w="11900" w:h="16838" w:orient="portrait"/>
          <w:cols w:equalWidth="0" w:num="1">
            <w:col w:w="11180"/>
          </w:cols>
          <w:pgMar w:left="240" w:top="459" w:right="4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0033A0"/>
        </w:rPr>
        <w:t>The Brink’s Company</w:t>
      </w:r>
    </w:p>
    <w:p>
      <w:pPr>
        <w:spacing w:after="0" w:line="161" w:lineRule="exact"/>
        <w:rPr>
          <w:sz w:val="20"/>
          <w:szCs w:val="20"/>
          <w:color w:val="auto"/>
        </w:rPr>
      </w:pPr>
    </w:p>
    <w:p>
      <w:pPr>
        <w:ind w:left="200"/>
        <w:spacing w:after="0"/>
        <w:rPr>
          <w:sz w:val="20"/>
          <w:szCs w:val="20"/>
          <w:color w:val="auto"/>
        </w:rPr>
      </w:pPr>
      <w:r>
        <w:rPr>
          <w:rFonts w:ascii="Arial" w:cs="Arial" w:eastAsia="Arial" w:hAnsi="Arial"/>
          <w:sz w:val="43"/>
          <w:szCs w:val="43"/>
          <w:color w:val="0033A0"/>
        </w:rPr>
        <w:t>EXECUTIVE COMPENSATION TABLES</w:t>
      </w:r>
    </w:p>
    <w:p>
      <w:pPr>
        <w:spacing w:after="0" w:line="192"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auto"/>
        </w:rPr>
        <w:t>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68580</wp:posOffset>
            </wp:positionV>
            <wp:extent cx="69977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presents information with respect to compensation of the named executive officers in 2016, 2017 and 2018.</w:t>
      </w:r>
    </w:p>
    <w:p>
      <w:pPr>
        <w:spacing w:after="0" w:line="203" w:lineRule="exact"/>
        <w:rPr>
          <w:sz w:val="20"/>
          <w:szCs w:val="20"/>
          <w:color w:val="auto"/>
        </w:rPr>
      </w:pPr>
    </w:p>
    <w:tbl>
      <w:tblPr>
        <w:tblLayout w:type="fixed"/>
        <w:tblInd w:w="220" w:type="dxa"/>
        <w:tblCellMar>
          <w:top w:w="0" w:type="dxa"/>
          <w:left w:w="0" w:type="dxa"/>
          <w:bottom w:w="0" w:type="dxa"/>
          <w:right w:w="0" w:type="dxa"/>
        </w:tblCellMar>
      </w:tblPr>
      <w:tr>
        <w:trPr>
          <w:trHeight w:val="149"/>
        </w:trPr>
        <w:tc>
          <w:tcPr>
            <w:tcW w:w="3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Arial" w:cs="Arial" w:eastAsia="Arial" w:hAnsi="Arial"/>
                <w:sz w:val="13"/>
                <w:szCs w:val="13"/>
                <w:b w:val="1"/>
                <w:bCs w:val="1"/>
                <w:color w:val="0033A0"/>
                <w:w w:val="95"/>
              </w:rPr>
              <w:t>Change in</w:t>
            </w:r>
          </w:p>
        </w:tc>
        <w:tc>
          <w:tcPr>
            <w:tcW w:w="1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35"/>
        </w:trPr>
        <w:tc>
          <w:tcPr>
            <w:tcW w:w="3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Arial" w:cs="Arial" w:eastAsia="Arial" w:hAnsi="Arial"/>
                <w:sz w:val="13"/>
                <w:szCs w:val="13"/>
                <w:b w:val="1"/>
                <w:bCs w:val="1"/>
                <w:color w:val="0033A0"/>
                <w:w w:val="96"/>
              </w:rPr>
              <w:t>Pension Value</w:t>
            </w:r>
          </w:p>
        </w:tc>
        <w:tc>
          <w:tcPr>
            <w:tcW w:w="1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Arial" w:cs="Arial" w:eastAsia="Arial" w:hAnsi="Arial"/>
                <w:sz w:val="13"/>
                <w:szCs w:val="13"/>
                <w:b w:val="1"/>
                <w:bCs w:val="1"/>
                <w:color w:val="0033A0"/>
                <w:w w:val="94"/>
              </w:rPr>
              <w:t>and</w:t>
            </w:r>
          </w:p>
        </w:tc>
        <w:tc>
          <w:tcPr>
            <w:tcW w:w="1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40" w:type="dxa"/>
            <w:vAlign w:val="bottom"/>
          </w:tcPr>
          <w:p>
            <w:pPr>
              <w:jc w:val="center"/>
              <w:spacing w:after="0" w:line="135" w:lineRule="exact"/>
              <w:rPr>
                <w:sz w:val="20"/>
                <w:szCs w:val="20"/>
                <w:color w:val="auto"/>
              </w:rPr>
            </w:pPr>
            <w:r>
              <w:rPr>
                <w:rFonts w:ascii="Arial" w:cs="Arial" w:eastAsia="Arial" w:hAnsi="Arial"/>
                <w:sz w:val="13"/>
                <w:szCs w:val="13"/>
                <w:b w:val="1"/>
                <w:bCs w:val="1"/>
                <w:color w:val="0033A0"/>
                <w:w w:val="98"/>
              </w:rPr>
              <w:t>Non-Equity</w:t>
            </w:r>
          </w:p>
        </w:tc>
        <w:tc>
          <w:tcPr>
            <w:tcW w:w="1120" w:type="dxa"/>
            <w:vAlign w:val="bottom"/>
          </w:tcPr>
          <w:p>
            <w:pPr>
              <w:jc w:val="center"/>
              <w:spacing w:after="0" w:line="135" w:lineRule="exact"/>
              <w:rPr>
                <w:sz w:val="20"/>
                <w:szCs w:val="20"/>
                <w:color w:val="auto"/>
              </w:rPr>
            </w:pPr>
            <w:r>
              <w:rPr>
                <w:rFonts w:ascii="Arial" w:cs="Arial" w:eastAsia="Arial" w:hAnsi="Arial"/>
                <w:sz w:val="13"/>
                <w:szCs w:val="13"/>
                <w:b w:val="1"/>
                <w:bCs w:val="1"/>
                <w:color w:val="0033A0"/>
                <w:w w:val="96"/>
              </w:rPr>
              <w:t>Nonqualified</w:t>
            </w:r>
          </w:p>
        </w:tc>
        <w:tc>
          <w:tcPr>
            <w:tcW w:w="1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40" w:type="dxa"/>
            <w:vAlign w:val="bottom"/>
          </w:tcPr>
          <w:p>
            <w:pPr>
              <w:jc w:val="center"/>
              <w:spacing w:after="0" w:line="135" w:lineRule="exact"/>
              <w:rPr>
                <w:sz w:val="20"/>
                <w:szCs w:val="20"/>
                <w:color w:val="auto"/>
              </w:rPr>
            </w:pPr>
            <w:r>
              <w:rPr>
                <w:rFonts w:ascii="Arial" w:cs="Arial" w:eastAsia="Arial" w:hAnsi="Arial"/>
                <w:sz w:val="13"/>
                <w:szCs w:val="13"/>
                <w:b w:val="1"/>
                <w:bCs w:val="1"/>
                <w:color w:val="0033A0"/>
                <w:w w:val="99"/>
              </w:rPr>
              <w:t>Incentive</w:t>
            </w:r>
          </w:p>
        </w:tc>
        <w:tc>
          <w:tcPr>
            <w:tcW w:w="1120" w:type="dxa"/>
            <w:vAlign w:val="bottom"/>
          </w:tcPr>
          <w:p>
            <w:pPr>
              <w:jc w:val="center"/>
              <w:spacing w:after="0" w:line="135" w:lineRule="exact"/>
              <w:rPr>
                <w:sz w:val="20"/>
                <w:szCs w:val="20"/>
                <w:color w:val="auto"/>
              </w:rPr>
            </w:pPr>
            <w:r>
              <w:rPr>
                <w:rFonts w:ascii="Arial" w:cs="Arial" w:eastAsia="Arial" w:hAnsi="Arial"/>
                <w:sz w:val="13"/>
                <w:szCs w:val="13"/>
                <w:b w:val="1"/>
                <w:bCs w:val="1"/>
                <w:color w:val="0033A0"/>
                <w:w w:val="97"/>
              </w:rPr>
              <w:t>Deferred</w:t>
            </w:r>
          </w:p>
        </w:tc>
        <w:tc>
          <w:tcPr>
            <w:tcW w:w="1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4"/>
        </w:trPr>
        <w:tc>
          <w:tcPr>
            <w:tcW w:w="3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20" w:type="dxa"/>
            <w:vAlign w:val="bottom"/>
          </w:tcPr>
          <w:p>
            <w:pPr>
              <w:jc w:val="center"/>
              <w:spacing w:after="0" w:line="144" w:lineRule="exact"/>
              <w:rPr>
                <w:sz w:val="20"/>
                <w:szCs w:val="20"/>
                <w:color w:val="auto"/>
              </w:rPr>
            </w:pPr>
            <w:r>
              <w:rPr>
                <w:rFonts w:ascii="Arial" w:cs="Arial" w:eastAsia="Arial" w:hAnsi="Arial"/>
                <w:sz w:val="13"/>
                <w:szCs w:val="13"/>
                <w:b w:val="1"/>
                <w:bCs w:val="1"/>
                <w:color w:val="0033A0"/>
                <w:w w:val="95"/>
              </w:rPr>
              <w:t>Stock</w:t>
            </w:r>
          </w:p>
        </w:tc>
        <w:tc>
          <w:tcPr>
            <w:tcW w:w="900" w:type="dxa"/>
            <w:vAlign w:val="bottom"/>
          </w:tcPr>
          <w:p>
            <w:pPr>
              <w:jc w:val="center"/>
              <w:spacing w:after="0" w:line="144" w:lineRule="exact"/>
              <w:rPr>
                <w:sz w:val="20"/>
                <w:szCs w:val="20"/>
                <w:color w:val="auto"/>
              </w:rPr>
            </w:pPr>
            <w:r>
              <w:rPr>
                <w:rFonts w:ascii="Arial" w:cs="Arial" w:eastAsia="Arial" w:hAnsi="Arial"/>
                <w:sz w:val="13"/>
                <w:szCs w:val="13"/>
                <w:b w:val="1"/>
                <w:bCs w:val="1"/>
                <w:color w:val="0033A0"/>
                <w:w w:val="95"/>
              </w:rPr>
              <w:t>Option</w:t>
            </w:r>
          </w:p>
        </w:tc>
        <w:tc>
          <w:tcPr>
            <w:tcW w:w="1240" w:type="dxa"/>
            <w:vAlign w:val="bottom"/>
          </w:tcPr>
          <w:p>
            <w:pPr>
              <w:jc w:val="center"/>
              <w:spacing w:after="0" w:line="144" w:lineRule="exact"/>
              <w:rPr>
                <w:sz w:val="20"/>
                <w:szCs w:val="20"/>
                <w:color w:val="auto"/>
              </w:rPr>
            </w:pPr>
            <w:r>
              <w:rPr>
                <w:rFonts w:ascii="Arial" w:cs="Arial" w:eastAsia="Arial" w:hAnsi="Arial"/>
                <w:sz w:val="13"/>
                <w:szCs w:val="13"/>
                <w:b w:val="1"/>
                <w:bCs w:val="1"/>
                <w:color w:val="0033A0"/>
              </w:rPr>
              <w:t>Plan</w:t>
            </w:r>
          </w:p>
        </w:tc>
        <w:tc>
          <w:tcPr>
            <w:tcW w:w="1120" w:type="dxa"/>
            <w:vAlign w:val="bottom"/>
          </w:tcPr>
          <w:p>
            <w:pPr>
              <w:jc w:val="center"/>
              <w:spacing w:after="0" w:line="144" w:lineRule="exact"/>
              <w:rPr>
                <w:sz w:val="20"/>
                <w:szCs w:val="20"/>
                <w:color w:val="auto"/>
              </w:rPr>
            </w:pPr>
            <w:r>
              <w:rPr>
                <w:rFonts w:ascii="Arial" w:cs="Arial" w:eastAsia="Arial" w:hAnsi="Arial"/>
                <w:sz w:val="13"/>
                <w:szCs w:val="13"/>
                <w:b w:val="1"/>
                <w:bCs w:val="1"/>
                <w:color w:val="0033A0"/>
                <w:w w:val="97"/>
              </w:rPr>
              <w:t>Compensation</w:t>
            </w:r>
          </w:p>
        </w:tc>
        <w:tc>
          <w:tcPr>
            <w:tcW w:w="1220" w:type="dxa"/>
            <w:vAlign w:val="bottom"/>
          </w:tcPr>
          <w:p>
            <w:pPr>
              <w:jc w:val="center"/>
              <w:spacing w:after="0" w:line="144" w:lineRule="exact"/>
              <w:rPr>
                <w:sz w:val="20"/>
                <w:szCs w:val="20"/>
                <w:color w:val="auto"/>
              </w:rPr>
            </w:pPr>
            <w:r>
              <w:rPr>
                <w:rFonts w:ascii="Arial" w:cs="Arial" w:eastAsia="Arial" w:hAnsi="Arial"/>
                <w:sz w:val="13"/>
                <w:szCs w:val="13"/>
                <w:b w:val="1"/>
                <w:bCs w:val="1"/>
                <w:color w:val="0033A0"/>
                <w:w w:val="98"/>
              </w:rPr>
              <w:t>All Other</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5"/>
        </w:trPr>
        <w:tc>
          <w:tcPr>
            <w:tcW w:w="3200" w:type="dxa"/>
            <w:vAlign w:val="bottom"/>
          </w:tcPr>
          <w:p>
            <w:pPr>
              <w:ind w:left="60"/>
              <w:spacing w:after="0" w:line="135" w:lineRule="exact"/>
              <w:rPr>
                <w:sz w:val="20"/>
                <w:szCs w:val="20"/>
                <w:color w:val="auto"/>
              </w:rPr>
            </w:pPr>
            <w:r>
              <w:rPr>
                <w:rFonts w:ascii="Arial" w:cs="Arial" w:eastAsia="Arial" w:hAnsi="Arial"/>
                <w:sz w:val="13"/>
                <w:szCs w:val="13"/>
                <w:b w:val="1"/>
                <w:bCs w:val="1"/>
                <w:color w:val="0033A0"/>
              </w:rPr>
              <w:t>Name and Principal</w:t>
            </w:r>
          </w:p>
        </w:tc>
        <w:tc>
          <w:tcPr>
            <w:tcW w:w="560" w:type="dxa"/>
            <w:vAlign w:val="bottom"/>
          </w:tcPr>
          <w:p>
            <w:pPr>
              <w:spacing w:after="0"/>
              <w:rPr>
                <w:sz w:val="11"/>
                <w:szCs w:val="11"/>
                <w:color w:val="auto"/>
              </w:rPr>
            </w:pPr>
          </w:p>
        </w:tc>
        <w:tc>
          <w:tcPr>
            <w:tcW w:w="920" w:type="dxa"/>
            <w:vAlign w:val="bottom"/>
          </w:tcPr>
          <w:p>
            <w:pPr>
              <w:ind w:left="260"/>
              <w:spacing w:after="0" w:line="135" w:lineRule="exact"/>
              <w:rPr>
                <w:sz w:val="20"/>
                <w:szCs w:val="20"/>
                <w:color w:val="auto"/>
              </w:rPr>
            </w:pPr>
            <w:r>
              <w:rPr>
                <w:rFonts w:ascii="Arial" w:cs="Arial" w:eastAsia="Arial" w:hAnsi="Arial"/>
                <w:sz w:val="13"/>
                <w:szCs w:val="13"/>
                <w:b w:val="1"/>
                <w:bCs w:val="1"/>
                <w:color w:val="0033A0"/>
              </w:rPr>
              <w:t>Salary</w:t>
            </w:r>
            <w:r>
              <w:rPr>
                <w:rFonts w:ascii="Arial" w:cs="Arial" w:eastAsia="Arial" w:hAnsi="Arial"/>
                <w:sz w:val="10"/>
                <w:szCs w:val="10"/>
                <w:b w:val="1"/>
                <w:bCs w:val="1"/>
                <w:color w:val="0033A0"/>
              </w:rPr>
              <w:t>(3)</w:t>
            </w: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0033A0"/>
                <w:w w:val="97"/>
              </w:rPr>
              <w:t>Awards</w:t>
            </w:r>
            <w:r>
              <w:rPr>
                <w:rFonts w:ascii="Arial" w:cs="Arial" w:eastAsia="Arial" w:hAnsi="Arial"/>
                <w:sz w:val="10"/>
                <w:szCs w:val="10"/>
                <w:b w:val="1"/>
                <w:bCs w:val="1"/>
                <w:color w:val="0033A0"/>
                <w:w w:val="97"/>
              </w:rPr>
              <w:t>(4)</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0033A0"/>
              </w:rPr>
              <w:t>Awards</w:t>
            </w:r>
            <w:r>
              <w:rPr>
                <w:rFonts w:ascii="Arial" w:cs="Arial" w:eastAsia="Arial" w:hAnsi="Arial"/>
                <w:sz w:val="10"/>
                <w:szCs w:val="10"/>
                <w:b w:val="1"/>
                <w:bCs w:val="1"/>
                <w:color w:val="0033A0"/>
              </w:rPr>
              <w:t>(5)</w:t>
            </w:r>
          </w:p>
        </w:tc>
        <w:tc>
          <w:tcPr>
            <w:tcW w:w="1240" w:type="dxa"/>
            <w:vAlign w:val="bottom"/>
          </w:tcPr>
          <w:p>
            <w:pPr>
              <w:jc w:val="center"/>
              <w:spacing w:after="0" w:line="135" w:lineRule="exact"/>
              <w:rPr>
                <w:sz w:val="20"/>
                <w:szCs w:val="20"/>
                <w:color w:val="auto"/>
              </w:rPr>
            </w:pPr>
            <w:r>
              <w:rPr>
                <w:rFonts w:ascii="Arial" w:cs="Arial" w:eastAsia="Arial" w:hAnsi="Arial"/>
                <w:sz w:val="13"/>
                <w:szCs w:val="13"/>
                <w:b w:val="1"/>
                <w:bCs w:val="1"/>
                <w:color w:val="0033A0"/>
                <w:w w:val="97"/>
              </w:rPr>
              <w:t>Compensation</w:t>
            </w:r>
            <w:r>
              <w:rPr>
                <w:rFonts w:ascii="Arial" w:cs="Arial" w:eastAsia="Arial" w:hAnsi="Arial"/>
                <w:sz w:val="10"/>
                <w:szCs w:val="10"/>
                <w:b w:val="1"/>
                <w:bCs w:val="1"/>
                <w:color w:val="0033A0"/>
                <w:w w:val="97"/>
              </w:rPr>
              <w:t>(6)</w:t>
            </w:r>
          </w:p>
        </w:tc>
        <w:tc>
          <w:tcPr>
            <w:tcW w:w="1120" w:type="dxa"/>
            <w:vAlign w:val="bottom"/>
          </w:tcPr>
          <w:p>
            <w:pPr>
              <w:jc w:val="center"/>
              <w:spacing w:after="0" w:line="135" w:lineRule="exact"/>
              <w:rPr>
                <w:sz w:val="20"/>
                <w:szCs w:val="20"/>
                <w:color w:val="auto"/>
              </w:rPr>
            </w:pPr>
            <w:r>
              <w:rPr>
                <w:rFonts w:ascii="Arial" w:cs="Arial" w:eastAsia="Arial" w:hAnsi="Arial"/>
                <w:sz w:val="13"/>
                <w:szCs w:val="13"/>
                <w:b w:val="1"/>
                <w:bCs w:val="1"/>
                <w:color w:val="0033A0"/>
              </w:rPr>
              <w:t>Earnings</w:t>
            </w:r>
            <w:r>
              <w:rPr>
                <w:rFonts w:ascii="Arial" w:cs="Arial" w:eastAsia="Arial" w:hAnsi="Arial"/>
                <w:sz w:val="10"/>
                <w:szCs w:val="10"/>
                <w:b w:val="1"/>
                <w:bCs w:val="1"/>
                <w:color w:val="0033A0"/>
              </w:rPr>
              <w:t>(7)</w:t>
            </w:r>
          </w:p>
        </w:tc>
        <w:tc>
          <w:tcPr>
            <w:tcW w:w="1220" w:type="dxa"/>
            <w:vAlign w:val="bottom"/>
          </w:tcPr>
          <w:p>
            <w:pPr>
              <w:jc w:val="center"/>
              <w:spacing w:after="0" w:line="135" w:lineRule="exact"/>
              <w:rPr>
                <w:sz w:val="20"/>
                <w:szCs w:val="20"/>
                <w:color w:val="auto"/>
              </w:rPr>
            </w:pPr>
            <w:r>
              <w:rPr>
                <w:rFonts w:ascii="Arial" w:cs="Arial" w:eastAsia="Arial" w:hAnsi="Arial"/>
                <w:sz w:val="13"/>
                <w:szCs w:val="13"/>
                <w:b w:val="1"/>
                <w:bCs w:val="1"/>
                <w:color w:val="0033A0"/>
                <w:w w:val="99"/>
              </w:rPr>
              <w:t>Compensation</w:t>
            </w:r>
            <w:r>
              <w:rPr>
                <w:rFonts w:ascii="Arial" w:cs="Arial" w:eastAsia="Arial" w:hAnsi="Arial"/>
                <w:sz w:val="10"/>
                <w:szCs w:val="10"/>
                <w:b w:val="1"/>
                <w:bCs w:val="1"/>
                <w:color w:val="0033A0"/>
                <w:w w:val="99"/>
              </w:rPr>
              <w:t>(8)</w:t>
            </w:r>
          </w:p>
        </w:tc>
        <w:tc>
          <w:tcPr>
            <w:tcW w:w="940" w:type="dxa"/>
            <w:vAlign w:val="bottom"/>
            <w:gridSpan w:val="2"/>
          </w:tcPr>
          <w:p>
            <w:pPr>
              <w:ind w:left="280"/>
              <w:spacing w:after="0" w:line="135" w:lineRule="exact"/>
              <w:rPr>
                <w:sz w:val="20"/>
                <w:szCs w:val="20"/>
                <w:color w:val="auto"/>
              </w:rPr>
            </w:pPr>
            <w:r>
              <w:rPr>
                <w:rFonts w:ascii="Arial" w:cs="Arial" w:eastAsia="Arial" w:hAnsi="Arial"/>
                <w:sz w:val="13"/>
                <w:szCs w:val="13"/>
                <w:b w:val="1"/>
                <w:bCs w:val="1"/>
                <w:color w:val="0033A0"/>
              </w:rPr>
              <w:t>Total</w:t>
            </w:r>
          </w:p>
        </w:tc>
      </w:tr>
      <w:tr>
        <w:trPr>
          <w:trHeight w:val="162"/>
        </w:trPr>
        <w:tc>
          <w:tcPr>
            <w:tcW w:w="3200" w:type="dxa"/>
            <w:vAlign w:val="bottom"/>
            <w:tcBorders>
              <w:bottom w:val="single" w:sz="8" w:color="0033A0"/>
            </w:tcBorders>
          </w:tcPr>
          <w:p>
            <w:pPr>
              <w:ind w:left="60"/>
              <w:spacing w:after="0"/>
              <w:rPr>
                <w:sz w:val="20"/>
                <w:szCs w:val="20"/>
                <w:color w:val="auto"/>
              </w:rPr>
            </w:pPr>
            <w:r>
              <w:rPr>
                <w:rFonts w:ascii="Arial" w:cs="Arial" w:eastAsia="Arial" w:hAnsi="Arial"/>
                <w:sz w:val="13"/>
                <w:szCs w:val="13"/>
                <w:b w:val="1"/>
                <w:bCs w:val="1"/>
                <w:color w:val="0033A0"/>
              </w:rPr>
              <w:t>Position</w:t>
            </w:r>
          </w:p>
        </w:tc>
        <w:tc>
          <w:tcPr>
            <w:tcW w:w="560" w:type="dxa"/>
            <w:vAlign w:val="bottom"/>
            <w:tcBorders>
              <w:bottom w:val="single" w:sz="8" w:color="0033A0"/>
            </w:tcBorders>
          </w:tcPr>
          <w:p>
            <w:pPr>
              <w:jc w:val="right"/>
              <w:spacing w:after="0"/>
              <w:rPr>
                <w:sz w:val="20"/>
                <w:szCs w:val="20"/>
                <w:color w:val="auto"/>
              </w:rPr>
            </w:pPr>
            <w:r>
              <w:rPr>
                <w:rFonts w:ascii="Arial" w:cs="Arial" w:eastAsia="Arial" w:hAnsi="Arial"/>
                <w:sz w:val="13"/>
                <w:szCs w:val="13"/>
                <w:b w:val="1"/>
                <w:bCs w:val="1"/>
                <w:color w:val="0033A0"/>
              </w:rPr>
              <w:t>Year</w:t>
            </w:r>
          </w:p>
        </w:tc>
        <w:tc>
          <w:tcPr>
            <w:tcW w:w="920" w:type="dxa"/>
            <w:vAlign w:val="bottom"/>
            <w:tcBorders>
              <w:bottom w:val="single" w:sz="8" w:color="0033A0"/>
            </w:tcBorders>
          </w:tcPr>
          <w:p>
            <w:pPr>
              <w:ind w:left="420"/>
              <w:spacing w:after="0"/>
              <w:rPr>
                <w:sz w:val="20"/>
                <w:szCs w:val="20"/>
                <w:color w:val="auto"/>
              </w:rPr>
            </w:pPr>
            <w:r>
              <w:rPr>
                <w:rFonts w:ascii="Arial" w:cs="Arial" w:eastAsia="Arial" w:hAnsi="Arial"/>
                <w:sz w:val="13"/>
                <w:szCs w:val="13"/>
                <w:b w:val="1"/>
                <w:bCs w:val="1"/>
                <w:color w:val="0033A0"/>
              </w:rPr>
              <w:t>($)</w:t>
            </w:r>
          </w:p>
        </w:tc>
        <w:tc>
          <w:tcPr>
            <w:tcW w:w="920" w:type="dxa"/>
            <w:vAlign w:val="bottom"/>
            <w:tcBorders>
              <w:bottom w:val="single" w:sz="8" w:color="0033A0"/>
            </w:tcBorders>
          </w:tcPr>
          <w:p>
            <w:pPr>
              <w:jc w:val="center"/>
              <w:spacing w:after="0"/>
              <w:rPr>
                <w:sz w:val="20"/>
                <w:szCs w:val="20"/>
                <w:color w:val="auto"/>
              </w:rPr>
            </w:pPr>
            <w:r>
              <w:rPr>
                <w:rFonts w:ascii="Arial" w:cs="Arial" w:eastAsia="Arial" w:hAnsi="Arial"/>
                <w:sz w:val="13"/>
                <w:szCs w:val="13"/>
                <w:b w:val="1"/>
                <w:bCs w:val="1"/>
                <w:color w:val="0033A0"/>
              </w:rPr>
              <w:t>($)</w:t>
            </w:r>
          </w:p>
        </w:tc>
        <w:tc>
          <w:tcPr>
            <w:tcW w:w="900" w:type="dxa"/>
            <w:vAlign w:val="bottom"/>
            <w:tcBorders>
              <w:bottom w:val="single" w:sz="8" w:color="0033A0"/>
            </w:tcBorders>
          </w:tcPr>
          <w:p>
            <w:pPr>
              <w:jc w:val="center"/>
              <w:spacing w:after="0"/>
              <w:rPr>
                <w:sz w:val="20"/>
                <w:szCs w:val="20"/>
                <w:color w:val="auto"/>
              </w:rPr>
            </w:pPr>
            <w:r>
              <w:rPr>
                <w:rFonts w:ascii="Arial" w:cs="Arial" w:eastAsia="Arial" w:hAnsi="Arial"/>
                <w:sz w:val="13"/>
                <w:szCs w:val="13"/>
                <w:b w:val="1"/>
                <w:bCs w:val="1"/>
                <w:color w:val="0033A0"/>
              </w:rPr>
              <w:t>($)</w:t>
            </w:r>
          </w:p>
        </w:tc>
        <w:tc>
          <w:tcPr>
            <w:tcW w:w="1240" w:type="dxa"/>
            <w:vAlign w:val="bottom"/>
            <w:tcBorders>
              <w:bottom w:val="single" w:sz="8" w:color="0033A0"/>
            </w:tcBorders>
          </w:tcPr>
          <w:p>
            <w:pPr>
              <w:jc w:val="center"/>
              <w:spacing w:after="0"/>
              <w:rPr>
                <w:sz w:val="20"/>
                <w:szCs w:val="20"/>
                <w:color w:val="auto"/>
              </w:rPr>
            </w:pPr>
            <w:r>
              <w:rPr>
                <w:rFonts w:ascii="Arial" w:cs="Arial" w:eastAsia="Arial" w:hAnsi="Arial"/>
                <w:sz w:val="13"/>
                <w:szCs w:val="13"/>
                <w:b w:val="1"/>
                <w:bCs w:val="1"/>
                <w:color w:val="0033A0"/>
              </w:rPr>
              <w:t>($)</w:t>
            </w:r>
          </w:p>
        </w:tc>
        <w:tc>
          <w:tcPr>
            <w:tcW w:w="1120" w:type="dxa"/>
            <w:vAlign w:val="bottom"/>
            <w:tcBorders>
              <w:bottom w:val="single" w:sz="8" w:color="0033A0"/>
            </w:tcBorders>
          </w:tcPr>
          <w:p>
            <w:pPr>
              <w:jc w:val="center"/>
              <w:spacing w:after="0"/>
              <w:rPr>
                <w:sz w:val="20"/>
                <w:szCs w:val="20"/>
                <w:color w:val="auto"/>
              </w:rPr>
            </w:pPr>
            <w:r>
              <w:rPr>
                <w:rFonts w:ascii="Arial" w:cs="Arial" w:eastAsia="Arial" w:hAnsi="Arial"/>
                <w:sz w:val="13"/>
                <w:szCs w:val="13"/>
                <w:b w:val="1"/>
                <w:bCs w:val="1"/>
                <w:color w:val="0033A0"/>
              </w:rPr>
              <w:t>($)</w:t>
            </w:r>
          </w:p>
        </w:tc>
        <w:tc>
          <w:tcPr>
            <w:tcW w:w="1220" w:type="dxa"/>
            <w:vAlign w:val="bottom"/>
            <w:tcBorders>
              <w:bottom w:val="single" w:sz="8" w:color="0033A0"/>
            </w:tcBorders>
          </w:tcPr>
          <w:p>
            <w:pPr>
              <w:jc w:val="center"/>
              <w:spacing w:after="0"/>
              <w:rPr>
                <w:sz w:val="20"/>
                <w:szCs w:val="20"/>
                <w:color w:val="auto"/>
              </w:rPr>
            </w:pPr>
            <w:r>
              <w:rPr>
                <w:rFonts w:ascii="Arial" w:cs="Arial" w:eastAsia="Arial" w:hAnsi="Arial"/>
                <w:sz w:val="13"/>
                <w:szCs w:val="13"/>
                <w:b w:val="1"/>
                <w:bCs w:val="1"/>
                <w:color w:val="0033A0"/>
                <w:w w:val="87"/>
              </w:rPr>
              <w:t>($)</w:t>
            </w:r>
          </w:p>
        </w:tc>
        <w:tc>
          <w:tcPr>
            <w:tcW w:w="820" w:type="dxa"/>
            <w:vAlign w:val="bottom"/>
            <w:tcBorders>
              <w:bottom w:val="single" w:sz="8" w:color="0033A0"/>
            </w:tcBorders>
          </w:tcPr>
          <w:p>
            <w:pPr>
              <w:jc w:val="right"/>
              <w:ind w:right="249"/>
              <w:spacing w:after="0"/>
              <w:rPr>
                <w:sz w:val="20"/>
                <w:szCs w:val="20"/>
                <w:color w:val="auto"/>
              </w:rPr>
            </w:pPr>
            <w:r>
              <w:rPr>
                <w:rFonts w:ascii="Arial" w:cs="Arial" w:eastAsia="Arial" w:hAnsi="Arial"/>
                <w:sz w:val="13"/>
                <w:szCs w:val="13"/>
                <w:b w:val="1"/>
                <w:bCs w:val="1"/>
                <w:color w:val="0033A0"/>
              </w:rPr>
              <w:t>($)</w:t>
            </w:r>
          </w:p>
        </w:tc>
        <w:tc>
          <w:tcPr>
            <w:tcW w:w="120" w:type="dxa"/>
            <w:vAlign w:val="bottom"/>
            <w:tcBorders>
              <w:bottom w:val="single" w:sz="8" w:color="0033A0"/>
            </w:tcBorders>
          </w:tcPr>
          <w:p>
            <w:pPr>
              <w:spacing w:after="0"/>
              <w:rPr>
                <w:sz w:val="14"/>
                <w:szCs w:val="14"/>
                <w:color w:val="auto"/>
              </w:rPr>
            </w:pPr>
          </w:p>
        </w:tc>
      </w:tr>
      <w:tr>
        <w:trPr>
          <w:trHeight w:val="21"/>
        </w:trPr>
        <w:tc>
          <w:tcPr>
            <w:tcW w:w="3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2"/>
        </w:trPr>
        <w:tc>
          <w:tcPr>
            <w:tcW w:w="3200" w:type="dxa"/>
            <w:vAlign w:val="bottom"/>
            <w:shd w:val="clear" w:color="auto" w:fill="E5EAF5"/>
          </w:tcPr>
          <w:p>
            <w:pPr>
              <w:ind w:left="60"/>
              <w:spacing w:after="0"/>
              <w:rPr>
                <w:sz w:val="20"/>
                <w:szCs w:val="20"/>
                <w:color w:val="auto"/>
              </w:rPr>
            </w:pPr>
            <w:r>
              <w:rPr>
                <w:rFonts w:ascii="Arial" w:cs="Arial" w:eastAsia="Arial" w:hAnsi="Arial"/>
                <w:sz w:val="14"/>
                <w:szCs w:val="14"/>
                <w:color w:val="auto"/>
              </w:rPr>
              <w:t>Douglas A. Pertz</w:t>
            </w:r>
          </w:p>
        </w:tc>
        <w:tc>
          <w:tcPr>
            <w:tcW w:w="560" w:type="dxa"/>
            <w:vAlign w:val="bottom"/>
            <w:shd w:val="clear" w:color="auto" w:fill="E5EAF5"/>
          </w:tcPr>
          <w:p>
            <w:pPr>
              <w:jc w:val="right"/>
              <w:spacing w:after="0"/>
              <w:rPr>
                <w:sz w:val="20"/>
                <w:szCs w:val="20"/>
                <w:color w:val="auto"/>
              </w:rPr>
            </w:pPr>
            <w:r>
              <w:rPr>
                <w:rFonts w:ascii="Arial" w:cs="Arial" w:eastAsia="Arial" w:hAnsi="Arial"/>
                <w:sz w:val="14"/>
                <w:szCs w:val="14"/>
                <w:color w:val="auto"/>
              </w:rPr>
              <w:t>2018</w:t>
            </w:r>
          </w:p>
        </w:tc>
        <w:tc>
          <w:tcPr>
            <w:tcW w:w="920" w:type="dxa"/>
            <w:vAlign w:val="bottom"/>
            <w:shd w:val="clear" w:color="auto" w:fill="E5EAF5"/>
          </w:tcPr>
          <w:p>
            <w:pPr>
              <w:ind w:left="260"/>
              <w:spacing w:after="0"/>
              <w:rPr>
                <w:sz w:val="20"/>
                <w:szCs w:val="20"/>
                <w:color w:val="auto"/>
              </w:rPr>
            </w:pPr>
            <w:r>
              <w:rPr>
                <w:rFonts w:ascii="Arial" w:cs="Arial" w:eastAsia="Arial" w:hAnsi="Arial"/>
                <w:sz w:val="14"/>
                <w:szCs w:val="14"/>
                <w:color w:val="auto"/>
              </w:rPr>
              <w:t>975,000</w:t>
            </w:r>
          </w:p>
        </w:tc>
        <w:tc>
          <w:tcPr>
            <w:tcW w:w="920" w:type="dxa"/>
            <w:vAlign w:val="bottom"/>
            <w:shd w:val="clear" w:color="auto" w:fill="E5EAF5"/>
          </w:tcPr>
          <w:p>
            <w:pPr>
              <w:jc w:val="right"/>
              <w:ind w:right="70"/>
              <w:spacing w:after="0"/>
              <w:rPr>
                <w:sz w:val="20"/>
                <w:szCs w:val="20"/>
                <w:color w:val="auto"/>
              </w:rPr>
            </w:pPr>
            <w:r>
              <w:rPr>
                <w:rFonts w:ascii="Arial" w:cs="Arial" w:eastAsia="Arial" w:hAnsi="Arial"/>
                <w:sz w:val="14"/>
                <w:szCs w:val="14"/>
                <w:color w:val="auto"/>
              </w:rPr>
              <w:t>1,874,987</w:t>
            </w:r>
          </w:p>
        </w:tc>
        <w:tc>
          <w:tcPr>
            <w:tcW w:w="900" w:type="dxa"/>
            <w:vAlign w:val="bottom"/>
            <w:shd w:val="clear" w:color="auto" w:fill="E5EAF5"/>
          </w:tcPr>
          <w:p>
            <w:pPr>
              <w:jc w:val="right"/>
              <w:ind w:right="50"/>
              <w:spacing w:after="0"/>
              <w:rPr>
                <w:sz w:val="20"/>
                <w:szCs w:val="20"/>
                <w:color w:val="auto"/>
              </w:rPr>
            </w:pPr>
            <w:r>
              <w:rPr>
                <w:rFonts w:ascii="Arial" w:cs="Arial" w:eastAsia="Arial" w:hAnsi="Arial"/>
                <w:sz w:val="14"/>
                <w:szCs w:val="14"/>
                <w:color w:val="auto"/>
              </w:rPr>
              <w:t>5,624,984</w:t>
            </w:r>
          </w:p>
        </w:tc>
        <w:tc>
          <w:tcPr>
            <w:tcW w:w="1240" w:type="dxa"/>
            <w:vAlign w:val="bottom"/>
            <w:shd w:val="clear" w:color="auto" w:fill="E5EAF5"/>
          </w:tcPr>
          <w:p>
            <w:pPr>
              <w:jc w:val="right"/>
              <w:ind w:right="50"/>
              <w:spacing w:after="0"/>
              <w:rPr>
                <w:sz w:val="20"/>
                <w:szCs w:val="20"/>
                <w:color w:val="auto"/>
              </w:rPr>
            </w:pPr>
            <w:r>
              <w:rPr>
                <w:rFonts w:ascii="Arial" w:cs="Arial" w:eastAsia="Arial" w:hAnsi="Arial"/>
                <w:sz w:val="14"/>
                <w:szCs w:val="14"/>
                <w:color w:val="auto"/>
              </w:rPr>
              <w:t>1,504,913</w:t>
            </w:r>
          </w:p>
        </w:tc>
        <w:tc>
          <w:tcPr>
            <w:tcW w:w="1120" w:type="dxa"/>
            <w:vAlign w:val="bottom"/>
            <w:shd w:val="clear" w:color="auto" w:fill="E5EAF5"/>
          </w:tcPr>
          <w:p>
            <w:pPr>
              <w:jc w:val="right"/>
              <w:ind w:right="51"/>
              <w:spacing w:after="0"/>
              <w:rPr>
                <w:sz w:val="20"/>
                <w:szCs w:val="20"/>
                <w:color w:val="auto"/>
              </w:rPr>
            </w:pPr>
            <w:r>
              <w:rPr>
                <w:rFonts w:ascii="Arial" w:cs="Arial" w:eastAsia="Arial" w:hAnsi="Arial"/>
                <w:sz w:val="14"/>
                <w:szCs w:val="14"/>
                <w:color w:val="auto"/>
              </w:rPr>
              <w:t>—</w:t>
            </w:r>
          </w:p>
        </w:tc>
        <w:tc>
          <w:tcPr>
            <w:tcW w:w="1220" w:type="dxa"/>
            <w:vAlign w:val="bottom"/>
            <w:shd w:val="clear" w:color="auto" w:fill="E5EAF5"/>
          </w:tcPr>
          <w:p>
            <w:pPr>
              <w:jc w:val="right"/>
              <w:ind w:right="30"/>
              <w:spacing w:after="0"/>
              <w:rPr>
                <w:sz w:val="20"/>
                <w:szCs w:val="20"/>
                <w:color w:val="auto"/>
              </w:rPr>
            </w:pPr>
            <w:r>
              <w:rPr>
                <w:rFonts w:ascii="Arial" w:cs="Arial" w:eastAsia="Arial" w:hAnsi="Arial"/>
                <w:sz w:val="14"/>
                <w:szCs w:val="14"/>
                <w:color w:val="auto"/>
              </w:rPr>
              <w:t>380,513</w:t>
            </w:r>
          </w:p>
        </w:tc>
        <w:tc>
          <w:tcPr>
            <w:tcW w:w="820" w:type="dxa"/>
            <w:vAlign w:val="bottom"/>
            <w:shd w:val="clear" w:color="auto" w:fill="E5EAF5"/>
          </w:tcPr>
          <w:p>
            <w:pPr>
              <w:jc w:val="right"/>
              <w:spacing w:after="0"/>
              <w:rPr>
                <w:sz w:val="20"/>
                <w:szCs w:val="20"/>
                <w:color w:val="auto"/>
              </w:rPr>
            </w:pPr>
            <w:r>
              <w:rPr>
                <w:rFonts w:ascii="Arial" w:cs="Arial" w:eastAsia="Arial" w:hAnsi="Arial"/>
                <w:sz w:val="14"/>
                <w:szCs w:val="14"/>
                <w:color w:val="auto"/>
              </w:rPr>
              <w:t>10,360,397</w:t>
            </w:r>
          </w:p>
        </w:tc>
        <w:tc>
          <w:tcPr>
            <w:tcW w:w="120" w:type="dxa"/>
            <w:vAlign w:val="bottom"/>
            <w:shd w:val="clear" w:color="auto" w:fill="E5EAF5"/>
          </w:tcPr>
          <w:p>
            <w:pPr>
              <w:spacing w:after="0"/>
              <w:rPr>
                <w:sz w:val="14"/>
                <w:szCs w:val="14"/>
                <w:color w:val="auto"/>
              </w:rPr>
            </w:pPr>
          </w:p>
        </w:tc>
      </w:tr>
      <w:tr>
        <w:trPr>
          <w:trHeight w:val="162"/>
        </w:trPr>
        <w:tc>
          <w:tcPr>
            <w:tcW w:w="3200" w:type="dxa"/>
            <w:vAlign w:val="bottom"/>
            <w:shd w:val="clear" w:color="auto" w:fill="E5EAF5"/>
          </w:tcPr>
          <w:p>
            <w:pPr>
              <w:ind w:left="220"/>
              <w:spacing w:after="0"/>
              <w:rPr>
                <w:sz w:val="20"/>
                <w:szCs w:val="20"/>
                <w:color w:val="auto"/>
              </w:rPr>
            </w:pPr>
            <w:r>
              <w:rPr>
                <w:rFonts w:ascii="Arial" w:cs="Arial" w:eastAsia="Arial" w:hAnsi="Arial"/>
                <w:sz w:val="14"/>
                <w:szCs w:val="14"/>
                <w:color w:val="auto"/>
              </w:rPr>
              <w:t>President and</w:t>
            </w:r>
          </w:p>
        </w:tc>
        <w:tc>
          <w:tcPr>
            <w:tcW w:w="560" w:type="dxa"/>
            <w:vAlign w:val="bottom"/>
            <w:shd w:val="clear" w:color="auto" w:fill="E5EAF5"/>
          </w:tcPr>
          <w:p>
            <w:pPr>
              <w:jc w:val="right"/>
              <w:spacing w:after="0"/>
              <w:rPr>
                <w:sz w:val="20"/>
                <w:szCs w:val="20"/>
                <w:color w:val="auto"/>
              </w:rPr>
            </w:pPr>
            <w:r>
              <w:rPr>
                <w:rFonts w:ascii="Arial" w:cs="Arial" w:eastAsia="Arial" w:hAnsi="Arial"/>
                <w:sz w:val="14"/>
                <w:szCs w:val="14"/>
                <w:color w:val="auto"/>
              </w:rPr>
              <w:t>2017</w:t>
            </w:r>
          </w:p>
        </w:tc>
        <w:tc>
          <w:tcPr>
            <w:tcW w:w="920" w:type="dxa"/>
            <w:vAlign w:val="bottom"/>
            <w:shd w:val="clear" w:color="auto" w:fill="E5EAF5"/>
          </w:tcPr>
          <w:p>
            <w:pPr>
              <w:ind w:left="260"/>
              <w:spacing w:after="0"/>
              <w:rPr>
                <w:sz w:val="20"/>
                <w:szCs w:val="20"/>
                <w:color w:val="auto"/>
              </w:rPr>
            </w:pPr>
            <w:r>
              <w:rPr>
                <w:rFonts w:ascii="Arial" w:cs="Arial" w:eastAsia="Arial" w:hAnsi="Arial"/>
                <w:sz w:val="14"/>
                <w:szCs w:val="14"/>
                <w:color w:val="auto"/>
              </w:rPr>
              <w:t>945,833</w:t>
            </w:r>
          </w:p>
        </w:tc>
        <w:tc>
          <w:tcPr>
            <w:tcW w:w="920" w:type="dxa"/>
            <w:vAlign w:val="bottom"/>
            <w:shd w:val="clear" w:color="auto" w:fill="E5EAF5"/>
          </w:tcPr>
          <w:p>
            <w:pPr>
              <w:jc w:val="right"/>
              <w:ind w:right="70"/>
              <w:spacing w:after="0"/>
              <w:rPr>
                <w:sz w:val="20"/>
                <w:szCs w:val="20"/>
                <w:color w:val="auto"/>
              </w:rPr>
            </w:pPr>
            <w:r>
              <w:rPr>
                <w:rFonts w:ascii="Arial" w:cs="Arial" w:eastAsia="Arial" w:hAnsi="Arial"/>
                <w:sz w:val="14"/>
                <w:szCs w:val="14"/>
                <w:color w:val="auto"/>
              </w:rPr>
              <w:t>1,874,928</w:t>
            </w:r>
          </w:p>
        </w:tc>
        <w:tc>
          <w:tcPr>
            <w:tcW w:w="900" w:type="dxa"/>
            <w:vAlign w:val="bottom"/>
            <w:shd w:val="clear" w:color="auto" w:fill="E5EAF5"/>
          </w:tcPr>
          <w:p>
            <w:pPr>
              <w:jc w:val="right"/>
              <w:ind w:right="50"/>
              <w:spacing w:after="0"/>
              <w:rPr>
                <w:sz w:val="20"/>
                <w:szCs w:val="20"/>
                <w:color w:val="auto"/>
              </w:rPr>
            </w:pPr>
            <w:r>
              <w:rPr>
                <w:rFonts w:ascii="Arial" w:cs="Arial" w:eastAsia="Arial" w:hAnsi="Arial"/>
                <w:sz w:val="14"/>
                <w:szCs w:val="14"/>
                <w:color w:val="auto"/>
              </w:rPr>
              <w:t>2,578,123</w:t>
            </w:r>
          </w:p>
        </w:tc>
        <w:tc>
          <w:tcPr>
            <w:tcW w:w="1240" w:type="dxa"/>
            <w:vAlign w:val="bottom"/>
            <w:shd w:val="clear" w:color="auto" w:fill="E5EAF5"/>
          </w:tcPr>
          <w:p>
            <w:pPr>
              <w:jc w:val="right"/>
              <w:ind w:right="50"/>
              <w:spacing w:after="0"/>
              <w:rPr>
                <w:sz w:val="20"/>
                <w:szCs w:val="20"/>
                <w:color w:val="auto"/>
              </w:rPr>
            </w:pPr>
            <w:r>
              <w:rPr>
                <w:rFonts w:ascii="Arial" w:cs="Arial" w:eastAsia="Arial" w:hAnsi="Arial"/>
                <w:sz w:val="14"/>
                <w:szCs w:val="14"/>
                <w:color w:val="auto"/>
              </w:rPr>
              <w:t>2,251,500</w:t>
            </w:r>
          </w:p>
        </w:tc>
        <w:tc>
          <w:tcPr>
            <w:tcW w:w="1120" w:type="dxa"/>
            <w:vAlign w:val="bottom"/>
            <w:shd w:val="clear" w:color="auto" w:fill="E5EAF5"/>
          </w:tcPr>
          <w:p>
            <w:pPr>
              <w:jc w:val="right"/>
              <w:ind w:right="51"/>
              <w:spacing w:after="0"/>
              <w:rPr>
                <w:sz w:val="20"/>
                <w:szCs w:val="20"/>
                <w:color w:val="auto"/>
              </w:rPr>
            </w:pPr>
            <w:r>
              <w:rPr>
                <w:rFonts w:ascii="Arial" w:cs="Arial" w:eastAsia="Arial" w:hAnsi="Arial"/>
                <w:sz w:val="14"/>
                <w:szCs w:val="14"/>
                <w:color w:val="auto"/>
              </w:rPr>
              <w:t>—</w:t>
            </w:r>
          </w:p>
        </w:tc>
        <w:tc>
          <w:tcPr>
            <w:tcW w:w="1220" w:type="dxa"/>
            <w:vAlign w:val="bottom"/>
            <w:shd w:val="clear" w:color="auto" w:fill="E5EAF5"/>
          </w:tcPr>
          <w:p>
            <w:pPr>
              <w:jc w:val="right"/>
              <w:ind w:right="30"/>
              <w:spacing w:after="0"/>
              <w:rPr>
                <w:sz w:val="20"/>
                <w:szCs w:val="20"/>
                <w:color w:val="auto"/>
              </w:rPr>
            </w:pPr>
            <w:r>
              <w:rPr>
                <w:rFonts w:ascii="Arial" w:cs="Arial" w:eastAsia="Arial" w:hAnsi="Arial"/>
                <w:sz w:val="14"/>
                <w:szCs w:val="14"/>
                <w:color w:val="auto"/>
              </w:rPr>
              <w:t>159,897</w:t>
            </w:r>
          </w:p>
        </w:tc>
        <w:tc>
          <w:tcPr>
            <w:tcW w:w="820" w:type="dxa"/>
            <w:vAlign w:val="bottom"/>
            <w:shd w:val="clear" w:color="auto" w:fill="E5EAF5"/>
          </w:tcPr>
          <w:p>
            <w:pPr>
              <w:jc w:val="right"/>
              <w:spacing w:after="0"/>
              <w:rPr>
                <w:sz w:val="20"/>
                <w:szCs w:val="20"/>
                <w:color w:val="auto"/>
              </w:rPr>
            </w:pPr>
            <w:r>
              <w:rPr>
                <w:rFonts w:ascii="Arial" w:cs="Arial" w:eastAsia="Arial" w:hAnsi="Arial"/>
                <w:sz w:val="14"/>
                <w:szCs w:val="14"/>
                <w:color w:val="auto"/>
              </w:rPr>
              <w:t>7,810,281</w:t>
            </w:r>
          </w:p>
        </w:tc>
        <w:tc>
          <w:tcPr>
            <w:tcW w:w="120" w:type="dxa"/>
            <w:vAlign w:val="bottom"/>
            <w:shd w:val="clear" w:color="auto" w:fill="E5EAF5"/>
          </w:tcPr>
          <w:p>
            <w:pPr>
              <w:spacing w:after="0"/>
              <w:rPr>
                <w:sz w:val="14"/>
                <w:szCs w:val="14"/>
                <w:color w:val="auto"/>
              </w:rPr>
            </w:pPr>
          </w:p>
        </w:tc>
      </w:tr>
      <w:tr>
        <w:trPr>
          <w:trHeight w:val="183"/>
        </w:trPr>
        <w:tc>
          <w:tcPr>
            <w:tcW w:w="3200" w:type="dxa"/>
            <w:vAlign w:val="bottom"/>
            <w:tcBorders>
              <w:bottom w:val="single" w:sz="8" w:color="E5EAF5"/>
            </w:tcBorders>
            <w:shd w:val="clear" w:color="auto" w:fill="E5EAF5"/>
          </w:tcPr>
          <w:p>
            <w:pPr>
              <w:ind w:left="220"/>
              <w:spacing w:after="0"/>
              <w:rPr>
                <w:sz w:val="20"/>
                <w:szCs w:val="20"/>
                <w:color w:val="auto"/>
              </w:rPr>
            </w:pPr>
            <w:r>
              <w:rPr>
                <w:rFonts w:ascii="Arial" w:cs="Arial" w:eastAsia="Arial" w:hAnsi="Arial"/>
                <w:sz w:val="14"/>
                <w:szCs w:val="14"/>
                <w:color w:val="auto"/>
              </w:rPr>
              <w:t>Chief Executive Officer</w:t>
            </w:r>
          </w:p>
        </w:tc>
        <w:tc>
          <w:tcPr>
            <w:tcW w:w="560" w:type="dxa"/>
            <w:vAlign w:val="bottom"/>
            <w:tcBorders>
              <w:bottom w:val="single" w:sz="8" w:color="E5EAF5"/>
            </w:tcBorders>
            <w:shd w:val="clear" w:color="auto" w:fill="E5EAF5"/>
          </w:tcPr>
          <w:p>
            <w:pPr>
              <w:jc w:val="right"/>
              <w:spacing w:after="0"/>
              <w:rPr>
                <w:sz w:val="20"/>
                <w:szCs w:val="20"/>
                <w:color w:val="auto"/>
              </w:rPr>
            </w:pPr>
            <w:r>
              <w:rPr>
                <w:rFonts w:ascii="Arial" w:cs="Arial" w:eastAsia="Arial" w:hAnsi="Arial"/>
                <w:sz w:val="14"/>
                <w:szCs w:val="14"/>
                <w:color w:val="auto"/>
              </w:rPr>
              <w:t>2016</w:t>
            </w:r>
          </w:p>
        </w:tc>
        <w:tc>
          <w:tcPr>
            <w:tcW w:w="920" w:type="dxa"/>
            <w:vAlign w:val="bottom"/>
            <w:tcBorders>
              <w:bottom w:val="single" w:sz="8" w:color="E5EAF5"/>
            </w:tcBorders>
            <w:shd w:val="clear" w:color="auto" w:fill="E5EAF5"/>
          </w:tcPr>
          <w:p>
            <w:pPr>
              <w:ind w:left="260"/>
              <w:spacing w:after="0"/>
              <w:rPr>
                <w:sz w:val="20"/>
                <w:szCs w:val="20"/>
                <w:color w:val="auto"/>
              </w:rPr>
            </w:pPr>
            <w:r>
              <w:rPr>
                <w:rFonts w:ascii="Arial" w:cs="Arial" w:eastAsia="Arial" w:hAnsi="Arial"/>
                <w:sz w:val="14"/>
                <w:szCs w:val="14"/>
                <w:color w:val="auto"/>
              </w:rPr>
              <w:t>520,313</w:t>
            </w:r>
          </w:p>
        </w:tc>
        <w:tc>
          <w:tcPr>
            <w:tcW w:w="920" w:type="dxa"/>
            <w:vAlign w:val="bottom"/>
            <w:tcBorders>
              <w:bottom w:val="single" w:sz="8" w:color="E5EAF5"/>
            </w:tcBorders>
            <w:shd w:val="clear" w:color="auto" w:fill="E5EAF5"/>
          </w:tcPr>
          <w:p>
            <w:pPr>
              <w:jc w:val="right"/>
              <w:ind w:right="70"/>
              <w:spacing w:after="0"/>
              <w:rPr>
                <w:sz w:val="20"/>
                <w:szCs w:val="20"/>
                <w:color w:val="auto"/>
              </w:rPr>
            </w:pPr>
            <w:r>
              <w:rPr>
                <w:rFonts w:ascii="Arial" w:cs="Arial" w:eastAsia="Arial" w:hAnsi="Arial"/>
                <w:sz w:val="14"/>
                <w:szCs w:val="14"/>
                <w:color w:val="auto"/>
              </w:rPr>
              <w:t>4,742,574</w:t>
            </w:r>
          </w:p>
        </w:tc>
        <w:tc>
          <w:tcPr>
            <w:tcW w:w="900" w:type="dxa"/>
            <w:vAlign w:val="bottom"/>
            <w:tcBorders>
              <w:bottom w:val="single" w:sz="8" w:color="E5EAF5"/>
            </w:tcBorders>
            <w:shd w:val="clear" w:color="auto" w:fill="E5EAF5"/>
          </w:tcPr>
          <w:p>
            <w:pPr>
              <w:jc w:val="right"/>
              <w:ind w:right="50"/>
              <w:spacing w:after="0"/>
              <w:rPr>
                <w:sz w:val="20"/>
                <w:szCs w:val="20"/>
                <w:color w:val="auto"/>
              </w:rPr>
            </w:pPr>
            <w:r>
              <w:rPr>
                <w:rFonts w:ascii="Arial" w:cs="Arial" w:eastAsia="Arial" w:hAnsi="Arial"/>
                <w:sz w:val="14"/>
                <w:szCs w:val="14"/>
                <w:color w:val="auto"/>
              </w:rPr>
              <w:t>2,366,667</w:t>
            </w:r>
          </w:p>
        </w:tc>
        <w:tc>
          <w:tcPr>
            <w:tcW w:w="1240" w:type="dxa"/>
            <w:vAlign w:val="bottom"/>
            <w:tcBorders>
              <w:bottom w:val="single" w:sz="8" w:color="E5EAF5"/>
            </w:tcBorders>
            <w:shd w:val="clear" w:color="auto" w:fill="E5EAF5"/>
          </w:tcPr>
          <w:p>
            <w:pPr>
              <w:jc w:val="right"/>
              <w:ind w:right="50"/>
              <w:spacing w:after="0"/>
              <w:rPr>
                <w:sz w:val="20"/>
                <w:szCs w:val="20"/>
                <w:color w:val="auto"/>
              </w:rPr>
            </w:pPr>
            <w:r>
              <w:rPr>
                <w:rFonts w:ascii="Arial" w:cs="Arial" w:eastAsia="Arial" w:hAnsi="Arial"/>
                <w:sz w:val="14"/>
                <w:szCs w:val="14"/>
                <w:color w:val="auto"/>
              </w:rPr>
              <w:t>600,286</w:t>
            </w:r>
          </w:p>
        </w:tc>
        <w:tc>
          <w:tcPr>
            <w:tcW w:w="1120" w:type="dxa"/>
            <w:vAlign w:val="bottom"/>
            <w:tcBorders>
              <w:bottom w:val="single" w:sz="8" w:color="E5EAF5"/>
            </w:tcBorders>
            <w:shd w:val="clear" w:color="auto" w:fill="E5EAF5"/>
          </w:tcPr>
          <w:p>
            <w:pPr>
              <w:jc w:val="right"/>
              <w:ind w:right="51"/>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E5EAF5"/>
            </w:tcBorders>
            <w:shd w:val="clear" w:color="auto" w:fill="E5EAF5"/>
          </w:tcPr>
          <w:p>
            <w:pPr>
              <w:jc w:val="right"/>
              <w:ind w:right="30"/>
              <w:spacing w:after="0"/>
              <w:rPr>
                <w:sz w:val="20"/>
                <w:szCs w:val="20"/>
                <w:color w:val="auto"/>
              </w:rPr>
            </w:pPr>
            <w:r>
              <w:rPr>
                <w:rFonts w:ascii="Arial" w:cs="Arial" w:eastAsia="Arial" w:hAnsi="Arial"/>
                <w:sz w:val="14"/>
                <w:szCs w:val="14"/>
                <w:color w:val="auto"/>
              </w:rPr>
              <w:t>79,099</w:t>
            </w:r>
          </w:p>
        </w:tc>
        <w:tc>
          <w:tcPr>
            <w:tcW w:w="820" w:type="dxa"/>
            <w:vAlign w:val="bottom"/>
            <w:tcBorders>
              <w:bottom w:val="single" w:sz="8" w:color="E5EAF5"/>
            </w:tcBorders>
            <w:shd w:val="clear" w:color="auto" w:fill="E5EAF5"/>
          </w:tcPr>
          <w:p>
            <w:pPr>
              <w:jc w:val="right"/>
              <w:spacing w:after="0"/>
              <w:rPr>
                <w:sz w:val="20"/>
                <w:szCs w:val="20"/>
                <w:color w:val="auto"/>
              </w:rPr>
            </w:pPr>
            <w:r>
              <w:rPr>
                <w:rFonts w:ascii="Arial" w:cs="Arial" w:eastAsia="Arial" w:hAnsi="Arial"/>
                <w:sz w:val="14"/>
                <w:szCs w:val="14"/>
                <w:color w:val="auto"/>
              </w:rPr>
              <w:t>8,308,939</w:t>
            </w:r>
          </w:p>
        </w:tc>
        <w:tc>
          <w:tcPr>
            <w:tcW w:w="120" w:type="dxa"/>
            <w:vAlign w:val="bottom"/>
            <w:shd w:val="clear" w:color="auto" w:fill="E5EAF5"/>
          </w:tcPr>
          <w:p>
            <w:pPr>
              <w:spacing w:after="0"/>
              <w:rPr>
                <w:sz w:val="15"/>
                <w:szCs w:val="15"/>
                <w:color w:val="auto"/>
              </w:rPr>
            </w:pPr>
          </w:p>
        </w:tc>
      </w:tr>
      <w:tr>
        <w:trPr>
          <w:trHeight w:val="167"/>
        </w:trPr>
        <w:tc>
          <w:tcPr>
            <w:tcW w:w="3200" w:type="dxa"/>
            <w:vAlign w:val="bottom"/>
          </w:tcPr>
          <w:p>
            <w:pPr>
              <w:ind w:left="60"/>
              <w:spacing w:after="0"/>
              <w:rPr>
                <w:sz w:val="20"/>
                <w:szCs w:val="20"/>
                <w:color w:val="auto"/>
              </w:rPr>
            </w:pPr>
            <w:r>
              <w:rPr>
                <w:rFonts w:ascii="Arial" w:cs="Arial" w:eastAsia="Arial" w:hAnsi="Arial"/>
                <w:sz w:val="14"/>
                <w:szCs w:val="14"/>
                <w:color w:val="auto"/>
              </w:rPr>
              <w:t>Ronald J. Domanico</w:t>
            </w:r>
          </w:p>
        </w:tc>
        <w:tc>
          <w:tcPr>
            <w:tcW w:w="560" w:type="dxa"/>
            <w:vAlign w:val="bottom"/>
          </w:tcPr>
          <w:p>
            <w:pPr>
              <w:jc w:val="right"/>
              <w:spacing w:after="0"/>
              <w:rPr>
                <w:sz w:val="20"/>
                <w:szCs w:val="20"/>
                <w:color w:val="auto"/>
              </w:rPr>
            </w:pPr>
            <w:r>
              <w:rPr>
                <w:rFonts w:ascii="Arial" w:cs="Arial" w:eastAsia="Arial" w:hAnsi="Arial"/>
                <w:sz w:val="14"/>
                <w:szCs w:val="14"/>
                <w:color w:val="auto"/>
              </w:rPr>
              <w:t>2018</w:t>
            </w:r>
          </w:p>
        </w:tc>
        <w:tc>
          <w:tcPr>
            <w:tcW w:w="920" w:type="dxa"/>
            <w:vAlign w:val="bottom"/>
          </w:tcPr>
          <w:p>
            <w:pPr>
              <w:ind w:left="260"/>
              <w:spacing w:after="0"/>
              <w:rPr>
                <w:sz w:val="20"/>
                <w:szCs w:val="20"/>
                <w:color w:val="auto"/>
              </w:rPr>
            </w:pPr>
            <w:r>
              <w:rPr>
                <w:rFonts w:ascii="Arial" w:cs="Arial" w:eastAsia="Arial" w:hAnsi="Arial"/>
                <w:sz w:val="14"/>
                <w:szCs w:val="14"/>
                <w:color w:val="auto"/>
              </w:rPr>
              <w:t>595,833</w:t>
            </w:r>
          </w:p>
        </w:tc>
        <w:tc>
          <w:tcPr>
            <w:tcW w:w="920" w:type="dxa"/>
            <w:vAlign w:val="bottom"/>
          </w:tcPr>
          <w:p>
            <w:pPr>
              <w:jc w:val="right"/>
              <w:ind w:right="70"/>
              <w:spacing w:after="0"/>
              <w:rPr>
                <w:sz w:val="20"/>
                <w:szCs w:val="20"/>
                <w:color w:val="auto"/>
              </w:rPr>
            </w:pPr>
            <w:r>
              <w:rPr>
                <w:rFonts w:ascii="Arial" w:cs="Arial" w:eastAsia="Arial" w:hAnsi="Arial"/>
                <w:sz w:val="14"/>
                <w:szCs w:val="14"/>
                <w:color w:val="auto"/>
              </w:rPr>
              <w:t>937,406</w:t>
            </w:r>
          </w:p>
        </w:tc>
        <w:tc>
          <w:tcPr>
            <w:tcW w:w="900" w:type="dxa"/>
            <w:vAlign w:val="bottom"/>
          </w:tcPr>
          <w:p>
            <w:pPr>
              <w:jc w:val="right"/>
              <w:ind w:right="50"/>
              <w:spacing w:after="0"/>
              <w:rPr>
                <w:sz w:val="20"/>
                <w:szCs w:val="20"/>
                <w:color w:val="auto"/>
              </w:rPr>
            </w:pPr>
            <w:r>
              <w:rPr>
                <w:rFonts w:ascii="Arial" w:cs="Arial" w:eastAsia="Arial" w:hAnsi="Arial"/>
                <w:sz w:val="14"/>
                <w:szCs w:val="14"/>
                <w:color w:val="auto"/>
              </w:rPr>
              <w:t>312,489</w:t>
            </w:r>
          </w:p>
        </w:tc>
        <w:tc>
          <w:tcPr>
            <w:tcW w:w="1240" w:type="dxa"/>
            <w:vAlign w:val="bottom"/>
          </w:tcPr>
          <w:p>
            <w:pPr>
              <w:jc w:val="right"/>
              <w:ind w:right="50"/>
              <w:spacing w:after="0"/>
              <w:rPr>
                <w:sz w:val="20"/>
                <w:szCs w:val="20"/>
                <w:color w:val="auto"/>
              </w:rPr>
            </w:pPr>
            <w:r>
              <w:rPr>
                <w:rFonts w:ascii="Arial" w:cs="Arial" w:eastAsia="Arial" w:hAnsi="Arial"/>
                <w:sz w:val="14"/>
                <w:szCs w:val="14"/>
                <w:color w:val="auto"/>
              </w:rPr>
              <w:t>626,535</w:t>
            </w:r>
          </w:p>
        </w:tc>
        <w:tc>
          <w:tcPr>
            <w:tcW w:w="11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30"/>
              <w:spacing w:after="0"/>
              <w:rPr>
                <w:sz w:val="20"/>
                <w:szCs w:val="20"/>
                <w:color w:val="auto"/>
              </w:rPr>
            </w:pPr>
            <w:r>
              <w:rPr>
                <w:rFonts w:ascii="Arial" w:cs="Arial" w:eastAsia="Arial" w:hAnsi="Arial"/>
                <w:sz w:val="14"/>
                <w:szCs w:val="14"/>
                <w:color w:val="auto"/>
              </w:rPr>
              <w:t>168,434</w:t>
            </w:r>
          </w:p>
        </w:tc>
        <w:tc>
          <w:tcPr>
            <w:tcW w:w="820" w:type="dxa"/>
            <w:vAlign w:val="bottom"/>
          </w:tcPr>
          <w:p>
            <w:pPr>
              <w:jc w:val="right"/>
              <w:spacing w:after="0"/>
              <w:rPr>
                <w:sz w:val="20"/>
                <w:szCs w:val="20"/>
                <w:color w:val="auto"/>
              </w:rPr>
            </w:pPr>
            <w:r>
              <w:rPr>
                <w:rFonts w:ascii="Arial" w:cs="Arial" w:eastAsia="Arial" w:hAnsi="Arial"/>
                <w:sz w:val="14"/>
                <w:szCs w:val="14"/>
                <w:color w:val="auto"/>
              </w:rPr>
              <w:t>2,640,697</w:t>
            </w:r>
          </w:p>
        </w:tc>
        <w:tc>
          <w:tcPr>
            <w:tcW w:w="120" w:type="dxa"/>
            <w:vAlign w:val="bottom"/>
          </w:tcPr>
          <w:p>
            <w:pPr>
              <w:spacing w:after="0"/>
              <w:rPr>
                <w:sz w:val="14"/>
                <w:szCs w:val="14"/>
                <w:color w:val="auto"/>
              </w:rPr>
            </w:pPr>
          </w:p>
        </w:tc>
      </w:tr>
      <w:tr>
        <w:trPr>
          <w:trHeight w:val="162"/>
        </w:trPr>
        <w:tc>
          <w:tcPr>
            <w:tcW w:w="3200" w:type="dxa"/>
            <w:vAlign w:val="bottom"/>
          </w:tcPr>
          <w:p>
            <w:pPr>
              <w:ind w:left="220"/>
              <w:spacing w:after="0"/>
              <w:rPr>
                <w:sz w:val="20"/>
                <w:szCs w:val="20"/>
                <w:color w:val="auto"/>
              </w:rPr>
            </w:pPr>
            <w:r>
              <w:rPr>
                <w:rFonts w:ascii="Arial" w:cs="Arial" w:eastAsia="Arial" w:hAnsi="Arial"/>
                <w:sz w:val="14"/>
                <w:szCs w:val="14"/>
                <w:color w:val="auto"/>
              </w:rPr>
              <w:t>Executive Vice President   and Chief</w:t>
            </w:r>
          </w:p>
        </w:tc>
        <w:tc>
          <w:tcPr>
            <w:tcW w:w="560" w:type="dxa"/>
            <w:vAlign w:val="bottom"/>
          </w:tcPr>
          <w:p>
            <w:pPr>
              <w:jc w:val="right"/>
              <w:spacing w:after="0"/>
              <w:rPr>
                <w:sz w:val="20"/>
                <w:szCs w:val="20"/>
                <w:color w:val="auto"/>
              </w:rPr>
            </w:pPr>
            <w:r>
              <w:rPr>
                <w:rFonts w:ascii="Arial" w:cs="Arial" w:eastAsia="Arial" w:hAnsi="Arial"/>
                <w:sz w:val="14"/>
                <w:szCs w:val="14"/>
                <w:color w:val="auto"/>
              </w:rPr>
              <w:t>2017</w:t>
            </w:r>
          </w:p>
        </w:tc>
        <w:tc>
          <w:tcPr>
            <w:tcW w:w="920" w:type="dxa"/>
            <w:vAlign w:val="bottom"/>
          </w:tcPr>
          <w:p>
            <w:pPr>
              <w:ind w:left="260"/>
              <w:spacing w:after="0"/>
              <w:rPr>
                <w:sz w:val="20"/>
                <w:szCs w:val="20"/>
                <w:color w:val="auto"/>
              </w:rPr>
            </w:pPr>
            <w:r>
              <w:rPr>
                <w:rFonts w:ascii="Arial" w:cs="Arial" w:eastAsia="Arial" w:hAnsi="Arial"/>
                <w:sz w:val="14"/>
                <w:szCs w:val="14"/>
                <w:color w:val="auto"/>
              </w:rPr>
              <w:t>575,000</w:t>
            </w:r>
          </w:p>
        </w:tc>
        <w:tc>
          <w:tcPr>
            <w:tcW w:w="920" w:type="dxa"/>
            <w:vAlign w:val="bottom"/>
          </w:tcPr>
          <w:p>
            <w:pPr>
              <w:jc w:val="right"/>
              <w:ind w:right="70"/>
              <w:spacing w:after="0"/>
              <w:rPr>
                <w:sz w:val="20"/>
                <w:szCs w:val="20"/>
                <w:color w:val="auto"/>
              </w:rPr>
            </w:pPr>
            <w:r>
              <w:rPr>
                <w:rFonts w:ascii="Arial" w:cs="Arial" w:eastAsia="Arial" w:hAnsi="Arial"/>
                <w:sz w:val="14"/>
                <w:szCs w:val="14"/>
                <w:color w:val="auto"/>
              </w:rPr>
              <w:t>824,930</w:t>
            </w:r>
          </w:p>
        </w:tc>
        <w:tc>
          <w:tcPr>
            <w:tcW w:w="900" w:type="dxa"/>
            <w:vAlign w:val="bottom"/>
          </w:tcPr>
          <w:p>
            <w:pPr>
              <w:jc w:val="right"/>
              <w:ind w:right="50"/>
              <w:spacing w:after="0"/>
              <w:rPr>
                <w:sz w:val="20"/>
                <w:szCs w:val="20"/>
                <w:color w:val="auto"/>
              </w:rPr>
            </w:pPr>
            <w:r>
              <w:rPr>
                <w:rFonts w:ascii="Arial" w:cs="Arial" w:eastAsia="Arial" w:hAnsi="Arial"/>
                <w:sz w:val="14"/>
                <w:szCs w:val="14"/>
                <w:color w:val="auto"/>
              </w:rPr>
              <w:t>274,999</w:t>
            </w:r>
          </w:p>
        </w:tc>
        <w:tc>
          <w:tcPr>
            <w:tcW w:w="1240" w:type="dxa"/>
            <w:vAlign w:val="bottom"/>
          </w:tcPr>
          <w:p>
            <w:pPr>
              <w:jc w:val="right"/>
              <w:ind w:right="50"/>
              <w:spacing w:after="0"/>
              <w:rPr>
                <w:sz w:val="20"/>
                <w:szCs w:val="20"/>
                <w:color w:val="auto"/>
              </w:rPr>
            </w:pPr>
            <w:r>
              <w:rPr>
                <w:rFonts w:ascii="Arial" w:cs="Arial" w:eastAsia="Arial" w:hAnsi="Arial"/>
                <w:sz w:val="14"/>
                <w:szCs w:val="14"/>
                <w:color w:val="auto"/>
              </w:rPr>
              <w:t>814,016</w:t>
            </w:r>
          </w:p>
        </w:tc>
        <w:tc>
          <w:tcPr>
            <w:tcW w:w="11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30"/>
              <w:spacing w:after="0"/>
              <w:rPr>
                <w:sz w:val="20"/>
                <w:szCs w:val="20"/>
                <w:color w:val="auto"/>
              </w:rPr>
            </w:pPr>
            <w:r>
              <w:rPr>
                <w:rFonts w:ascii="Arial" w:cs="Arial" w:eastAsia="Arial" w:hAnsi="Arial"/>
                <w:sz w:val="14"/>
                <w:szCs w:val="14"/>
                <w:color w:val="auto"/>
              </w:rPr>
              <w:t>116,505</w:t>
            </w:r>
          </w:p>
        </w:tc>
        <w:tc>
          <w:tcPr>
            <w:tcW w:w="820" w:type="dxa"/>
            <w:vAlign w:val="bottom"/>
          </w:tcPr>
          <w:p>
            <w:pPr>
              <w:jc w:val="right"/>
              <w:spacing w:after="0"/>
              <w:rPr>
                <w:sz w:val="20"/>
                <w:szCs w:val="20"/>
                <w:color w:val="auto"/>
              </w:rPr>
            </w:pPr>
            <w:r>
              <w:rPr>
                <w:rFonts w:ascii="Arial" w:cs="Arial" w:eastAsia="Arial" w:hAnsi="Arial"/>
                <w:sz w:val="14"/>
                <w:szCs w:val="14"/>
                <w:color w:val="auto"/>
              </w:rPr>
              <w:t>2,605,450</w:t>
            </w:r>
          </w:p>
        </w:tc>
        <w:tc>
          <w:tcPr>
            <w:tcW w:w="120" w:type="dxa"/>
            <w:vAlign w:val="bottom"/>
          </w:tcPr>
          <w:p>
            <w:pPr>
              <w:spacing w:after="0"/>
              <w:rPr>
                <w:sz w:val="14"/>
                <w:szCs w:val="14"/>
                <w:color w:val="auto"/>
              </w:rPr>
            </w:pPr>
          </w:p>
        </w:tc>
      </w:tr>
      <w:tr>
        <w:trPr>
          <w:trHeight w:val="192"/>
        </w:trPr>
        <w:tc>
          <w:tcPr>
            <w:tcW w:w="3200" w:type="dxa"/>
            <w:vAlign w:val="bottom"/>
          </w:tcPr>
          <w:p>
            <w:pPr>
              <w:ind w:left="60"/>
              <w:spacing w:after="0"/>
              <w:rPr>
                <w:sz w:val="20"/>
                <w:szCs w:val="20"/>
                <w:color w:val="auto"/>
              </w:rPr>
            </w:pPr>
            <w:r>
              <w:rPr>
                <w:rFonts w:ascii="Arial" w:cs="Arial" w:eastAsia="Arial" w:hAnsi="Arial"/>
                <w:sz w:val="14"/>
                <w:szCs w:val="14"/>
                <w:color w:val="auto"/>
              </w:rPr>
              <w:t>Financial Officer</w:t>
            </w:r>
          </w:p>
        </w:tc>
        <w:tc>
          <w:tcPr>
            <w:tcW w:w="560" w:type="dxa"/>
            <w:vAlign w:val="bottom"/>
          </w:tcPr>
          <w:p>
            <w:pPr>
              <w:jc w:val="right"/>
              <w:spacing w:after="0"/>
              <w:rPr>
                <w:sz w:val="20"/>
                <w:szCs w:val="20"/>
                <w:color w:val="auto"/>
              </w:rPr>
            </w:pPr>
            <w:r>
              <w:rPr>
                <w:rFonts w:ascii="Arial" w:cs="Arial" w:eastAsia="Arial" w:hAnsi="Arial"/>
                <w:sz w:val="14"/>
                <w:szCs w:val="14"/>
                <w:color w:val="auto"/>
              </w:rPr>
              <w:t>2016</w:t>
            </w:r>
          </w:p>
        </w:tc>
        <w:tc>
          <w:tcPr>
            <w:tcW w:w="920" w:type="dxa"/>
            <w:vAlign w:val="bottom"/>
          </w:tcPr>
          <w:p>
            <w:pPr>
              <w:ind w:left="260"/>
              <w:spacing w:after="0"/>
              <w:rPr>
                <w:sz w:val="20"/>
                <w:szCs w:val="20"/>
                <w:color w:val="auto"/>
              </w:rPr>
            </w:pPr>
            <w:r>
              <w:rPr>
                <w:rFonts w:ascii="Arial" w:cs="Arial" w:eastAsia="Arial" w:hAnsi="Arial"/>
                <w:sz w:val="14"/>
                <w:szCs w:val="14"/>
                <w:color w:val="auto"/>
              </w:rPr>
              <w:t>267,898</w:t>
            </w:r>
          </w:p>
        </w:tc>
        <w:tc>
          <w:tcPr>
            <w:tcW w:w="920" w:type="dxa"/>
            <w:vAlign w:val="bottom"/>
          </w:tcPr>
          <w:p>
            <w:pPr>
              <w:jc w:val="right"/>
              <w:ind w:right="70"/>
              <w:spacing w:after="0"/>
              <w:rPr>
                <w:sz w:val="20"/>
                <w:szCs w:val="20"/>
                <w:color w:val="auto"/>
              </w:rPr>
            </w:pPr>
            <w:r>
              <w:rPr>
                <w:rFonts w:ascii="Arial" w:cs="Arial" w:eastAsia="Arial" w:hAnsi="Arial"/>
                <w:sz w:val="14"/>
                <w:szCs w:val="14"/>
                <w:color w:val="auto"/>
              </w:rPr>
              <w:t>1,049,912</w:t>
            </w:r>
          </w:p>
        </w:tc>
        <w:tc>
          <w:tcPr>
            <w:tcW w:w="900" w:type="dxa"/>
            <w:vAlign w:val="bottom"/>
          </w:tcPr>
          <w:p>
            <w:pPr>
              <w:jc w:val="right"/>
              <w:ind w:right="50"/>
              <w:spacing w:after="0"/>
              <w:rPr>
                <w:sz w:val="20"/>
                <w:szCs w:val="20"/>
                <w:color w:val="auto"/>
              </w:rPr>
            </w:pPr>
            <w:r>
              <w:rPr>
                <w:rFonts w:ascii="Arial" w:cs="Arial" w:eastAsia="Arial" w:hAnsi="Arial"/>
                <w:sz w:val="14"/>
                <w:szCs w:val="14"/>
                <w:color w:val="auto"/>
              </w:rPr>
              <w:t>499,996</w:t>
            </w:r>
          </w:p>
        </w:tc>
        <w:tc>
          <w:tcPr>
            <w:tcW w:w="1240" w:type="dxa"/>
            <w:vAlign w:val="bottom"/>
          </w:tcPr>
          <w:p>
            <w:pPr>
              <w:jc w:val="right"/>
              <w:ind w:right="50"/>
              <w:spacing w:after="0"/>
              <w:rPr>
                <w:sz w:val="20"/>
                <w:szCs w:val="20"/>
                <w:color w:val="auto"/>
              </w:rPr>
            </w:pPr>
            <w:r>
              <w:rPr>
                <w:rFonts w:ascii="Arial" w:cs="Arial" w:eastAsia="Arial" w:hAnsi="Arial"/>
                <w:sz w:val="14"/>
                <w:szCs w:val="14"/>
                <w:color w:val="auto"/>
              </w:rPr>
              <w:t>204,700</w:t>
            </w:r>
          </w:p>
        </w:tc>
        <w:tc>
          <w:tcPr>
            <w:tcW w:w="11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30"/>
              <w:spacing w:after="0"/>
              <w:rPr>
                <w:sz w:val="20"/>
                <w:szCs w:val="20"/>
                <w:color w:val="auto"/>
              </w:rPr>
            </w:pPr>
            <w:r>
              <w:rPr>
                <w:rFonts w:ascii="Arial" w:cs="Arial" w:eastAsia="Arial" w:hAnsi="Arial"/>
                <w:sz w:val="14"/>
                <w:szCs w:val="14"/>
                <w:color w:val="auto"/>
              </w:rPr>
              <w:t>37,181</w:t>
            </w:r>
          </w:p>
        </w:tc>
        <w:tc>
          <w:tcPr>
            <w:tcW w:w="820" w:type="dxa"/>
            <w:vAlign w:val="bottom"/>
          </w:tcPr>
          <w:p>
            <w:pPr>
              <w:jc w:val="right"/>
              <w:spacing w:after="0"/>
              <w:rPr>
                <w:sz w:val="20"/>
                <w:szCs w:val="20"/>
                <w:color w:val="auto"/>
              </w:rPr>
            </w:pPr>
            <w:r>
              <w:rPr>
                <w:rFonts w:ascii="Arial" w:cs="Arial" w:eastAsia="Arial" w:hAnsi="Arial"/>
                <w:sz w:val="14"/>
                <w:szCs w:val="14"/>
                <w:color w:val="auto"/>
              </w:rPr>
              <w:t>2,059,687</w:t>
            </w:r>
          </w:p>
        </w:tc>
        <w:tc>
          <w:tcPr>
            <w:tcW w:w="120" w:type="dxa"/>
            <w:vAlign w:val="bottom"/>
          </w:tcPr>
          <w:p>
            <w:pPr>
              <w:spacing w:after="0"/>
              <w:rPr>
                <w:sz w:val="16"/>
                <w:szCs w:val="16"/>
                <w:color w:val="auto"/>
              </w:rPr>
            </w:pPr>
          </w:p>
        </w:tc>
      </w:tr>
      <w:tr>
        <w:trPr>
          <w:trHeight w:val="168"/>
        </w:trPr>
        <w:tc>
          <w:tcPr>
            <w:tcW w:w="3200" w:type="dxa"/>
            <w:vAlign w:val="bottom"/>
            <w:shd w:val="clear" w:color="auto" w:fill="E5EAF5"/>
          </w:tcPr>
          <w:p>
            <w:pPr>
              <w:ind w:left="60"/>
              <w:spacing w:after="0"/>
              <w:rPr>
                <w:sz w:val="20"/>
                <w:szCs w:val="20"/>
                <w:color w:val="auto"/>
              </w:rPr>
            </w:pPr>
            <w:r>
              <w:rPr>
                <w:rFonts w:ascii="Arial" w:cs="Arial" w:eastAsia="Arial" w:hAnsi="Arial"/>
                <w:sz w:val="14"/>
                <w:szCs w:val="14"/>
                <w:color w:val="auto"/>
              </w:rPr>
              <w:t>Michael F. Beech</w:t>
            </w:r>
          </w:p>
        </w:tc>
        <w:tc>
          <w:tcPr>
            <w:tcW w:w="560" w:type="dxa"/>
            <w:vAlign w:val="bottom"/>
            <w:shd w:val="clear" w:color="auto" w:fill="E5EAF5"/>
          </w:tcPr>
          <w:p>
            <w:pPr>
              <w:jc w:val="right"/>
              <w:spacing w:after="0"/>
              <w:rPr>
                <w:sz w:val="20"/>
                <w:szCs w:val="20"/>
                <w:color w:val="auto"/>
              </w:rPr>
            </w:pPr>
            <w:r>
              <w:rPr>
                <w:rFonts w:ascii="Arial" w:cs="Arial" w:eastAsia="Arial" w:hAnsi="Arial"/>
                <w:sz w:val="14"/>
                <w:szCs w:val="14"/>
                <w:color w:val="auto"/>
              </w:rPr>
              <w:t>2018</w:t>
            </w:r>
          </w:p>
        </w:tc>
        <w:tc>
          <w:tcPr>
            <w:tcW w:w="920" w:type="dxa"/>
            <w:vAlign w:val="bottom"/>
            <w:shd w:val="clear" w:color="auto" w:fill="E5EAF5"/>
          </w:tcPr>
          <w:p>
            <w:pPr>
              <w:ind w:left="260"/>
              <w:spacing w:after="0"/>
              <w:rPr>
                <w:sz w:val="20"/>
                <w:szCs w:val="20"/>
                <w:color w:val="auto"/>
              </w:rPr>
            </w:pPr>
            <w:r>
              <w:rPr>
                <w:rFonts w:ascii="Arial" w:cs="Arial" w:eastAsia="Arial" w:hAnsi="Arial"/>
                <w:sz w:val="14"/>
                <w:szCs w:val="14"/>
                <w:color w:val="auto"/>
              </w:rPr>
              <w:t>491,667</w:t>
            </w:r>
          </w:p>
        </w:tc>
        <w:tc>
          <w:tcPr>
            <w:tcW w:w="920" w:type="dxa"/>
            <w:vAlign w:val="bottom"/>
            <w:shd w:val="clear" w:color="auto" w:fill="E5EAF5"/>
          </w:tcPr>
          <w:p>
            <w:pPr>
              <w:jc w:val="right"/>
              <w:ind w:right="70"/>
              <w:spacing w:after="0"/>
              <w:rPr>
                <w:sz w:val="20"/>
                <w:szCs w:val="20"/>
                <w:color w:val="auto"/>
              </w:rPr>
            </w:pPr>
            <w:r>
              <w:rPr>
                <w:rFonts w:ascii="Arial" w:cs="Arial" w:eastAsia="Arial" w:hAnsi="Arial"/>
                <w:sz w:val="14"/>
                <w:szCs w:val="14"/>
                <w:color w:val="auto"/>
              </w:rPr>
              <w:t>449,892</w:t>
            </w:r>
          </w:p>
        </w:tc>
        <w:tc>
          <w:tcPr>
            <w:tcW w:w="900" w:type="dxa"/>
            <w:vAlign w:val="bottom"/>
            <w:shd w:val="clear" w:color="auto" w:fill="E5EAF5"/>
          </w:tcPr>
          <w:p>
            <w:pPr>
              <w:jc w:val="right"/>
              <w:ind w:right="50"/>
              <w:spacing w:after="0"/>
              <w:rPr>
                <w:sz w:val="20"/>
                <w:szCs w:val="20"/>
                <w:color w:val="auto"/>
              </w:rPr>
            </w:pPr>
            <w:r>
              <w:rPr>
                <w:rFonts w:ascii="Arial" w:cs="Arial" w:eastAsia="Arial" w:hAnsi="Arial"/>
                <w:sz w:val="14"/>
                <w:szCs w:val="14"/>
                <w:color w:val="auto"/>
              </w:rPr>
              <w:t>149,990</w:t>
            </w:r>
          </w:p>
        </w:tc>
        <w:tc>
          <w:tcPr>
            <w:tcW w:w="1240" w:type="dxa"/>
            <w:vAlign w:val="bottom"/>
            <w:shd w:val="clear" w:color="auto" w:fill="E5EAF5"/>
          </w:tcPr>
          <w:p>
            <w:pPr>
              <w:jc w:val="right"/>
              <w:ind w:right="50"/>
              <w:spacing w:after="0"/>
              <w:rPr>
                <w:sz w:val="20"/>
                <w:szCs w:val="20"/>
                <w:color w:val="auto"/>
              </w:rPr>
            </w:pPr>
            <w:r>
              <w:rPr>
                <w:rFonts w:ascii="Arial" w:cs="Arial" w:eastAsia="Arial" w:hAnsi="Arial"/>
                <w:sz w:val="14"/>
                <w:szCs w:val="14"/>
                <w:color w:val="auto"/>
              </w:rPr>
              <w:t>439,779</w:t>
            </w:r>
          </w:p>
        </w:tc>
        <w:tc>
          <w:tcPr>
            <w:tcW w:w="1120" w:type="dxa"/>
            <w:vAlign w:val="bottom"/>
            <w:shd w:val="clear" w:color="auto" w:fill="E5EAF5"/>
          </w:tcPr>
          <w:p>
            <w:pPr>
              <w:jc w:val="right"/>
              <w:ind w:right="51"/>
              <w:spacing w:after="0"/>
              <w:rPr>
                <w:sz w:val="20"/>
                <w:szCs w:val="20"/>
                <w:color w:val="auto"/>
              </w:rPr>
            </w:pPr>
            <w:r>
              <w:rPr>
                <w:rFonts w:ascii="Arial" w:cs="Arial" w:eastAsia="Arial" w:hAnsi="Arial"/>
                <w:sz w:val="14"/>
                <w:szCs w:val="14"/>
                <w:color w:val="auto"/>
              </w:rPr>
              <w:t>—</w:t>
            </w:r>
          </w:p>
        </w:tc>
        <w:tc>
          <w:tcPr>
            <w:tcW w:w="1220" w:type="dxa"/>
            <w:vAlign w:val="bottom"/>
            <w:shd w:val="clear" w:color="auto" w:fill="E5EAF5"/>
          </w:tcPr>
          <w:p>
            <w:pPr>
              <w:jc w:val="right"/>
              <w:ind w:right="30"/>
              <w:spacing w:after="0"/>
              <w:rPr>
                <w:sz w:val="20"/>
                <w:szCs w:val="20"/>
                <w:color w:val="auto"/>
              </w:rPr>
            </w:pPr>
            <w:r>
              <w:rPr>
                <w:rFonts w:ascii="Arial" w:cs="Arial" w:eastAsia="Arial" w:hAnsi="Arial"/>
                <w:sz w:val="14"/>
                <w:szCs w:val="14"/>
                <w:color w:val="auto"/>
              </w:rPr>
              <w:t>135,710</w:t>
            </w:r>
          </w:p>
        </w:tc>
        <w:tc>
          <w:tcPr>
            <w:tcW w:w="820" w:type="dxa"/>
            <w:vAlign w:val="bottom"/>
            <w:shd w:val="clear" w:color="auto" w:fill="E5EAF5"/>
          </w:tcPr>
          <w:p>
            <w:pPr>
              <w:jc w:val="right"/>
              <w:spacing w:after="0"/>
              <w:rPr>
                <w:sz w:val="20"/>
                <w:szCs w:val="20"/>
                <w:color w:val="auto"/>
              </w:rPr>
            </w:pPr>
            <w:r>
              <w:rPr>
                <w:rFonts w:ascii="Arial" w:cs="Arial" w:eastAsia="Arial" w:hAnsi="Arial"/>
                <w:sz w:val="14"/>
                <w:szCs w:val="14"/>
                <w:color w:val="auto"/>
              </w:rPr>
              <w:t>1,667,038</w:t>
            </w:r>
          </w:p>
        </w:tc>
        <w:tc>
          <w:tcPr>
            <w:tcW w:w="120" w:type="dxa"/>
            <w:vAlign w:val="bottom"/>
            <w:shd w:val="clear" w:color="auto" w:fill="E5EAF5"/>
          </w:tcPr>
          <w:p>
            <w:pPr>
              <w:spacing w:after="0"/>
              <w:rPr>
                <w:sz w:val="14"/>
                <w:szCs w:val="14"/>
                <w:color w:val="auto"/>
              </w:rPr>
            </w:pPr>
          </w:p>
        </w:tc>
      </w:tr>
      <w:tr>
        <w:trPr>
          <w:trHeight w:val="162"/>
        </w:trPr>
        <w:tc>
          <w:tcPr>
            <w:tcW w:w="3200" w:type="dxa"/>
            <w:vAlign w:val="bottom"/>
            <w:shd w:val="clear" w:color="auto" w:fill="E5EAF5"/>
          </w:tcPr>
          <w:p>
            <w:pPr>
              <w:ind w:left="220"/>
              <w:spacing w:after="0"/>
              <w:rPr>
                <w:sz w:val="20"/>
                <w:szCs w:val="20"/>
                <w:color w:val="auto"/>
              </w:rPr>
            </w:pPr>
            <w:r>
              <w:rPr>
                <w:rFonts w:ascii="Arial" w:cs="Arial" w:eastAsia="Arial" w:hAnsi="Arial"/>
                <w:sz w:val="14"/>
                <w:szCs w:val="14"/>
                <w:color w:val="auto"/>
              </w:rPr>
              <w:t>Executive Vice President</w:t>
            </w:r>
          </w:p>
        </w:tc>
        <w:tc>
          <w:tcPr>
            <w:tcW w:w="560" w:type="dxa"/>
            <w:vAlign w:val="bottom"/>
            <w:shd w:val="clear" w:color="auto" w:fill="E5EAF5"/>
          </w:tcPr>
          <w:p>
            <w:pPr>
              <w:jc w:val="right"/>
              <w:spacing w:after="0"/>
              <w:rPr>
                <w:sz w:val="20"/>
                <w:szCs w:val="20"/>
                <w:color w:val="auto"/>
              </w:rPr>
            </w:pPr>
            <w:r>
              <w:rPr>
                <w:rFonts w:ascii="Arial" w:cs="Arial" w:eastAsia="Arial" w:hAnsi="Arial"/>
                <w:sz w:val="14"/>
                <w:szCs w:val="14"/>
                <w:color w:val="auto"/>
              </w:rPr>
              <w:t>2017</w:t>
            </w:r>
          </w:p>
        </w:tc>
        <w:tc>
          <w:tcPr>
            <w:tcW w:w="920" w:type="dxa"/>
            <w:vAlign w:val="bottom"/>
            <w:shd w:val="clear" w:color="auto" w:fill="E5EAF5"/>
          </w:tcPr>
          <w:p>
            <w:pPr>
              <w:ind w:left="260"/>
              <w:spacing w:after="0"/>
              <w:rPr>
                <w:sz w:val="20"/>
                <w:szCs w:val="20"/>
                <w:color w:val="auto"/>
              </w:rPr>
            </w:pPr>
            <w:r>
              <w:rPr>
                <w:rFonts w:ascii="Arial" w:cs="Arial" w:eastAsia="Arial" w:hAnsi="Arial"/>
                <w:sz w:val="14"/>
                <w:szCs w:val="14"/>
                <w:color w:val="auto"/>
              </w:rPr>
              <w:t>480,000</w:t>
            </w:r>
          </w:p>
        </w:tc>
        <w:tc>
          <w:tcPr>
            <w:tcW w:w="920" w:type="dxa"/>
            <w:vAlign w:val="bottom"/>
            <w:shd w:val="clear" w:color="auto" w:fill="E5EAF5"/>
          </w:tcPr>
          <w:p>
            <w:pPr>
              <w:jc w:val="right"/>
              <w:ind w:right="70"/>
              <w:spacing w:after="0"/>
              <w:rPr>
                <w:sz w:val="20"/>
                <w:szCs w:val="20"/>
                <w:color w:val="auto"/>
              </w:rPr>
            </w:pPr>
            <w:r>
              <w:rPr>
                <w:rFonts w:ascii="Arial" w:cs="Arial" w:eastAsia="Arial" w:hAnsi="Arial"/>
                <w:sz w:val="14"/>
                <w:szCs w:val="14"/>
                <w:color w:val="auto"/>
              </w:rPr>
              <w:t>412,466</w:t>
            </w:r>
          </w:p>
        </w:tc>
        <w:tc>
          <w:tcPr>
            <w:tcW w:w="900" w:type="dxa"/>
            <w:vAlign w:val="bottom"/>
            <w:shd w:val="clear" w:color="auto" w:fill="E5EAF5"/>
          </w:tcPr>
          <w:p>
            <w:pPr>
              <w:jc w:val="right"/>
              <w:ind w:right="50"/>
              <w:spacing w:after="0"/>
              <w:rPr>
                <w:sz w:val="20"/>
                <w:szCs w:val="20"/>
                <w:color w:val="auto"/>
              </w:rPr>
            </w:pPr>
            <w:r>
              <w:rPr>
                <w:rFonts w:ascii="Arial" w:cs="Arial" w:eastAsia="Arial" w:hAnsi="Arial"/>
                <w:sz w:val="14"/>
                <w:szCs w:val="14"/>
                <w:color w:val="auto"/>
              </w:rPr>
              <w:t>137,499</w:t>
            </w:r>
          </w:p>
        </w:tc>
        <w:tc>
          <w:tcPr>
            <w:tcW w:w="1240" w:type="dxa"/>
            <w:vAlign w:val="bottom"/>
            <w:shd w:val="clear" w:color="auto" w:fill="E5EAF5"/>
          </w:tcPr>
          <w:p>
            <w:pPr>
              <w:jc w:val="right"/>
              <w:ind w:right="50"/>
              <w:spacing w:after="0"/>
              <w:rPr>
                <w:sz w:val="20"/>
                <w:szCs w:val="20"/>
                <w:color w:val="auto"/>
              </w:rPr>
            </w:pPr>
            <w:r>
              <w:rPr>
                <w:rFonts w:ascii="Arial" w:cs="Arial" w:eastAsia="Arial" w:hAnsi="Arial"/>
                <w:sz w:val="14"/>
                <w:szCs w:val="14"/>
                <w:color w:val="auto"/>
              </w:rPr>
              <w:t>624,000</w:t>
            </w:r>
          </w:p>
        </w:tc>
        <w:tc>
          <w:tcPr>
            <w:tcW w:w="1120" w:type="dxa"/>
            <w:vAlign w:val="bottom"/>
            <w:shd w:val="clear" w:color="auto" w:fill="E5EAF5"/>
          </w:tcPr>
          <w:p>
            <w:pPr>
              <w:jc w:val="right"/>
              <w:ind w:right="51"/>
              <w:spacing w:after="0"/>
              <w:rPr>
                <w:sz w:val="20"/>
                <w:szCs w:val="20"/>
                <w:color w:val="auto"/>
              </w:rPr>
            </w:pPr>
            <w:r>
              <w:rPr>
                <w:rFonts w:ascii="Arial" w:cs="Arial" w:eastAsia="Arial" w:hAnsi="Arial"/>
                <w:sz w:val="14"/>
                <w:szCs w:val="14"/>
                <w:color w:val="auto"/>
              </w:rPr>
              <w:t>—</w:t>
            </w:r>
          </w:p>
        </w:tc>
        <w:tc>
          <w:tcPr>
            <w:tcW w:w="1220" w:type="dxa"/>
            <w:vAlign w:val="bottom"/>
            <w:shd w:val="clear" w:color="auto" w:fill="E5EAF5"/>
          </w:tcPr>
          <w:p>
            <w:pPr>
              <w:jc w:val="right"/>
              <w:ind w:right="30"/>
              <w:spacing w:after="0"/>
              <w:rPr>
                <w:sz w:val="20"/>
                <w:szCs w:val="20"/>
                <w:color w:val="auto"/>
              </w:rPr>
            </w:pPr>
            <w:r>
              <w:rPr>
                <w:rFonts w:ascii="Arial" w:cs="Arial" w:eastAsia="Arial" w:hAnsi="Arial"/>
                <w:sz w:val="14"/>
                <w:szCs w:val="14"/>
                <w:color w:val="auto"/>
              </w:rPr>
              <w:t>11,850</w:t>
            </w:r>
          </w:p>
        </w:tc>
        <w:tc>
          <w:tcPr>
            <w:tcW w:w="820" w:type="dxa"/>
            <w:vAlign w:val="bottom"/>
            <w:shd w:val="clear" w:color="auto" w:fill="E5EAF5"/>
          </w:tcPr>
          <w:p>
            <w:pPr>
              <w:jc w:val="right"/>
              <w:spacing w:after="0"/>
              <w:rPr>
                <w:sz w:val="20"/>
                <w:szCs w:val="20"/>
                <w:color w:val="auto"/>
              </w:rPr>
            </w:pPr>
            <w:r>
              <w:rPr>
                <w:rFonts w:ascii="Arial" w:cs="Arial" w:eastAsia="Arial" w:hAnsi="Arial"/>
                <w:sz w:val="14"/>
                <w:szCs w:val="14"/>
                <w:color w:val="auto"/>
              </w:rPr>
              <w:t>1,665,815</w:t>
            </w:r>
          </w:p>
        </w:tc>
        <w:tc>
          <w:tcPr>
            <w:tcW w:w="120" w:type="dxa"/>
            <w:vAlign w:val="bottom"/>
            <w:shd w:val="clear" w:color="auto" w:fill="E5EAF5"/>
          </w:tcPr>
          <w:p>
            <w:pPr>
              <w:spacing w:after="0"/>
              <w:rPr>
                <w:sz w:val="14"/>
                <w:szCs w:val="14"/>
                <w:color w:val="auto"/>
              </w:rPr>
            </w:pPr>
          </w:p>
        </w:tc>
      </w:tr>
      <w:tr>
        <w:trPr>
          <w:trHeight w:val="169"/>
        </w:trPr>
        <w:tc>
          <w:tcPr>
            <w:tcW w:w="3200" w:type="dxa"/>
            <w:vAlign w:val="bottom"/>
            <w:tcBorders>
              <w:bottom w:val="single" w:sz="8" w:color="E5EAF5"/>
            </w:tcBorders>
            <w:shd w:val="clear" w:color="auto" w:fill="E5EAF5"/>
          </w:tcPr>
          <w:p>
            <w:pPr>
              <w:spacing w:after="0"/>
              <w:rPr>
                <w:sz w:val="14"/>
                <w:szCs w:val="14"/>
                <w:color w:val="auto"/>
              </w:rPr>
            </w:pPr>
          </w:p>
        </w:tc>
        <w:tc>
          <w:tcPr>
            <w:tcW w:w="560" w:type="dxa"/>
            <w:vAlign w:val="bottom"/>
            <w:tcBorders>
              <w:bottom w:val="single" w:sz="8" w:color="E5EAF5"/>
            </w:tcBorders>
            <w:shd w:val="clear" w:color="auto" w:fill="E5EAF5"/>
          </w:tcPr>
          <w:p>
            <w:pPr>
              <w:jc w:val="right"/>
              <w:spacing w:after="0"/>
              <w:rPr>
                <w:sz w:val="20"/>
                <w:szCs w:val="20"/>
                <w:color w:val="auto"/>
              </w:rPr>
            </w:pPr>
            <w:r>
              <w:rPr>
                <w:rFonts w:ascii="Arial" w:cs="Arial" w:eastAsia="Arial" w:hAnsi="Arial"/>
                <w:sz w:val="14"/>
                <w:szCs w:val="14"/>
                <w:color w:val="auto"/>
              </w:rPr>
              <w:t>2016</w:t>
            </w:r>
          </w:p>
        </w:tc>
        <w:tc>
          <w:tcPr>
            <w:tcW w:w="920" w:type="dxa"/>
            <w:vAlign w:val="bottom"/>
            <w:tcBorders>
              <w:bottom w:val="single" w:sz="8" w:color="E5EAF5"/>
            </w:tcBorders>
            <w:shd w:val="clear" w:color="auto" w:fill="E5EAF5"/>
          </w:tcPr>
          <w:p>
            <w:pPr>
              <w:ind w:left="260"/>
              <w:spacing w:after="0"/>
              <w:rPr>
                <w:sz w:val="20"/>
                <w:szCs w:val="20"/>
                <w:color w:val="auto"/>
              </w:rPr>
            </w:pPr>
            <w:r>
              <w:rPr>
                <w:rFonts w:ascii="Arial" w:cs="Arial" w:eastAsia="Arial" w:hAnsi="Arial"/>
                <w:sz w:val="14"/>
                <w:szCs w:val="14"/>
                <w:color w:val="auto"/>
              </w:rPr>
              <w:t>480,000</w:t>
            </w:r>
          </w:p>
        </w:tc>
        <w:tc>
          <w:tcPr>
            <w:tcW w:w="920" w:type="dxa"/>
            <w:vAlign w:val="bottom"/>
            <w:tcBorders>
              <w:bottom w:val="single" w:sz="8" w:color="E5EAF5"/>
            </w:tcBorders>
            <w:shd w:val="clear" w:color="auto" w:fill="E5EAF5"/>
          </w:tcPr>
          <w:p>
            <w:pPr>
              <w:jc w:val="right"/>
              <w:ind w:right="70"/>
              <w:spacing w:after="0"/>
              <w:rPr>
                <w:sz w:val="20"/>
                <w:szCs w:val="20"/>
                <w:color w:val="auto"/>
              </w:rPr>
            </w:pPr>
            <w:r>
              <w:rPr>
                <w:rFonts w:ascii="Arial" w:cs="Arial" w:eastAsia="Arial" w:hAnsi="Arial"/>
                <w:sz w:val="14"/>
                <w:szCs w:val="14"/>
                <w:color w:val="auto"/>
              </w:rPr>
              <w:t>545,164</w:t>
            </w:r>
          </w:p>
        </w:tc>
        <w:tc>
          <w:tcPr>
            <w:tcW w:w="900" w:type="dxa"/>
            <w:vAlign w:val="bottom"/>
            <w:tcBorders>
              <w:bottom w:val="single" w:sz="8" w:color="E5EAF5"/>
            </w:tcBorders>
            <w:shd w:val="clear" w:color="auto" w:fill="E5EAF5"/>
          </w:tcPr>
          <w:p>
            <w:pPr>
              <w:jc w:val="right"/>
              <w:ind w:right="5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E5EAF5"/>
            </w:tcBorders>
            <w:shd w:val="clear" w:color="auto" w:fill="E5EAF5"/>
          </w:tcPr>
          <w:p>
            <w:pPr>
              <w:jc w:val="right"/>
              <w:ind w:right="50"/>
              <w:spacing w:after="0"/>
              <w:rPr>
                <w:sz w:val="20"/>
                <w:szCs w:val="20"/>
                <w:color w:val="auto"/>
              </w:rPr>
            </w:pPr>
            <w:r>
              <w:rPr>
                <w:rFonts w:ascii="Arial" w:cs="Arial" w:eastAsia="Arial" w:hAnsi="Arial"/>
                <w:sz w:val="14"/>
                <w:szCs w:val="14"/>
                <w:color w:val="auto"/>
              </w:rPr>
              <w:t>236,184</w:t>
            </w:r>
          </w:p>
        </w:tc>
        <w:tc>
          <w:tcPr>
            <w:tcW w:w="1120" w:type="dxa"/>
            <w:vAlign w:val="bottom"/>
            <w:tcBorders>
              <w:bottom w:val="single" w:sz="8" w:color="E5EAF5"/>
            </w:tcBorders>
            <w:shd w:val="clear" w:color="auto" w:fill="E5EAF5"/>
          </w:tcPr>
          <w:p>
            <w:pPr>
              <w:jc w:val="right"/>
              <w:ind w:right="51"/>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E5EAF5"/>
            </w:tcBorders>
            <w:shd w:val="clear" w:color="auto" w:fill="E5EAF5"/>
          </w:tcPr>
          <w:p>
            <w:pPr>
              <w:jc w:val="right"/>
              <w:ind w:right="30"/>
              <w:spacing w:after="0"/>
              <w:rPr>
                <w:sz w:val="20"/>
                <w:szCs w:val="20"/>
                <w:color w:val="auto"/>
              </w:rPr>
            </w:pPr>
            <w:r>
              <w:rPr>
                <w:rFonts w:ascii="Arial" w:cs="Arial" w:eastAsia="Arial" w:hAnsi="Arial"/>
                <w:sz w:val="14"/>
                <w:szCs w:val="14"/>
                <w:color w:val="auto"/>
              </w:rPr>
              <w:t>137,156</w:t>
            </w:r>
          </w:p>
        </w:tc>
        <w:tc>
          <w:tcPr>
            <w:tcW w:w="820" w:type="dxa"/>
            <w:vAlign w:val="bottom"/>
            <w:tcBorders>
              <w:bottom w:val="single" w:sz="8" w:color="E5EAF5"/>
            </w:tcBorders>
            <w:shd w:val="clear" w:color="auto" w:fill="E5EAF5"/>
          </w:tcPr>
          <w:p>
            <w:pPr>
              <w:jc w:val="right"/>
              <w:spacing w:after="0"/>
              <w:rPr>
                <w:sz w:val="20"/>
                <w:szCs w:val="20"/>
                <w:color w:val="auto"/>
              </w:rPr>
            </w:pPr>
            <w:r>
              <w:rPr>
                <w:rFonts w:ascii="Arial" w:cs="Arial" w:eastAsia="Arial" w:hAnsi="Arial"/>
                <w:sz w:val="14"/>
                <w:szCs w:val="14"/>
                <w:color w:val="auto"/>
              </w:rPr>
              <w:t>1,398,504</w:t>
            </w:r>
          </w:p>
        </w:tc>
        <w:tc>
          <w:tcPr>
            <w:tcW w:w="120" w:type="dxa"/>
            <w:vAlign w:val="bottom"/>
            <w:shd w:val="clear" w:color="auto" w:fill="E5EAF5"/>
          </w:tcPr>
          <w:p>
            <w:pPr>
              <w:spacing w:after="0"/>
              <w:rPr>
                <w:sz w:val="14"/>
                <w:szCs w:val="14"/>
                <w:color w:val="auto"/>
              </w:rPr>
            </w:pPr>
          </w:p>
        </w:tc>
      </w:tr>
      <w:tr>
        <w:trPr>
          <w:trHeight w:val="167"/>
        </w:trPr>
        <w:tc>
          <w:tcPr>
            <w:tcW w:w="3200" w:type="dxa"/>
            <w:vAlign w:val="bottom"/>
          </w:tcPr>
          <w:p>
            <w:pPr>
              <w:ind w:left="60"/>
              <w:spacing w:after="0" w:line="167" w:lineRule="exact"/>
              <w:rPr>
                <w:sz w:val="20"/>
                <w:szCs w:val="20"/>
                <w:color w:val="auto"/>
              </w:rPr>
            </w:pPr>
            <w:r>
              <w:rPr>
                <w:rFonts w:ascii="Arial" w:cs="Arial" w:eastAsia="Arial" w:hAnsi="Arial"/>
                <w:sz w:val="12"/>
                <w:szCs w:val="12"/>
                <w:color w:val="auto"/>
              </w:rPr>
              <w:t>McAlister C. Marshall, II</w:t>
            </w:r>
            <w:r>
              <w:rPr>
                <w:rFonts w:ascii="Arial" w:cs="Arial" w:eastAsia="Arial" w:hAnsi="Arial"/>
                <w:sz w:val="19"/>
                <w:szCs w:val="19"/>
                <w:color w:val="auto"/>
                <w:vertAlign w:val="superscript"/>
              </w:rPr>
              <w:t>(1)</w:t>
            </w:r>
          </w:p>
        </w:tc>
        <w:tc>
          <w:tcPr>
            <w:tcW w:w="560" w:type="dxa"/>
            <w:vAlign w:val="bottom"/>
          </w:tcPr>
          <w:p>
            <w:pPr>
              <w:jc w:val="right"/>
              <w:spacing w:after="0"/>
              <w:rPr>
                <w:sz w:val="20"/>
                <w:szCs w:val="20"/>
                <w:color w:val="auto"/>
              </w:rPr>
            </w:pPr>
            <w:r>
              <w:rPr>
                <w:rFonts w:ascii="Arial" w:cs="Arial" w:eastAsia="Arial" w:hAnsi="Arial"/>
                <w:sz w:val="14"/>
                <w:szCs w:val="14"/>
                <w:color w:val="auto"/>
              </w:rPr>
              <w:t>2018</w:t>
            </w:r>
          </w:p>
        </w:tc>
        <w:tc>
          <w:tcPr>
            <w:tcW w:w="920" w:type="dxa"/>
            <w:vAlign w:val="bottom"/>
          </w:tcPr>
          <w:p>
            <w:pPr>
              <w:ind w:left="260"/>
              <w:spacing w:after="0"/>
              <w:rPr>
                <w:sz w:val="20"/>
                <w:szCs w:val="20"/>
                <w:color w:val="auto"/>
              </w:rPr>
            </w:pPr>
            <w:r>
              <w:rPr>
                <w:rFonts w:ascii="Arial" w:cs="Arial" w:eastAsia="Arial" w:hAnsi="Arial"/>
                <w:sz w:val="14"/>
                <w:szCs w:val="14"/>
                <w:color w:val="auto"/>
              </w:rPr>
              <w:t>502,183</w:t>
            </w:r>
          </w:p>
        </w:tc>
        <w:tc>
          <w:tcPr>
            <w:tcW w:w="920" w:type="dxa"/>
            <w:vAlign w:val="bottom"/>
          </w:tcPr>
          <w:p>
            <w:pPr>
              <w:jc w:val="right"/>
              <w:ind w:right="70"/>
              <w:spacing w:after="0"/>
              <w:rPr>
                <w:sz w:val="20"/>
                <w:szCs w:val="20"/>
                <w:color w:val="auto"/>
              </w:rPr>
            </w:pPr>
            <w:r>
              <w:rPr>
                <w:rFonts w:ascii="Arial" w:cs="Arial" w:eastAsia="Arial" w:hAnsi="Arial"/>
                <w:sz w:val="14"/>
                <w:szCs w:val="14"/>
                <w:color w:val="auto"/>
              </w:rPr>
              <w:t>562,309</w:t>
            </w:r>
          </w:p>
        </w:tc>
        <w:tc>
          <w:tcPr>
            <w:tcW w:w="900" w:type="dxa"/>
            <w:vAlign w:val="bottom"/>
          </w:tcPr>
          <w:p>
            <w:pPr>
              <w:jc w:val="right"/>
              <w:ind w:right="50"/>
              <w:spacing w:after="0"/>
              <w:rPr>
                <w:sz w:val="20"/>
                <w:szCs w:val="20"/>
                <w:color w:val="auto"/>
              </w:rPr>
            </w:pPr>
            <w:r>
              <w:rPr>
                <w:rFonts w:ascii="Arial" w:cs="Arial" w:eastAsia="Arial" w:hAnsi="Arial"/>
                <w:sz w:val="14"/>
                <w:szCs w:val="14"/>
                <w:color w:val="auto"/>
              </w:rPr>
              <w:t>187,497</w:t>
            </w:r>
          </w:p>
        </w:tc>
        <w:tc>
          <w:tcPr>
            <w:tcW w:w="1240" w:type="dxa"/>
            <w:vAlign w:val="bottom"/>
          </w:tcPr>
          <w:p>
            <w:pPr>
              <w:jc w:val="right"/>
              <w:ind w:right="50"/>
              <w:spacing w:after="0"/>
              <w:rPr>
                <w:sz w:val="20"/>
                <w:szCs w:val="20"/>
                <w:color w:val="auto"/>
              </w:rPr>
            </w:pPr>
            <w:r>
              <w:rPr>
                <w:rFonts w:ascii="Arial" w:cs="Arial" w:eastAsia="Arial" w:hAnsi="Arial"/>
                <w:sz w:val="14"/>
                <w:szCs w:val="14"/>
                <w:color w:val="auto"/>
              </w:rPr>
              <w:t>387,855</w:t>
            </w:r>
          </w:p>
        </w:tc>
        <w:tc>
          <w:tcPr>
            <w:tcW w:w="11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30"/>
              <w:spacing w:after="0"/>
              <w:rPr>
                <w:sz w:val="20"/>
                <w:szCs w:val="20"/>
                <w:color w:val="auto"/>
              </w:rPr>
            </w:pPr>
            <w:r>
              <w:rPr>
                <w:rFonts w:ascii="Arial" w:cs="Arial" w:eastAsia="Arial" w:hAnsi="Arial"/>
                <w:sz w:val="14"/>
                <w:szCs w:val="14"/>
                <w:color w:val="auto"/>
              </w:rPr>
              <w:t>114,632</w:t>
            </w:r>
          </w:p>
        </w:tc>
        <w:tc>
          <w:tcPr>
            <w:tcW w:w="820" w:type="dxa"/>
            <w:vAlign w:val="bottom"/>
          </w:tcPr>
          <w:p>
            <w:pPr>
              <w:jc w:val="right"/>
              <w:spacing w:after="0"/>
              <w:rPr>
                <w:sz w:val="20"/>
                <w:szCs w:val="20"/>
                <w:color w:val="auto"/>
              </w:rPr>
            </w:pPr>
            <w:r>
              <w:rPr>
                <w:rFonts w:ascii="Arial" w:cs="Arial" w:eastAsia="Arial" w:hAnsi="Arial"/>
                <w:sz w:val="14"/>
                <w:szCs w:val="14"/>
                <w:color w:val="auto"/>
              </w:rPr>
              <w:t>1,754,476</w:t>
            </w:r>
          </w:p>
        </w:tc>
        <w:tc>
          <w:tcPr>
            <w:tcW w:w="120" w:type="dxa"/>
            <w:vAlign w:val="bottom"/>
          </w:tcPr>
          <w:p>
            <w:pPr>
              <w:spacing w:after="0"/>
              <w:rPr>
                <w:sz w:val="14"/>
                <w:szCs w:val="14"/>
                <w:color w:val="auto"/>
              </w:rPr>
            </w:pPr>
          </w:p>
        </w:tc>
      </w:tr>
      <w:tr>
        <w:trPr>
          <w:trHeight w:val="162"/>
        </w:trPr>
        <w:tc>
          <w:tcPr>
            <w:tcW w:w="3200" w:type="dxa"/>
            <w:vAlign w:val="bottom"/>
          </w:tcPr>
          <w:p>
            <w:pPr>
              <w:ind w:left="220"/>
              <w:spacing w:after="0"/>
              <w:rPr>
                <w:sz w:val="20"/>
                <w:szCs w:val="20"/>
                <w:color w:val="auto"/>
              </w:rPr>
            </w:pPr>
            <w:r>
              <w:rPr>
                <w:rFonts w:ascii="Arial" w:cs="Arial" w:eastAsia="Arial" w:hAnsi="Arial"/>
                <w:sz w:val="14"/>
                <w:szCs w:val="14"/>
                <w:color w:val="auto"/>
              </w:rPr>
              <w:t>Former Senior Vice   President and General</w:t>
            </w:r>
          </w:p>
        </w:tc>
        <w:tc>
          <w:tcPr>
            <w:tcW w:w="560" w:type="dxa"/>
            <w:vAlign w:val="bottom"/>
          </w:tcPr>
          <w:p>
            <w:pPr>
              <w:jc w:val="right"/>
              <w:spacing w:after="0"/>
              <w:rPr>
                <w:sz w:val="20"/>
                <w:szCs w:val="20"/>
                <w:color w:val="auto"/>
              </w:rPr>
            </w:pPr>
            <w:r>
              <w:rPr>
                <w:rFonts w:ascii="Arial" w:cs="Arial" w:eastAsia="Arial" w:hAnsi="Arial"/>
                <w:sz w:val="14"/>
                <w:szCs w:val="14"/>
                <w:color w:val="auto"/>
              </w:rPr>
              <w:t>2017</w:t>
            </w:r>
          </w:p>
        </w:tc>
        <w:tc>
          <w:tcPr>
            <w:tcW w:w="920" w:type="dxa"/>
            <w:vAlign w:val="bottom"/>
          </w:tcPr>
          <w:p>
            <w:pPr>
              <w:ind w:left="260"/>
              <w:spacing w:after="0"/>
              <w:rPr>
                <w:sz w:val="20"/>
                <w:szCs w:val="20"/>
                <w:color w:val="auto"/>
              </w:rPr>
            </w:pPr>
            <w:r>
              <w:rPr>
                <w:rFonts w:ascii="Arial" w:cs="Arial" w:eastAsia="Arial" w:hAnsi="Arial"/>
                <w:sz w:val="14"/>
                <w:szCs w:val="14"/>
                <w:color w:val="auto"/>
              </w:rPr>
              <w:t>463,100</w:t>
            </w:r>
          </w:p>
        </w:tc>
        <w:tc>
          <w:tcPr>
            <w:tcW w:w="920" w:type="dxa"/>
            <w:vAlign w:val="bottom"/>
          </w:tcPr>
          <w:p>
            <w:pPr>
              <w:jc w:val="right"/>
              <w:ind w:right="70"/>
              <w:spacing w:after="0"/>
              <w:rPr>
                <w:sz w:val="20"/>
                <w:szCs w:val="20"/>
                <w:color w:val="auto"/>
              </w:rPr>
            </w:pPr>
            <w:r>
              <w:rPr>
                <w:rFonts w:ascii="Arial" w:cs="Arial" w:eastAsia="Arial" w:hAnsi="Arial"/>
                <w:sz w:val="14"/>
                <w:szCs w:val="14"/>
                <w:color w:val="auto"/>
              </w:rPr>
              <w:t>487,420</w:t>
            </w:r>
          </w:p>
        </w:tc>
        <w:tc>
          <w:tcPr>
            <w:tcW w:w="900" w:type="dxa"/>
            <w:vAlign w:val="bottom"/>
          </w:tcPr>
          <w:p>
            <w:pPr>
              <w:jc w:val="right"/>
              <w:ind w:right="50"/>
              <w:spacing w:after="0"/>
              <w:rPr>
                <w:sz w:val="20"/>
                <w:szCs w:val="20"/>
                <w:color w:val="auto"/>
              </w:rPr>
            </w:pPr>
            <w:r>
              <w:rPr>
                <w:rFonts w:ascii="Arial" w:cs="Arial" w:eastAsia="Arial" w:hAnsi="Arial"/>
                <w:sz w:val="14"/>
                <w:szCs w:val="14"/>
                <w:color w:val="auto"/>
              </w:rPr>
              <w:t>162,493</w:t>
            </w:r>
          </w:p>
        </w:tc>
        <w:tc>
          <w:tcPr>
            <w:tcW w:w="1240" w:type="dxa"/>
            <w:vAlign w:val="bottom"/>
          </w:tcPr>
          <w:p>
            <w:pPr>
              <w:jc w:val="right"/>
              <w:ind w:right="50"/>
              <w:spacing w:after="0"/>
              <w:rPr>
                <w:sz w:val="20"/>
                <w:szCs w:val="20"/>
                <w:color w:val="auto"/>
              </w:rPr>
            </w:pPr>
            <w:r>
              <w:rPr>
                <w:rFonts w:ascii="Arial" w:cs="Arial" w:eastAsia="Arial" w:hAnsi="Arial"/>
                <w:sz w:val="14"/>
                <w:szCs w:val="14"/>
                <w:color w:val="auto"/>
              </w:rPr>
              <w:t>504,140</w:t>
            </w:r>
          </w:p>
        </w:tc>
        <w:tc>
          <w:tcPr>
            <w:tcW w:w="1120" w:type="dxa"/>
            <w:vAlign w:val="bottom"/>
          </w:tcPr>
          <w:p>
            <w:pPr>
              <w:jc w:val="right"/>
              <w:ind w:right="51"/>
              <w:spacing w:after="0"/>
              <w:rPr>
                <w:sz w:val="20"/>
                <w:szCs w:val="20"/>
                <w:color w:val="auto"/>
              </w:rPr>
            </w:pPr>
            <w:r>
              <w:rPr>
                <w:rFonts w:ascii="Arial" w:cs="Arial" w:eastAsia="Arial" w:hAnsi="Arial"/>
                <w:sz w:val="14"/>
                <w:szCs w:val="14"/>
                <w:color w:val="auto"/>
              </w:rPr>
              <w:t>24,861</w:t>
            </w:r>
          </w:p>
        </w:tc>
        <w:tc>
          <w:tcPr>
            <w:tcW w:w="1220" w:type="dxa"/>
            <w:vAlign w:val="bottom"/>
          </w:tcPr>
          <w:p>
            <w:pPr>
              <w:jc w:val="right"/>
              <w:ind w:right="30"/>
              <w:spacing w:after="0"/>
              <w:rPr>
                <w:sz w:val="20"/>
                <w:szCs w:val="20"/>
                <w:color w:val="auto"/>
              </w:rPr>
            </w:pPr>
            <w:r>
              <w:rPr>
                <w:rFonts w:ascii="Arial" w:cs="Arial" w:eastAsia="Arial" w:hAnsi="Arial"/>
                <w:sz w:val="14"/>
                <w:szCs w:val="14"/>
                <w:color w:val="auto"/>
              </w:rPr>
              <w:t>84,386</w:t>
            </w:r>
          </w:p>
        </w:tc>
        <w:tc>
          <w:tcPr>
            <w:tcW w:w="820" w:type="dxa"/>
            <w:vAlign w:val="bottom"/>
          </w:tcPr>
          <w:p>
            <w:pPr>
              <w:jc w:val="right"/>
              <w:spacing w:after="0"/>
              <w:rPr>
                <w:sz w:val="20"/>
                <w:szCs w:val="20"/>
                <w:color w:val="auto"/>
              </w:rPr>
            </w:pPr>
            <w:r>
              <w:rPr>
                <w:rFonts w:ascii="Arial" w:cs="Arial" w:eastAsia="Arial" w:hAnsi="Arial"/>
                <w:sz w:val="14"/>
                <w:szCs w:val="14"/>
                <w:color w:val="auto"/>
              </w:rPr>
              <w:t>1,726,400</w:t>
            </w:r>
          </w:p>
        </w:tc>
        <w:tc>
          <w:tcPr>
            <w:tcW w:w="120" w:type="dxa"/>
            <w:vAlign w:val="bottom"/>
          </w:tcPr>
          <w:p>
            <w:pPr>
              <w:spacing w:after="0"/>
              <w:rPr>
                <w:sz w:val="14"/>
                <w:szCs w:val="14"/>
                <w:color w:val="auto"/>
              </w:rPr>
            </w:pPr>
          </w:p>
        </w:tc>
      </w:tr>
      <w:tr>
        <w:trPr>
          <w:trHeight w:val="192"/>
        </w:trPr>
        <w:tc>
          <w:tcPr>
            <w:tcW w:w="3200" w:type="dxa"/>
            <w:vAlign w:val="bottom"/>
          </w:tcPr>
          <w:p>
            <w:pPr>
              <w:ind w:left="220"/>
              <w:spacing w:after="0"/>
              <w:rPr>
                <w:sz w:val="20"/>
                <w:szCs w:val="20"/>
                <w:color w:val="auto"/>
              </w:rPr>
            </w:pPr>
            <w:r>
              <w:rPr>
                <w:rFonts w:ascii="Arial" w:cs="Arial" w:eastAsia="Arial" w:hAnsi="Arial"/>
                <w:sz w:val="14"/>
                <w:szCs w:val="14"/>
                <w:color w:val="auto"/>
              </w:rPr>
              <w:t>Counsel</w:t>
            </w:r>
          </w:p>
        </w:tc>
        <w:tc>
          <w:tcPr>
            <w:tcW w:w="560" w:type="dxa"/>
            <w:vAlign w:val="bottom"/>
          </w:tcPr>
          <w:p>
            <w:pPr>
              <w:jc w:val="right"/>
              <w:spacing w:after="0"/>
              <w:rPr>
                <w:sz w:val="20"/>
                <w:szCs w:val="20"/>
                <w:color w:val="auto"/>
              </w:rPr>
            </w:pPr>
            <w:r>
              <w:rPr>
                <w:rFonts w:ascii="Arial" w:cs="Arial" w:eastAsia="Arial" w:hAnsi="Arial"/>
                <w:sz w:val="14"/>
                <w:szCs w:val="14"/>
                <w:color w:val="auto"/>
              </w:rPr>
              <w:t>2016</w:t>
            </w:r>
          </w:p>
        </w:tc>
        <w:tc>
          <w:tcPr>
            <w:tcW w:w="920" w:type="dxa"/>
            <w:vAlign w:val="bottom"/>
          </w:tcPr>
          <w:p>
            <w:pPr>
              <w:ind w:left="260"/>
              <w:spacing w:after="0"/>
              <w:rPr>
                <w:sz w:val="20"/>
                <w:szCs w:val="20"/>
                <w:color w:val="auto"/>
              </w:rPr>
            </w:pPr>
            <w:r>
              <w:rPr>
                <w:rFonts w:ascii="Arial" w:cs="Arial" w:eastAsia="Arial" w:hAnsi="Arial"/>
                <w:sz w:val="14"/>
                <w:szCs w:val="14"/>
                <w:color w:val="auto"/>
              </w:rPr>
              <w:t>423,871</w:t>
            </w:r>
          </w:p>
        </w:tc>
        <w:tc>
          <w:tcPr>
            <w:tcW w:w="920" w:type="dxa"/>
            <w:vAlign w:val="bottom"/>
          </w:tcPr>
          <w:p>
            <w:pPr>
              <w:jc w:val="right"/>
              <w:ind w:right="70"/>
              <w:spacing w:after="0"/>
              <w:rPr>
                <w:sz w:val="20"/>
                <w:szCs w:val="20"/>
                <w:color w:val="auto"/>
              </w:rPr>
            </w:pPr>
            <w:r>
              <w:rPr>
                <w:rFonts w:ascii="Arial" w:cs="Arial" w:eastAsia="Arial" w:hAnsi="Arial"/>
                <w:sz w:val="14"/>
                <w:szCs w:val="14"/>
                <w:color w:val="auto"/>
              </w:rPr>
              <w:t>753,074</w:t>
            </w:r>
          </w:p>
        </w:tc>
        <w:tc>
          <w:tcPr>
            <w:tcW w:w="90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50"/>
              <w:spacing w:after="0"/>
              <w:rPr>
                <w:sz w:val="20"/>
                <w:szCs w:val="20"/>
                <w:color w:val="auto"/>
              </w:rPr>
            </w:pPr>
            <w:r>
              <w:rPr>
                <w:rFonts w:ascii="Arial" w:cs="Arial" w:eastAsia="Arial" w:hAnsi="Arial"/>
                <w:sz w:val="14"/>
                <w:szCs w:val="14"/>
                <w:color w:val="auto"/>
              </w:rPr>
              <w:t>267,903</w:t>
            </w:r>
          </w:p>
        </w:tc>
        <w:tc>
          <w:tcPr>
            <w:tcW w:w="1120" w:type="dxa"/>
            <w:vAlign w:val="bottom"/>
          </w:tcPr>
          <w:p>
            <w:pPr>
              <w:jc w:val="right"/>
              <w:ind w:right="51"/>
              <w:spacing w:after="0"/>
              <w:rPr>
                <w:sz w:val="20"/>
                <w:szCs w:val="20"/>
                <w:color w:val="auto"/>
              </w:rPr>
            </w:pPr>
            <w:r>
              <w:rPr>
                <w:rFonts w:ascii="Arial" w:cs="Arial" w:eastAsia="Arial" w:hAnsi="Arial"/>
                <w:sz w:val="14"/>
                <w:szCs w:val="14"/>
                <w:color w:val="auto"/>
              </w:rPr>
              <w:t>10,288</w:t>
            </w:r>
          </w:p>
        </w:tc>
        <w:tc>
          <w:tcPr>
            <w:tcW w:w="1220" w:type="dxa"/>
            <w:vAlign w:val="bottom"/>
          </w:tcPr>
          <w:p>
            <w:pPr>
              <w:jc w:val="right"/>
              <w:ind w:right="30"/>
              <w:spacing w:after="0"/>
              <w:rPr>
                <w:sz w:val="20"/>
                <w:szCs w:val="20"/>
                <w:color w:val="auto"/>
              </w:rPr>
            </w:pPr>
            <w:r>
              <w:rPr>
                <w:rFonts w:ascii="Arial" w:cs="Arial" w:eastAsia="Arial" w:hAnsi="Arial"/>
                <w:sz w:val="14"/>
                <w:szCs w:val="14"/>
                <w:color w:val="auto"/>
              </w:rPr>
              <w:t>105,284</w:t>
            </w:r>
          </w:p>
        </w:tc>
        <w:tc>
          <w:tcPr>
            <w:tcW w:w="820" w:type="dxa"/>
            <w:vAlign w:val="bottom"/>
          </w:tcPr>
          <w:p>
            <w:pPr>
              <w:jc w:val="right"/>
              <w:spacing w:after="0"/>
              <w:rPr>
                <w:sz w:val="20"/>
                <w:szCs w:val="20"/>
                <w:color w:val="auto"/>
              </w:rPr>
            </w:pPr>
            <w:r>
              <w:rPr>
                <w:rFonts w:ascii="Arial" w:cs="Arial" w:eastAsia="Arial" w:hAnsi="Arial"/>
                <w:sz w:val="14"/>
                <w:szCs w:val="14"/>
                <w:color w:val="auto"/>
              </w:rPr>
              <w:t>1,560,420</w:t>
            </w:r>
          </w:p>
        </w:tc>
        <w:tc>
          <w:tcPr>
            <w:tcW w:w="120" w:type="dxa"/>
            <w:vAlign w:val="bottom"/>
          </w:tcPr>
          <w:p>
            <w:pPr>
              <w:spacing w:after="0"/>
              <w:rPr>
                <w:sz w:val="16"/>
                <w:szCs w:val="16"/>
                <w:color w:val="auto"/>
              </w:rPr>
            </w:pPr>
          </w:p>
        </w:tc>
      </w:tr>
      <w:tr>
        <w:trPr>
          <w:trHeight w:val="168"/>
        </w:trPr>
        <w:tc>
          <w:tcPr>
            <w:tcW w:w="3200" w:type="dxa"/>
            <w:vAlign w:val="bottom"/>
            <w:shd w:val="clear" w:color="auto" w:fill="E5EAF5"/>
          </w:tcPr>
          <w:p>
            <w:pPr>
              <w:ind w:left="60"/>
              <w:spacing w:after="0" w:line="168" w:lineRule="exact"/>
              <w:rPr>
                <w:sz w:val="20"/>
                <w:szCs w:val="20"/>
                <w:color w:val="auto"/>
              </w:rPr>
            </w:pPr>
            <w:r>
              <w:rPr>
                <w:rFonts w:ascii="Arial" w:cs="Arial" w:eastAsia="Arial" w:hAnsi="Arial"/>
                <w:sz w:val="12"/>
                <w:szCs w:val="12"/>
                <w:color w:val="auto"/>
              </w:rPr>
              <w:t>Amit Zukerman</w:t>
            </w:r>
            <w:r>
              <w:rPr>
                <w:rFonts w:ascii="Arial" w:cs="Arial" w:eastAsia="Arial" w:hAnsi="Arial"/>
                <w:sz w:val="19"/>
                <w:szCs w:val="19"/>
                <w:color w:val="auto"/>
                <w:vertAlign w:val="superscript"/>
              </w:rPr>
              <w:t>(2)</w:t>
            </w:r>
          </w:p>
        </w:tc>
        <w:tc>
          <w:tcPr>
            <w:tcW w:w="560" w:type="dxa"/>
            <w:vAlign w:val="bottom"/>
            <w:shd w:val="clear" w:color="auto" w:fill="E5EAF5"/>
          </w:tcPr>
          <w:p>
            <w:pPr>
              <w:jc w:val="right"/>
              <w:spacing w:after="0"/>
              <w:rPr>
                <w:sz w:val="20"/>
                <w:szCs w:val="20"/>
                <w:color w:val="auto"/>
              </w:rPr>
            </w:pPr>
            <w:r>
              <w:rPr>
                <w:rFonts w:ascii="Arial" w:cs="Arial" w:eastAsia="Arial" w:hAnsi="Arial"/>
                <w:sz w:val="14"/>
                <w:szCs w:val="14"/>
                <w:color w:val="auto"/>
              </w:rPr>
              <w:t>2018</w:t>
            </w:r>
          </w:p>
        </w:tc>
        <w:tc>
          <w:tcPr>
            <w:tcW w:w="920" w:type="dxa"/>
            <w:vAlign w:val="bottom"/>
            <w:shd w:val="clear" w:color="auto" w:fill="E5EAF5"/>
          </w:tcPr>
          <w:p>
            <w:pPr>
              <w:ind w:left="260"/>
              <w:spacing w:after="0"/>
              <w:rPr>
                <w:sz w:val="20"/>
                <w:szCs w:val="20"/>
                <w:color w:val="auto"/>
              </w:rPr>
            </w:pPr>
            <w:r>
              <w:rPr>
                <w:rFonts w:ascii="Arial" w:cs="Arial" w:eastAsia="Arial" w:hAnsi="Arial"/>
                <w:sz w:val="14"/>
                <w:szCs w:val="14"/>
                <w:color w:val="auto"/>
              </w:rPr>
              <w:t>612,500</w:t>
            </w:r>
          </w:p>
        </w:tc>
        <w:tc>
          <w:tcPr>
            <w:tcW w:w="920" w:type="dxa"/>
            <w:vAlign w:val="bottom"/>
            <w:shd w:val="clear" w:color="auto" w:fill="E5EAF5"/>
          </w:tcPr>
          <w:p>
            <w:pPr>
              <w:jc w:val="right"/>
              <w:ind w:right="70"/>
              <w:spacing w:after="0"/>
              <w:rPr>
                <w:sz w:val="20"/>
                <w:szCs w:val="20"/>
                <w:color w:val="auto"/>
              </w:rPr>
            </w:pPr>
            <w:r>
              <w:rPr>
                <w:rFonts w:ascii="Arial" w:cs="Arial" w:eastAsia="Arial" w:hAnsi="Arial"/>
                <w:sz w:val="14"/>
                <w:szCs w:val="14"/>
                <w:color w:val="auto"/>
              </w:rPr>
              <w:t>937,406</w:t>
            </w:r>
          </w:p>
        </w:tc>
        <w:tc>
          <w:tcPr>
            <w:tcW w:w="900" w:type="dxa"/>
            <w:vAlign w:val="bottom"/>
            <w:shd w:val="clear" w:color="auto" w:fill="E5EAF5"/>
          </w:tcPr>
          <w:p>
            <w:pPr>
              <w:jc w:val="right"/>
              <w:ind w:right="50"/>
              <w:spacing w:after="0"/>
              <w:rPr>
                <w:sz w:val="20"/>
                <w:szCs w:val="20"/>
                <w:color w:val="auto"/>
              </w:rPr>
            </w:pPr>
            <w:r>
              <w:rPr>
                <w:rFonts w:ascii="Arial" w:cs="Arial" w:eastAsia="Arial" w:hAnsi="Arial"/>
                <w:sz w:val="14"/>
                <w:szCs w:val="14"/>
                <w:color w:val="auto"/>
              </w:rPr>
              <w:t>312,489</w:t>
            </w:r>
          </w:p>
        </w:tc>
        <w:tc>
          <w:tcPr>
            <w:tcW w:w="1240" w:type="dxa"/>
            <w:vAlign w:val="bottom"/>
            <w:shd w:val="clear" w:color="auto" w:fill="E5EAF5"/>
          </w:tcPr>
          <w:p>
            <w:pPr>
              <w:jc w:val="right"/>
              <w:ind w:right="50"/>
              <w:spacing w:after="0"/>
              <w:rPr>
                <w:sz w:val="20"/>
                <w:szCs w:val="20"/>
                <w:color w:val="auto"/>
              </w:rPr>
            </w:pPr>
            <w:r>
              <w:rPr>
                <w:rFonts w:ascii="Arial" w:cs="Arial" w:eastAsia="Arial" w:hAnsi="Arial"/>
                <w:sz w:val="14"/>
                <w:szCs w:val="14"/>
                <w:color w:val="auto"/>
              </w:rPr>
              <w:t>598,444</w:t>
            </w:r>
          </w:p>
        </w:tc>
        <w:tc>
          <w:tcPr>
            <w:tcW w:w="1120" w:type="dxa"/>
            <w:vAlign w:val="bottom"/>
            <w:shd w:val="clear" w:color="auto" w:fill="E5EAF5"/>
          </w:tcPr>
          <w:p>
            <w:pPr>
              <w:jc w:val="right"/>
              <w:ind w:right="51"/>
              <w:spacing w:after="0"/>
              <w:rPr>
                <w:sz w:val="20"/>
                <w:szCs w:val="20"/>
                <w:color w:val="auto"/>
              </w:rPr>
            </w:pPr>
            <w:r>
              <w:rPr>
                <w:rFonts w:ascii="Arial" w:cs="Arial" w:eastAsia="Arial" w:hAnsi="Arial"/>
                <w:sz w:val="14"/>
                <w:szCs w:val="14"/>
                <w:color w:val="auto"/>
              </w:rPr>
              <w:t>31,770</w:t>
            </w:r>
          </w:p>
        </w:tc>
        <w:tc>
          <w:tcPr>
            <w:tcW w:w="1220" w:type="dxa"/>
            <w:vAlign w:val="bottom"/>
            <w:shd w:val="clear" w:color="auto" w:fill="E5EAF5"/>
          </w:tcPr>
          <w:p>
            <w:pPr>
              <w:jc w:val="right"/>
              <w:ind w:right="30"/>
              <w:spacing w:after="0"/>
              <w:rPr>
                <w:sz w:val="20"/>
                <w:szCs w:val="20"/>
                <w:color w:val="auto"/>
              </w:rPr>
            </w:pPr>
            <w:r>
              <w:rPr>
                <w:rFonts w:ascii="Arial" w:cs="Arial" w:eastAsia="Arial" w:hAnsi="Arial"/>
                <w:sz w:val="14"/>
                <w:szCs w:val="14"/>
                <w:color w:val="auto"/>
              </w:rPr>
              <w:t>15,169</w:t>
            </w:r>
          </w:p>
        </w:tc>
        <w:tc>
          <w:tcPr>
            <w:tcW w:w="820" w:type="dxa"/>
            <w:vAlign w:val="bottom"/>
            <w:shd w:val="clear" w:color="auto" w:fill="E5EAF5"/>
          </w:tcPr>
          <w:p>
            <w:pPr>
              <w:jc w:val="right"/>
              <w:spacing w:after="0"/>
              <w:rPr>
                <w:sz w:val="20"/>
                <w:szCs w:val="20"/>
                <w:color w:val="auto"/>
              </w:rPr>
            </w:pPr>
            <w:r>
              <w:rPr>
                <w:rFonts w:ascii="Arial" w:cs="Arial" w:eastAsia="Arial" w:hAnsi="Arial"/>
                <w:sz w:val="14"/>
                <w:szCs w:val="14"/>
                <w:color w:val="auto"/>
              </w:rPr>
              <w:t>2,507,778</w:t>
            </w:r>
          </w:p>
        </w:tc>
        <w:tc>
          <w:tcPr>
            <w:tcW w:w="120" w:type="dxa"/>
            <w:vAlign w:val="bottom"/>
            <w:shd w:val="clear" w:color="auto" w:fill="E5EAF5"/>
          </w:tcPr>
          <w:p>
            <w:pPr>
              <w:spacing w:after="0"/>
              <w:rPr>
                <w:sz w:val="14"/>
                <w:szCs w:val="14"/>
                <w:color w:val="auto"/>
              </w:rPr>
            </w:pPr>
          </w:p>
        </w:tc>
      </w:tr>
      <w:tr>
        <w:trPr>
          <w:trHeight w:val="162"/>
        </w:trPr>
        <w:tc>
          <w:tcPr>
            <w:tcW w:w="3200" w:type="dxa"/>
            <w:vAlign w:val="bottom"/>
            <w:shd w:val="clear" w:color="auto" w:fill="E5EAF5"/>
          </w:tcPr>
          <w:p>
            <w:pPr>
              <w:ind w:left="220"/>
              <w:spacing w:after="0"/>
              <w:rPr>
                <w:sz w:val="20"/>
                <w:szCs w:val="20"/>
                <w:color w:val="auto"/>
              </w:rPr>
            </w:pPr>
            <w:r>
              <w:rPr>
                <w:rFonts w:ascii="Arial" w:cs="Arial" w:eastAsia="Arial" w:hAnsi="Arial"/>
                <w:sz w:val="14"/>
                <w:szCs w:val="14"/>
                <w:color w:val="auto"/>
              </w:rPr>
              <w:t>Executive Vice President</w:t>
            </w:r>
          </w:p>
        </w:tc>
        <w:tc>
          <w:tcPr>
            <w:tcW w:w="560" w:type="dxa"/>
            <w:vAlign w:val="bottom"/>
            <w:shd w:val="clear" w:color="auto" w:fill="E5EAF5"/>
          </w:tcPr>
          <w:p>
            <w:pPr>
              <w:jc w:val="right"/>
              <w:spacing w:after="0"/>
              <w:rPr>
                <w:sz w:val="20"/>
                <w:szCs w:val="20"/>
                <w:color w:val="auto"/>
              </w:rPr>
            </w:pPr>
            <w:r>
              <w:rPr>
                <w:rFonts w:ascii="Arial" w:cs="Arial" w:eastAsia="Arial" w:hAnsi="Arial"/>
                <w:sz w:val="14"/>
                <w:szCs w:val="14"/>
                <w:color w:val="auto"/>
              </w:rPr>
              <w:t>2017</w:t>
            </w:r>
          </w:p>
        </w:tc>
        <w:tc>
          <w:tcPr>
            <w:tcW w:w="920" w:type="dxa"/>
            <w:vAlign w:val="bottom"/>
            <w:shd w:val="clear" w:color="auto" w:fill="E5EAF5"/>
          </w:tcPr>
          <w:p>
            <w:pPr>
              <w:ind w:left="260"/>
              <w:spacing w:after="0"/>
              <w:rPr>
                <w:sz w:val="20"/>
                <w:szCs w:val="20"/>
                <w:color w:val="auto"/>
              </w:rPr>
            </w:pPr>
            <w:r>
              <w:rPr>
                <w:rFonts w:ascii="Arial" w:cs="Arial" w:eastAsia="Arial" w:hAnsi="Arial"/>
                <w:sz w:val="14"/>
                <w:szCs w:val="14"/>
                <w:color w:val="auto"/>
              </w:rPr>
              <w:t>600,000</w:t>
            </w:r>
          </w:p>
        </w:tc>
        <w:tc>
          <w:tcPr>
            <w:tcW w:w="920" w:type="dxa"/>
            <w:vAlign w:val="bottom"/>
            <w:shd w:val="clear" w:color="auto" w:fill="E5EAF5"/>
          </w:tcPr>
          <w:p>
            <w:pPr>
              <w:jc w:val="right"/>
              <w:ind w:right="70"/>
              <w:spacing w:after="0"/>
              <w:rPr>
                <w:sz w:val="20"/>
                <w:szCs w:val="20"/>
                <w:color w:val="auto"/>
              </w:rPr>
            </w:pPr>
            <w:r>
              <w:rPr>
                <w:rFonts w:ascii="Arial" w:cs="Arial" w:eastAsia="Arial" w:hAnsi="Arial"/>
                <w:sz w:val="14"/>
                <w:szCs w:val="14"/>
                <w:color w:val="auto"/>
              </w:rPr>
              <w:t>937,430</w:t>
            </w:r>
          </w:p>
        </w:tc>
        <w:tc>
          <w:tcPr>
            <w:tcW w:w="900" w:type="dxa"/>
            <w:vAlign w:val="bottom"/>
            <w:shd w:val="clear" w:color="auto" w:fill="E5EAF5"/>
          </w:tcPr>
          <w:p>
            <w:pPr>
              <w:jc w:val="right"/>
              <w:ind w:right="50"/>
              <w:spacing w:after="0"/>
              <w:rPr>
                <w:sz w:val="20"/>
                <w:szCs w:val="20"/>
                <w:color w:val="auto"/>
              </w:rPr>
            </w:pPr>
            <w:r>
              <w:rPr>
                <w:rFonts w:ascii="Arial" w:cs="Arial" w:eastAsia="Arial" w:hAnsi="Arial"/>
                <w:sz w:val="14"/>
                <w:szCs w:val="14"/>
                <w:color w:val="auto"/>
              </w:rPr>
              <w:t>312,489</w:t>
            </w:r>
          </w:p>
        </w:tc>
        <w:tc>
          <w:tcPr>
            <w:tcW w:w="1240" w:type="dxa"/>
            <w:vAlign w:val="bottom"/>
            <w:shd w:val="clear" w:color="auto" w:fill="E5EAF5"/>
          </w:tcPr>
          <w:p>
            <w:pPr>
              <w:jc w:val="right"/>
              <w:ind w:right="50"/>
              <w:spacing w:after="0"/>
              <w:rPr>
                <w:sz w:val="20"/>
                <w:szCs w:val="20"/>
                <w:color w:val="auto"/>
              </w:rPr>
            </w:pPr>
            <w:r>
              <w:rPr>
                <w:rFonts w:ascii="Arial" w:cs="Arial" w:eastAsia="Arial" w:hAnsi="Arial"/>
                <w:sz w:val="14"/>
                <w:szCs w:val="14"/>
                <w:color w:val="auto"/>
              </w:rPr>
              <w:t>861,462</w:t>
            </w:r>
          </w:p>
        </w:tc>
        <w:tc>
          <w:tcPr>
            <w:tcW w:w="1120" w:type="dxa"/>
            <w:vAlign w:val="bottom"/>
            <w:shd w:val="clear" w:color="auto" w:fill="E5EAF5"/>
          </w:tcPr>
          <w:p>
            <w:pPr>
              <w:jc w:val="right"/>
              <w:ind w:right="51"/>
              <w:spacing w:after="0"/>
              <w:rPr>
                <w:sz w:val="20"/>
                <w:szCs w:val="20"/>
                <w:color w:val="auto"/>
              </w:rPr>
            </w:pPr>
            <w:r>
              <w:rPr>
                <w:rFonts w:ascii="Arial" w:cs="Arial" w:eastAsia="Arial" w:hAnsi="Arial"/>
                <w:sz w:val="14"/>
                <w:szCs w:val="14"/>
                <w:color w:val="auto"/>
              </w:rPr>
              <w:t>519,718</w:t>
            </w:r>
          </w:p>
        </w:tc>
        <w:tc>
          <w:tcPr>
            <w:tcW w:w="1220" w:type="dxa"/>
            <w:vAlign w:val="bottom"/>
            <w:shd w:val="clear" w:color="auto" w:fill="E5EAF5"/>
          </w:tcPr>
          <w:p>
            <w:pPr>
              <w:jc w:val="right"/>
              <w:ind w:right="30"/>
              <w:spacing w:after="0"/>
              <w:rPr>
                <w:sz w:val="20"/>
                <w:szCs w:val="20"/>
                <w:color w:val="auto"/>
              </w:rPr>
            </w:pPr>
            <w:r>
              <w:rPr>
                <w:rFonts w:ascii="Arial" w:cs="Arial" w:eastAsia="Arial" w:hAnsi="Arial"/>
                <w:sz w:val="14"/>
                <w:szCs w:val="14"/>
                <w:color w:val="auto"/>
              </w:rPr>
              <w:t>18,264</w:t>
            </w:r>
          </w:p>
        </w:tc>
        <w:tc>
          <w:tcPr>
            <w:tcW w:w="820" w:type="dxa"/>
            <w:vAlign w:val="bottom"/>
            <w:shd w:val="clear" w:color="auto" w:fill="E5EAF5"/>
          </w:tcPr>
          <w:p>
            <w:pPr>
              <w:jc w:val="right"/>
              <w:spacing w:after="0"/>
              <w:rPr>
                <w:sz w:val="20"/>
                <w:szCs w:val="20"/>
                <w:color w:val="auto"/>
              </w:rPr>
            </w:pPr>
            <w:r>
              <w:rPr>
                <w:rFonts w:ascii="Arial" w:cs="Arial" w:eastAsia="Arial" w:hAnsi="Arial"/>
                <w:sz w:val="14"/>
                <w:szCs w:val="14"/>
                <w:color w:val="auto"/>
              </w:rPr>
              <w:t>3,249,363</w:t>
            </w:r>
          </w:p>
        </w:tc>
        <w:tc>
          <w:tcPr>
            <w:tcW w:w="120" w:type="dxa"/>
            <w:vAlign w:val="bottom"/>
            <w:shd w:val="clear" w:color="auto" w:fill="E5EAF5"/>
          </w:tcPr>
          <w:p>
            <w:pPr>
              <w:spacing w:after="0"/>
              <w:rPr>
                <w:sz w:val="14"/>
                <w:szCs w:val="14"/>
                <w:color w:val="auto"/>
              </w:rPr>
            </w:pPr>
          </w:p>
        </w:tc>
      </w:tr>
      <w:tr>
        <w:trPr>
          <w:trHeight w:val="169"/>
        </w:trPr>
        <w:tc>
          <w:tcPr>
            <w:tcW w:w="3200" w:type="dxa"/>
            <w:vAlign w:val="bottom"/>
            <w:tcBorders>
              <w:bottom w:val="single" w:sz="8" w:color="0033A0"/>
            </w:tcBorders>
            <w:shd w:val="clear" w:color="auto" w:fill="E5EAF5"/>
          </w:tcPr>
          <w:p>
            <w:pPr>
              <w:spacing w:after="0"/>
              <w:rPr>
                <w:sz w:val="14"/>
                <w:szCs w:val="14"/>
                <w:color w:val="auto"/>
              </w:rPr>
            </w:pPr>
          </w:p>
        </w:tc>
        <w:tc>
          <w:tcPr>
            <w:tcW w:w="560" w:type="dxa"/>
            <w:vAlign w:val="bottom"/>
            <w:tcBorders>
              <w:bottom w:val="single" w:sz="8" w:color="0033A0"/>
            </w:tcBorders>
            <w:shd w:val="clear" w:color="auto" w:fill="E5EAF5"/>
          </w:tcPr>
          <w:p>
            <w:pPr>
              <w:jc w:val="right"/>
              <w:spacing w:after="0"/>
              <w:rPr>
                <w:sz w:val="20"/>
                <w:szCs w:val="20"/>
                <w:color w:val="auto"/>
              </w:rPr>
            </w:pPr>
            <w:r>
              <w:rPr>
                <w:rFonts w:ascii="Arial" w:cs="Arial" w:eastAsia="Arial" w:hAnsi="Arial"/>
                <w:sz w:val="14"/>
                <w:szCs w:val="14"/>
                <w:color w:val="auto"/>
                <w:shd w:val="clear" w:color="auto" w:fill="E5EAF5"/>
              </w:rPr>
              <w:t>2016</w:t>
            </w:r>
          </w:p>
        </w:tc>
        <w:tc>
          <w:tcPr>
            <w:tcW w:w="920" w:type="dxa"/>
            <w:vAlign w:val="bottom"/>
            <w:tcBorders>
              <w:bottom w:val="single" w:sz="8" w:color="0033A0"/>
            </w:tcBorders>
            <w:shd w:val="clear" w:color="auto" w:fill="E5EAF5"/>
          </w:tcPr>
          <w:p>
            <w:pPr>
              <w:ind w:left="260"/>
              <w:spacing w:after="0"/>
              <w:rPr>
                <w:sz w:val="20"/>
                <w:szCs w:val="20"/>
                <w:color w:val="auto"/>
              </w:rPr>
            </w:pPr>
            <w:r>
              <w:rPr>
                <w:rFonts w:ascii="Arial" w:cs="Arial" w:eastAsia="Arial" w:hAnsi="Arial"/>
                <w:sz w:val="14"/>
                <w:szCs w:val="14"/>
                <w:color w:val="auto"/>
              </w:rPr>
              <w:t>571,943</w:t>
            </w:r>
          </w:p>
        </w:tc>
        <w:tc>
          <w:tcPr>
            <w:tcW w:w="920" w:type="dxa"/>
            <w:vAlign w:val="bottom"/>
            <w:tcBorders>
              <w:bottom w:val="single" w:sz="8" w:color="0033A0"/>
            </w:tcBorders>
            <w:shd w:val="clear" w:color="auto" w:fill="E5EAF5"/>
          </w:tcPr>
          <w:p>
            <w:pPr>
              <w:jc w:val="right"/>
              <w:ind w:right="70"/>
              <w:spacing w:after="0"/>
              <w:rPr>
                <w:sz w:val="20"/>
                <w:szCs w:val="20"/>
                <w:color w:val="auto"/>
              </w:rPr>
            </w:pPr>
            <w:r>
              <w:rPr>
                <w:rFonts w:ascii="Arial" w:cs="Arial" w:eastAsia="Arial" w:hAnsi="Arial"/>
                <w:sz w:val="14"/>
                <w:szCs w:val="14"/>
                <w:color w:val="auto"/>
              </w:rPr>
              <w:t>1,021,466</w:t>
            </w:r>
          </w:p>
        </w:tc>
        <w:tc>
          <w:tcPr>
            <w:tcW w:w="900" w:type="dxa"/>
            <w:vAlign w:val="bottom"/>
            <w:tcBorders>
              <w:bottom w:val="single" w:sz="8" w:color="0033A0"/>
            </w:tcBorders>
            <w:shd w:val="clear" w:color="auto" w:fill="E5EAF5"/>
          </w:tcPr>
          <w:p>
            <w:pPr>
              <w:jc w:val="right"/>
              <w:ind w:right="50"/>
              <w:spacing w:after="0"/>
              <w:rPr>
                <w:sz w:val="20"/>
                <w:szCs w:val="20"/>
                <w:color w:val="auto"/>
              </w:rPr>
            </w:pPr>
            <w:r>
              <w:rPr>
                <w:rFonts w:ascii="Arial" w:cs="Arial" w:eastAsia="Arial" w:hAnsi="Arial"/>
                <w:sz w:val="14"/>
                <w:szCs w:val="14"/>
                <w:color w:val="auto"/>
              </w:rPr>
              <w:t>624,994</w:t>
            </w:r>
          </w:p>
        </w:tc>
        <w:tc>
          <w:tcPr>
            <w:tcW w:w="1240" w:type="dxa"/>
            <w:vAlign w:val="bottom"/>
            <w:tcBorders>
              <w:bottom w:val="single" w:sz="8" w:color="0033A0"/>
            </w:tcBorders>
            <w:shd w:val="clear" w:color="auto" w:fill="E5EAF5"/>
          </w:tcPr>
          <w:p>
            <w:pPr>
              <w:jc w:val="right"/>
              <w:ind w:right="50"/>
              <w:spacing w:after="0"/>
              <w:rPr>
                <w:sz w:val="20"/>
                <w:szCs w:val="20"/>
                <w:color w:val="auto"/>
              </w:rPr>
            </w:pPr>
            <w:r>
              <w:rPr>
                <w:rFonts w:ascii="Arial" w:cs="Arial" w:eastAsia="Arial" w:hAnsi="Arial"/>
                <w:sz w:val="14"/>
                <w:szCs w:val="14"/>
                <w:color w:val="auto"/>
              </w:rPr>
              <w:t>556,200</w:t>
            </w:r>
          </w:p>
        </w:tc>
        <w:tc>
          <w:tcPr>
            <w:tcW w:w="1120" w:type="dxa"/>
            <w:vAlign w:val="bottom"/>
            <w:tcBorders>
              <w:bottom w:val="single" w:sz="8" w:color="0033A0"/>
            </w:tcBorders>
            <w:shd w:val="clear" w:color="auto" w:fill="E5EAF5"/>
          </w:tcPr>
          <w:p>
            <w:pPr>
              <w:jc w:val="right"/>
              <w:ind w:right="51"/>
              <w:spacing w:after="0"/>
              <w:rPr>
                <w:sz w:val="20"/>
                <w:szCs w:val="20"/>
                <w:color w:val="auto"/>
              </w:rPr>
            </w:pPr>
            <w:r>
              <w:rPr>
                <w:rFonts w:ascii="Arial" w:cs="Arial" w:eastAsia="Arial" w:hAnsi="Arial"/>
                <w:sz w:val="14"/>
                <w:szCs w:val="14"/>
                <w:color w:val="auto"/>
              </w:rPr>
              <w:t>353,509</w:t>
            </w:r>
          </w:p>
        </w:tc>
        <w:tc>
          <w:tcPr>
            <w:tcW w:w="1220" w:type="dxa"/>
            <w:vAlign w:val="bottom"/>
            <w:tcBorders>
              <w:bottom w:val="single" w:sz="8" w:color="0033A0"/>
            </w:tcBorders>
            <w:shd w:val="clear" w:color="auto" w:fill="E5EAF5"/>
          </w:tcPr>
          <w:p>
            <w:pPr>
              <w:jc w:val="right"/>
              <w:ind w:right="30"/>
              <w:spacing w:after="0"/>
              <w:rPr>
                <w:sz w:val="20"/>
                <w:szCs w:val="20"/>
                <w:color w:val="auto"/>
              </w:rPr>
            </w:pPr>
            <w:r>
              <w:rPr>
                <w:rFonts w:ascii="Arial" w:cs="Arial" w:eastAsia="Arial" w:hAnsi="Arial"/>
                <w:sz w:val="14"/>
                <w:szCs w:val="14"/>
                <w:color w:val="auto"/>
              </w:rPr>
              <w:t>675,000</w:t>
            </w:r>
          </w:p>
        </w:tc>
        <w:tc>
          <w:tcPr>
            <w:tcW w:w="820" w:type="dxa"/>
            <w:vAlign w:val="bottom"/>
            <w:tcBorders>
              <w:bottom w:val="single" w:sz="8" w:color="0033A0"/>
            </w:tcBorders>
            <w:shd w:val="clear" w:color="auto" w:fill="E5EAF5"/>
          </w:tcPr>
          <w:p>
            <w:pPr>
              <w:jc w:val="right"/>
              <w:spacing w:after="0"/>
              <w:rPr>
                <w:sz w:val="20"/>
                <w:szCs w:val="20"/>
                <w:color w:val="auto"/>
              </w:rPr>
            </w:pPr>
            <w:r>
              <w:rPr>
                <w:rFonts w:ascii="Arial" w:cs="Arial" w:eastAsia="Arial" w:hAnsi="Arial"/>
                <w:sz w:val="14"/>
                <w:szCs w:val="14"/>
                <w:color w:val="auto"/>
              </w:rPr>
              <w:t>3,803,112</w:t>
            </w:r>
          </w:p>
        </w:tc>
        <w:tc>
          <w:tcPr>
            <w:tcW w:w="120" w:type="dxa"/>
            <w:vAlign w:val="bottom"/>
            <w:tcBorders>
              <w:bottom w:val="single" w:sz="8" w:color="0033A0"/>
            </w:tcBorders>
            <w:shd w:val="clear" w:color="auto" w:fill="E5EAF5"/>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111506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174" w:lineRule="exact"/>
        <w:rPr>
          <w:sz w:val="20"/>
          <w:szCs w:val="20"/>
          <w:color w:val="auto"/>
        </w:rPr>
      </w:pPr>
    </w:p>
    <w:p>
      <w:pPr>
        <w:ind w:left="520" w:right="260" w:hanging="316"/>
        <w:spacing w:after="0" w:line="183" w:lineRule="auto"/>
        <w:tabs>
          <w:tab w:leader="none" w:pos="520" w:val="left"/>
        </w:tabs>
        <w:numPr>
          <w:ilvl w:val="0"/>
          <w:numId w:val="41"/>
        </w:numPr>
        <w:rPr>
          <w:rFonts w:ascii="Arial" w:cs="Arial" w:eastAsia="Arial" w:hAnsi="Arial"/>
          <w:sz w:val="24"/>
          <w:szCs w:val="24"/>
          <w:color w:val="auto"/>
          <w:vertAlign w:val="superscript"/>
        </w:rPr>
      </w:pPr>
      <w:r>
        <w:rPr>
          <w:rFonts w:ascii="Arial" w:cs="Arial" w:eastAsia="Arial" w:hAnsi="Arial"/>
          <w:sz w:val="14"/>
          <w:szCs w:val="14"/>
          <w:color w:val="auto"/>
        </w:rPr>
        <w:t>Mr. Marshall was no longer serving as an executive officer as of January 1, 2019. As a result, his 2018 Performance Stock Option and PSU awards were forfeited as were any RSUs vesting after February 2019.</w:t>
      </w:r>
    </w:p>
    <w:p>
      <w:pPr>
        <w:spacing w:after="0" w:line="31" w:lineRule="exact"/>
        <w:rPr>
          <w:rFonts w:ascii="Arial" w:cs="Arial" w:eastAsia="Arial" w:hAnsi="Arial"/>
          <w:sz w:val="24"/>
          <w:szCs w:val="24"/>
          <w:color w:val="auto"/>
          <w:vertAlign w:val="superscript"/>
        </w:rPr>
      </w:pPr>
    </w:p>
    <w:p>
      <w:pPr>
        <w:ind w:left="520" w:right="220" w:hanging="316"/>
        <w:spacing w:after="0" w:line="183" w:lineRule="auto"/>
        <w:tabs>
          <w:tab w:leader="none" w:pos="520" w:val="left"/>
        </w:tabs>
        <w:numPr>
          <w:ilvl w:val="0"/>
          <w:numId w:val="41"/>
        </w:numPr>
        <w:rPr>
          <w:rFonts w:ascii="Arial" w:cs="Arial" w:eastAsia="Arial" w:hAnsi="Arial"/>
          <w:sz w:val="24"/>
          <w:szCs w:val="24"/>
          <w:color w:val="auto"/>
          <w:vertAlign w:val="superscript"/>
        </w:rPr>
      </w:pPr>
      <w:r>
        <w:rPr>
          <w:rFonts w:ascii="Arial" w:cs="Arial" w:eastAsia="Arial" w:hAnsi="Arial"/>
          <w:sz w:val="14"/>
          <w:szCs w:val="14"/>
          <w:color w:val="auto"/>
        </w:rPr>
        <w:t>For purposes of this table, amounts paid to Mr. Zukerman in Swiss francs (CHF) were converted to U.S. dollars (USD) using exchange rates as set forth in footnote 8 below.</w:t>
      </w:r>
    </w:p>
    <w:p>
      <w:pPr>
        <w:spacing w:after="0" w:line="31" w:lineRule="exact"/>
        <w:rPr>
          <w:rFonts w:ascii="Arial" w:cs="Arial" w:eastAsia="Arial" w:hAnsi="Arial"/>
          <w:sz w:val="24"/>
          <w:szCs w:val="24"/>
          <w:color w:val="auto"/>
          <w:vertAlign w:val="superscript"/>
        </w:rPr>
      </w:pPr>
    </w:p>
    <w:p>
      <w:pPr>
        <w:ind w:left="520" w:right="740" w:hanging="316"/>
        <w:spacing w:after="0" w:line="199" w:lineRule="auto"/>
        <w:tabs>
          <w:tab w:leader="none" w:pos="520" w:val="left"/>
        </w:tabs>
        <w:numPr>
          <w:ilvl w:val="0"/>
          <w:numId w:val="41"/>
        </w:numPr>
        <w:rPr>
          <w:rFonts w:ascii="Arial" w:cs="Arial" w:eastAsia="Arial" w:hAnsi="Arial"/>
          <w:sz w:val="24"/>
          <w:szCs w:val="24"/>
          <w:color w:val="auto"/>
          <w:vertAlign w:val="superscript"/>
        </w:rPr>
      </w:pPr>
      <w:r>
        <w:rPr>
          <w:rFonts w:ascii="Arial" w:cs="Arial" w:eastAsia="Arial" w:hAnsi="Arial"/>
          <w:sz w:val="14"/>
          <w:szCs w:val="14"/>
          <w:color w:val="auto"/>
        </w:rPr>
        <w:t>Represents salaries before any employee contributions under the Company’s 401(k) Plan and/or employee deferrals of salary under the Company’s deferred compensation program. For a discussion of the deferred compensation program and amounts deferred by the named executive officers under the deferred compensation program in 2018, including earnings on amounts deferred, see “Non-qualified Deferred Compensation” beginning on page 55.</w:t>
      </w:r>
    </w:p>
    <w:p>
      <w:pPr>
        <w:spacing w:after="0" w:line="30" w:lineRule="exact"/>
        <w:rPr>
          <w:rFonts w:ascii="Arial" w:cs="Arial" w:eastAsia="Arial" w:hAnsi="Arial"/>
          <w:sz w:val="24"/>
          <w:szCs w:val="24"/>
          <w:color w:val="auto"/>
          <w:vertAlign w:val="superscript"/>
        </w:rPr>
      </w:pPr>
    </w:p>
    <w:p>
      <w:pPr>
        <w:ind w:left="520" w:right="20" w:hanging="316"/>
        <w:spacing w:after="0" w:line="221" w:lineRule="auto"/>
        <w:tabs>
          <w:tab w:leader="none" w:pos="520" w:val="left"/>
        </w:tabs>
        <w:numPr>
          <w:ilvl w:val="0"/>
          <w:numId w:val="41"/>
        </w:numPr>
        <w:rPr>
          <w:rFonts w:ascii="Arial" w:cs="Arial" w:eastAsia="Arial" w:hAnsi="Arial"/>
          <w:sz w:val="24"/>
          <w:szCs w:val="24"/>
          <w:color w:val="auto"/>
          <w:vertAlign w:val="superscript"/>
        </w:rPr>
      </w:pPr>
      <w:r>
        <w:rPr>
          <w:rFonts w:ascii="Arial" w:cs="Arial" w:eastAsia="Arial" w:hAnsi="Arial"/>
          <w:sz w:val="14"/>
          <w:szCs w:val="14"/>
          <w:color w:val="auto"/>
        </w:rPr>
        <w:t>For the Relative TSR PSUs, the grant date fair value was computed in accordance with FASB ASC Topic 718 based on a Monte Carlo simulation model. For the Internal Metric PSU and RSU awards, the grant date fair value was computed in accordance with FASB ASC Topic 718 based on the stock price at the grant date and discounted because units do not receive or accrue dividends during the vesting period. The stock price at the date of grant was based on the closing price per share of Brink’s Common Stock on the respective grant dates, as reported on the New York Stock Exchange. The actual value a named executive officer may receive depends on achievement of pre-established program goals and market prices and there can be no assurance that the amounts reflected in the Stock Awards column will actually be realized. The following table sets forth the 2018 Internal Metric PSUs at the grant date fair value and at the maximum potential value at the highest level of performance for each named executive officer:</w:t>
      </w:r>
    </w:p>
    <w:p>
      <w:pPr>
        <w:spacing w:after="0" w:line="193" w:lineRule="exact"/>
        <w:rPr>
          <w:sz w:val="20"/>
          <w:szCs w:val="20"/>
          <w:color w:val="auto"/>
        </w:rPr>
      </w:pPr>
    </w:p>
    <w:tbl>
      <w:tblPr>
        <w:tblLayout w:type="fixed"/>
        <w:tblInd w:w="220" w:type="dxa"/>
        <w:tblCellMar>
          <w:top w:w="0" w:type="dxa"/>
          <w:left w:w="0" w:type="dxa"/>
          <w:bottom w:w="0" w:type="dxa"/>
          <w:right w:w="0" w:type="dxa"/>
        </w:tblCellMar>
      </w:tblPr>
      <w:tr>
        <w:trPr>
          <w:trHeight w:val="149"/>
        </w:trPr>
        <w:tc>
          <w:tcPr>
            <w:tcW w:w="53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60" w:type="dxa"/>
            <w:vAlign w:val="bottom"/>
          </w:tcPr>
          <w:p>
            <w:pPr>
              <w:jc w:val="right"/>
              <w:ind w:right="110"/>
              <w:spacing w:after="0"/>
              <w:rPr>
                <w:sz w:val="20"/>
                <w:szCs w:val="20"/>
                <w:color w:val="auto"/>
              </w:rPr>
            </w:pPr>
            <w:r>
              <w:rPr>
                <w:rFonts w:ascii="Arial" w:cs="Arial" w:eastAsia="Arial" w:hAnsi="Arial"/>
                <w:sz w:val="13"/>
                <w:szCs w:val="13"/>
                <w:b w:val="1"/>
                <w:bCs w:val="1"/>
                <w:color w:val="0033A0"/>
                <w:w w:val="96"/>
              </w:rPr>
              <w:t>Maximum Potential Value at</w:t>
            </w:r>
          </w:p>
        </w:tc>
      </w:tr>
      <w:tr>
        <w:trPr>
          <w:trHeight w:val="157"/>
        </w:trPr>
        <w:tc>
          <w:tcPr>
            <w:tcW w:w="5300" w:type="dxa"/>
            <w:vAlign w:val="bottom"/>
            <w:tcBorders>
              <w:bottom w:val="single" w:sz="8" w:color="0033A0"/>
            </w:tcBorders>
          </w:tcPr>
          <w:p>
            <w:pPr>
              <w:ind w:left="60"/>
              <w:spacing w:after="0"/>
              <w:rPr>
                <w:sz w:val="20"/>
                <w:szCs w:val="20"/>
                <w:color w:val="auto"/>
              </w:rPr>
            </w:pPr>
            <w:r>
              <w:rPr>
                <w:rFonts w:ascii="Arial" w:cs="Arial" w:eastAsia="Arial" w:hAnsi="Arial"/>
                <w:sz w:val="13"/>
                <w:szCs w:val="13"/>
                <w:b w:val="1"/>
                <w:bCs w:val="1"/>
                <w:color w:val="0033A0"/>
              </w:rPr>
              <w:t>Name</w:t>
            </w:r>
          </w:p>
        </w:tc>
        <w:tc>
          <w:tcPr>
            <w:tcW w:w="3120" w:type="dxa"/>
            <w:vAlign w:val="bottom"/>
            <w:tcBorders>
              <w:bottom w:val="single" w:sz="8" w:color="0033A0"/>
            </w:tcBorders>
            <w:gridSpan w:val="2"/>
          </w:tcPr>
          <w:p>
            <w:pPr>
              <w:jc w:val="right"/>
              <w:ind w:right="568"/>
              <w:spacing w:after="0"/>
              <w:rPr>
                <w:sz w:val="20"/>
                <w:szCs w:val="20"/>
                <w:color w:val="auto"/>
              </w:rPr>
            </w:pPr>
            <w:r>
              <w:rPr>
                <w:rFonts w:ascii="Arial" w:cs="Arial" w:eastAsia="Arial" w:hAnsi="Arial"/>
                <w:sz w:val="13"/>
                <w:szCs w:val="13"/>
                <w:b w:val="1"/>
                <w:bCs w:val="1"/>
                <w:color w:val="0033A0"/>
              </w:rPr>
              <w:t>Grant Date Fair Value</w:t>
            </w:r>
          </w:p>
        </w:tc>
        <w:tc>
          <w:tcPr>
            <w:tcW w:w="2600" w:type="dxa"/>
            <w:vAlign w:val="bottom"/>
            <w:tcBorders>
              <w:bottom w:val="single" w:sz="8" w:color="0033A0"/>
            </w:tcBorders>
            <w:gridSpan w:val="2"/>
          </w:tcPr>
          <w:p>
            <w:pPr>
              <w:jc w:val="right"/>
              <w:spacing w:after="0"/>
              <w:rPr>
                <w:sz w:val="20"/>
                <w:szCs w:val="20"/>
                <w:color w:val="auto"/>
              </w:rPr>
            </w:pPr>
            <w:r>
              <w:rPr>
                <w:rFonts w:ascii="Arial" w:cs="Arial" w:eastAsia="Arial" w:hAnsi="Arial"/>
                <w:sz w:val="13"/>
                <w:szCs w:val="13"/>
                <w:b w:val="1"/>
                <w:bCs w:val="1"/>
                <w:color w:val="0033A0"/>
              </w:rPr>
              <w:t>Highest Level of Performance</w:t>
            </w:r>
            <w:r>
              <w:rPr>
                <w:rFonts w:ascii="Arial" w:cs="Arial" w:eastAsia="Arial" w:hAnsi="Arial"/>
                <w:sz w:val="10"/>
                <w:szCs w:val="10"/>
                <w:b w:val="1"/>
                <w:bCs w:val="1"/>
                <w:color w:val="0033A0"/>
              </w:rPr>
              <w:t>(a)</w:t>
            </w:r>
          </w:p>
        </w:tc>
      </w:tr>
      <w:tr>
        <w:trPr>
          <w:trHeight w:val="21"/>
        </w:trPr>
        <w:tc>
          <w:tcPr>
            <w:tcW w:w="5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83"/>
        </w:trPr>
        <w:tc>
          <w:tcPr>
            <w:tcW w:w="5300" w:type="dxa"/>
            <w:vAlign w:val="bottom"/>
            <w:tcBorders>
              <w:bottom w:val="single" w:sz="8" w:color="E5EAF5"/>
            </w:tcBorders>
            <w:shd w:val="clear" w:color="auto" w:fill="E5EAF5"/>
          </w:tcPr>
          <w:p>
            <w:pPr>
              <w:ind w:left="60"/>
              <w:spacing w:after="0"/>
              <w:rPr>
                <w:sz w:val="20"/>
                <w:szCs w:val="20"/>
                <w:color w:val="auto"/>
              </w:rPr>
            </w:pPr>
            <w:r>
              <w:rPr>
                <w:rFonts w:ascii="Arial" w:cs="Arial" w:eastAsia="Arial" w:hAnsi="Arial"/>
                <w:sz w:val="14"/>
                <w:szCs w:val="14"/>
                <w:color w:val="auto"/>
              </w:rPr>
              <w:t>Mr. Domanico</w:t>
            </w:r>
          </w:p>
        </w:tc>
        <w:tc>
          <w:tcPr>
            <w:tcW w:w="1620" w:type="dxa"/>
            <w:vAlign w:val="bottom"/>
            <w:tcBorders>
              <w:bottom w:val="single" w:sz="8" w:color="E5EAF5"/>
            </w:tcBorders>
            <w:shd w:val="clear" w:color="auto" w:fill="E5EAF5"/>
          </w:tcPr>
          <w:p>
            <w:pPr>
              <w:jc w:val="right"/>
              <w:ind w:right="273"/>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E5EAF5"/>
            </w:tcBorders>
            <w:shd w:val="clear" w:color="auto" w:fill="E5EAF5"/>
          </w:tcPr>
          <w:p>
            <w:pPr>
              <w:jc w:val="right"/>
              <w:ind w:right="548"/>
              <w:spacing w:after="0"/>
              <w:rPr>
                <w:sz w:val="20"/>
                <w:szCs w:val="20"/>
                <w:color w:val="auto"/>
              </w:rPr>
            </w:pPr>
            <w:r>
              <w:rPr>
                <w:rFonts w:ascii="Arial" w:cs="Arial" w:eastAsia="Arial" w:hAnsi="Arial"/>
                <w:sz w:val="14"/>
                <w:szCs w:val="14"/>
                <w:color w:val="auto"/>
              </w:rPr>
              <w:t>312,440</w:t>
            </w:r>
          </w:p>
        </w:tc>
        <w:tc>
          <w:tcPr>
            <w:tcW w:w="740" w:type="dxa"/>
            <w:vAlign w:val="bottom"/>
            <w:tcBorders>
              <w:bottom w:val="single" w:sz="8" w:color="E5EAF5"/>
            </w:tcBorders>
            <w:shd w:val="clear" w:color="auto" w:fill="E5EAF5"/>
          </w:tcPr>
          <w:p>
            <w:pPr>
              <w:jc w:val="right"/>
              <w:spacing w:after="0"/>
              <w:rPr>
                <w:sz w:val="20"/>
                <w:szCs w:val="20"/>
                <w:color w:val="auto"/>
              </w:rPr>
            </w:pPr>
            <w:r>
              <w:rPr>
                <w:rFonts w:ascii="Arial" w:cs="Arial" w:eastAsia="Arial" w:hAnsi="Arial"/>
                <w:sz w:val="14"/>
                <w:szCs w:val="14"/>
                <w:color w:val="auto"/>
              </w:rPr>
              <w:t>$</w:t>
            </w:r>
          </w:p>
        </w:tc>
        <w:tc>
          <w:tcPr>
            <w:tcW w:w="1860" w:type="dxa"/>
            <w:vAlign w:val="bottom"/>
            <w:tcBorders>
              <w:bottom w:val="single" w:sz="8" w:color="E5EAF5"/>
            </w:tcBorders>
            <w:shd w:val="clear" w:color="auto" w:fill="E5EAF5"/>
          </w:tcPr>
          <w:p>
            <w:pPr>
              <w:jc w:val="right"/>
              <w:spacing w:after="0"/>
              <w:rPr>
                <w:sz w:val="20"/>
                <w:szCs w:val="20"/>
                <w:color w:val="auto"/>
              </w:rPr>
            </w:pPr>
            <w:r>
              <w:rPr>
                <w:rFonts w:ascii="Arial" w:cs="Arial" w:eastAsia="Arial" w:hAnsi="Arial"/>
                <w:sz w:val="14"/>
                <w:szCs w:val="14"/>
                <w:color w:val="auto"/>
              </w:rPr>
              <w:t>624,880</w:t>
            </w:r>
          </w:p>
        </w:tc>
      </w:tr>
      <w:tr>
        <w:trPr>
          <w:trHeight w:val="177"/>
        </w:trPr>
        <w:tc>
          <w:tcPr>
            <w:tcW w:w="5300" w:type="dxa"/>
            <w:vAlign w:val="bottom"/>
          </w:tcPr>
          <w:p>
            <w:pPr>
              <w:ind w:left="60"/>
              <w:spacing w:after="0"/>
              <w:rPr>
                <w:sz w:val="20"/>
                <w:szCs w:val="20"/>
                <w:color w:val="auto"/>
              </w:rPr>
            </w:pPr>
            <w:r>
              <w:rPr>
                <w:rFonts w:ascii="Arial" w:cs="Arial" w:eastAsia="Arial" w:hAnsi="Arial"/>
                <w:sz w:val="14"/>
                <w:szCs w:val="14"/>
                <w:color w:val="auto"/>
              </w:rPr>
              <w:t>Mr. Beech</w:t>
            </w:r>
          </w:p>
        </w:tc>
        <w:tc>
          <w:tcPr>
            <w:tcW w:w="1620" w:type="dxa"/>
            <w:vAlign w:val="bottom"/>
          </w:tcPr>
          <w:p>
            <w:pPr>
              <w:spacing w:after="0"/>
              <w:rPr>
                <w:sz w:val="15"/>
                <w:szCs w:val="15"/>
                <w:color w:val="auto"/>
              </w:rPr>
            </w:pPr>
          </w:p>
        </w:tc>
        <w:tc>
          <w:tcPr>
            <w:tcW w:w="1500" w:type="dxa"/>
            <w:vAlign w:val="bottom"/>
          </w:tcPr>
          <w:p>
            <w:pPr>
              <w:jc w:val="right"/>
              <w:ind w:right="548"/>
              <w:spacing w:after="0"/>
              <w:rPr>
                <w:sz w:val="20"/>
                <w:szCs w:val="20"/>
                <w:color w:val="auto"/>
              </w:rPr>
            </w:pPr>
            <w:r>
              <w:rPr>
                <w:rFonts w:ascii="Arial" w:cs="Arial" w:eastAsia="Arial" w:hAnsi="Arial"/>
                <w:sz w:val="14"/>
                <w:szCs w:val="14"/>
                <w:color w:val="auto"/>
              </w:rPr>
              <w:t>149,946</w:t>
            </w:r>
          </w:p>
        </w:tc>
        <w:tc>
          <w:tcPr>
            <w:tcW w:w="740" w:type="dxa"/>
            <w:vAlign w:val="bottom"/>
          </w:tcPr>
          <w:p>
            <w:pPr>
              <w:spacing w:after="0"/>
              <w:rPr>
                <w:sz w:val="15"/>
                <w:szCs w:val="15"/>
                <w:color w:val="auto"/>
              </w:rPr>
            </w:pPr>
          </w:p>
        </w:tc>
        <w:tc>
          <w:tcPr>
            <w:tcW w:w="1860" w:type="dxa"/>
            <w:vAlign w:val="bottom"/>
          </w:tcPr>
          <w:p>
            <w:pPr>
              <w:jc w:val="right"/>
              <w:spacing w:after="0"/>
              <w:rPr>
                <w:sz w:val="20"/>
                <w:szCs w:val="20"/>
                <w:color w:val="auto"/>
              </w:rPr>
            </w:pPr>
            <w:r>
              <w:rPr>
                <w:rFonts w:ascii="Arial" w:cs="Arial" w:eastAsia="Arial" w:hAnsi="Arial"/>
                <w:sz w:val="14"/>
                <w:szCs w:val="14"/>
                <w:color w:val="auto"/>
              </w:rPr>
              <w:t>299,892</w:t>
            </w:r>
          </w:p>
        </w:tc>
      </w:tr>
      <w:tr>
        <w:trPr>
          <w:trHeight w:val="26"/>
        </w:trPr>
        <w:tc>
          <w:tcPr>
            <w:tcW w:w="5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183"/>
        </w:trPr>
        <w:tc>
          <w:tcPr>
            <w:tcW w:w="5300" w:type="dxa"/>
            <w:vAlign w:val="bottom"/>
            <w:tcBorders>
              <w:bottom w:val="single" w:sz="8" w:color="E5EAF5"/>
            </w:tcBorders>
            <w:shd w:val="clear" w:color="auto" w:fill="E5EAF5"/>
          </w:tcPr>
          <w:p>
            <w:pPr>
              <w:ind w:left="60"/>
              <w:spacing w:after="0"/>
              <w:rPr>
                <w:sz w:val="20"/>
                <w:szCs w:val="20"/>
                <w:color w:val="auto"/>
              </w:rPr>
            </w:pPr>
            <w:r>
              <w:rPr>
                <w:rFonts w:ascii="Arial" w:cs="Arial" w:eastAsia="Arial" w:hAnsi="Arial"/>
                <w:sz w:val="14"/>
                <w:szCs w:val="14"/>
                <w:color w:val="auto"/>
              </w:rPr>
              <w:t>Mr. Marshall</w:t>
            </w:r>
          </w:p>
        </w:tc>
        <w:tc>
          <w:tcPr>
            <w:tcW w:w="1620" w:type="dxa"/>
            <w:vAlign w:val="bottom"/>
            <w:tcBorders>
              <w:bottom w:val="single" w:sz="8" w:color="E5EAF5"/>
            </w:tcBorders>
            <w:shd w:val="clear" w:color="auto" w:fill="E5EAF5"/>
          </w:tcPr>
          <w:p>
            <w:pPr>
              <w:spacing w:after="0"/>
              <w:rPr>
                <w:sz w:val="15"/>
                <w:szCs w:val="15"/>
                <w:color w:val="auto"/>
              </w:rPr>
            </w:pPr>
          </w:p>
        </w:tc>
        <w:tc>
          <w:tcPr>
            <w:tcW w:w="1500" w:type="dxa"/>
            <w:vAlign w:val="bottom"/>
            <w:tcBorders>
              <w:bottom w:val="single" w:sz="8" w:color="E5EAF5"/>
            </w:tcBorders>
            <w:shd w:val="clear" w:color="auto" w:fill="E5EAF5"/>
          </w:tcPr>
          <w:p>
            <w:pPr>
              <w:jc w:val="right"/>
              <w:ind w:right="548"/>
              <w:spacing w:after="0"/>
              <w:rPr>
                <w:sz w:val="20"/>
                <w:szCs w:val="20"/>
                <w:color w:val="auto"/>
              </w:rPr>
            </w:pPr>
            <w:r>
              <w:rPr>
                <w:rFonts w:ascii="Arial" w:cs="Arial" w:eastAsia="Arial" w:hAnsi="Arial"/>
                <w:sz w:val="14"/>
                <w:szCs w:val="14"/>
                <w:color w:val="auto"/>
              </w:rPr>
              <w:t>187,450</w:t>
            </w:r>
          </w:p>
        </w:tc>
        <w:tc>
          <w:tcPr>
            <w:tcW w:w="740" w:type="dxa"/>
            <w:vAlign w:val="bottom"/>
            <w:tcBorders>
              <w:bottom w:val="single" w:sz="8" w:color="E5EAF5"/>
            </w:tcBorders>
            <w:shd w:val="clear" w:color="auto" w:fill="E5EAF5"/>
          </w:tcPr>
          <w:p>
            <w:pPr>
              <w:spacing w:after="0"/>
              <w:rPr>
                <w:sz w:val="15"/>
                <w:szCs w:val="15"/>
                <w:color w:val="auto"/>
              </w:rPr>
            </w:pPr>
          </w:p>
        </w:tc>
        <w:tc>
          <w:tcPr>
            <w:tcW w:w="1860" w:type="dxa"/>
            <w:vAlign w:val="bottom"/>
            <w:tcBorders>
              <w:bottom w:val="single" w:sz="8" w:color="E5EAF5"/>
            </w:tcBorders>
            <w:shd w:val="clear" w:color="auto" w:fill="E5EAF5"/>
          </w:tcPr>
          <w:p>
            <w:pPr>
              <w:jc w:val="right"/>
              <w:spacing w:after="0"/>
              <w:rPr>
                <w:sz w:val="20"/>
                <w:szCs w:val="20"/>
                <w:color w:val="auto"/>
              </w:rPr>
            </w:pPr>
            <w:r>
              <w:rPr>
                <w:rFonts w:ascii="Arial" w:cs="Arial" w:eastAsia="Arial" w:hAnsi="Arial"/>
                <w:sz w:val="14"/>
                <w:szCs w:val="14"/>
                <w:color w:val="auto"/>
              </w:rPr>
              <w:t>374,900</w:t>
            </w:r>
          </w:p>
        </w:tc>
      </w:tr>
      <w:tr>
        <w:trPr>
          <w:trHeight w:val="177"/>
        </w:trPr>
        <w:tc>
          <w:tcPr>
            <w:tcW w:w="5300" w:type="dxa"/>
            <w:vAlign w:val="bottom"/>
          </w:tcPr>
          <w:p>
            <w:pPr>
              <w:ind w:left="60"/>
              <w:spacing w:after="0"/>
              <w:rPr>
                <w:sz w:val="20"/>
                <w:szCs w:val="20"/>
                <w:color w:val="auto"/>
              </w:rPr>
            </w:pPr>
            <w:r>
              <w:rPr>
                <w:rFonts w:ascii="Arial" w:cs="Arial" w:eastAsia="Arial" w:hAnsi="Arial"/>
                <w:sz w:val="14"/>
                <w:szCs w:val="14"/>
                <w:color w:val="auto"/>
              </w:rPr>
              <w:t>Mr. Zukerman</w:t>
            </w:r>
          </w:p>
        </w:tc>
        <w:tc>
          <w:tcPr>
            <w:tcW w:w="1620" w:type="dxa"/>
            <w:vAlign w:val="bottom"/>
          </w:tcPr>
          <w:p>
            <w:pPr>
              <w:spacing w:after="0"/>
              <w:rPr>
                <w:sz w:val="15"/>
                <w:szCs w:val="15"/>
                <w:color w:val="auto"/>
              </w:rPr>
            </w:pPr>
          </w:p>
        </w:tc>
        <w:tc>
          <w:tcPr>
            <w:tcW w:w="1500" w:type="dxa"/>
            <w:vAlign w:val="bottom"/>
          </w:tcPr>
          <w:p>
            <w:pPr>
              <w:jc w:val="right"/>
              <w:ind w:right="548"/>
              <w:spacing w:after="0"/>
              <w:rPr>
                <w:sz w:val="20"/>
                <w:szCs w:val="20"/>
                <w:color w:val="auto"/>
              </w:rPr>
            </w:pPr>
            <w:r>
              <w:rPr>
                <w:rFonts w:ascii="Arial" w:cs="Arial" w:eastAsia="Arial" w:hAnsi="Arial"/>
                <w:sz w:val="14"/>
                <w:szCs w:val="14"/>
                <w:color w:val="auto"/>
              </w:rPr>
              <w:t>312,440</w:t>
            </w:r>
          </w:p>
        </w:tc>
        <w:tc>
          <w:tcPr>
            <w:tcW w:w="740" w:type="dxa"/>
            <w:vAlign w:val="bottom"/>
          </w:tcPr>
          <w:p>
            <w:pPr>
              <w:spacing w:after="0"/>
              <w:rPr>
                <w:sz w:val="15"/>
                <w:szCs w:val="15"/>
                <w:color w:val="auto"/>
              </w:rPr>
            </w:pPr>
          </w:p>
        </w:tc>
        <w:tc>
          <w:tcPr>
            <w:tcW w:w="1860" w:type="dxa"/>
            <w:vAlign w:val="bottom"/>
          </w:tcPr>
          <w:p>
            <w:pPr>
              <w:jc w:val="right"/>
              <w:spacing w:after="0"/>
              <w:rPr>
                <w:sz w:val="20"/>
                <w:szCs w:val="20"/>
                <w:color w:val="auto"/>
              </w:rPr>
            </w:pPr>
            <w:r>
              <w:rPr>
                <w:rFonts w:ascii="Arial" w:cs="Arial" w:eastAsia="Arial" w:hAnsi="Arial"/>
                <w:sz w:val="14"/>
                <w:szCs w:val="14"/>
                <w:color w:val="auto"/>
              </w:rPr>
              <w:t>624,880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16510</wp:posOffset>
            </wp:positionV>
            <wp:extent cx="699770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37" w:lineRule="exact"/>
        <w:rPr>
          <w:sz w:val="20"/>
          <w:szCs w:val="20"/>
          <w:color w:val="auto"/>
        </w:rPr>
      </w:pPr>
    </w:p>
    <w:p>
      <w:pPr>
        <w:ind w:left="960" w:right="240" w:hanging="432"/>
        <w:spacing w:after="0" w:line="183" w:lineRule="auto"/>
        <w:tabs>
          <w:tab w:leader="none" w:pos="960" w:val="left"/>
        </w:tabs>
        <w:numPr>
          <w:ilvl w:val="1"/>
          <w:numId w:val="42"/>
        </w:numPr>
        <w:rPr>
          <w:rFonts w:ascii="Arial" w:cs="Arial" w:eastAsia="Arial" w:hAnsi="Arial"/>
          <w:sz w:val="24"/>
          <w:szCs w:val="24"/>
          <w:color w:val="auto"/>
          <w:vertAlign w:val="superscript"/>
        </w:rPr>
      </w:pPr>
      <w:r>
        <w:rPr>
          <w:rFonts w:ascii="Arial" w:cs="Arial" w:eastAsia="Arial" w:hAnsi="Arial"/>
          <w:sz w:val="14"/>
          <w:szCs w:val="14"/>
          <w:color w:val="auto"/>
        </w:rPr>
        <w:t>The maximum potential fair value that could be recognized for financial reporting purposes would be based on a maximum payout of 200% for performance at the highest level of adjustment of the pre-established program goals. Mr. Marshall’s awards were forfeited as noted in footnote (1).</w:t>
      </w:r>
    </w:p>
    <w:p>
      <w:pPr>
        <w:spacing w:after="0" w:line="31" w:lineRule="exact"/>
        <w:rPr>
          <w:rFonts w:ascii="Arial" w:cs="Arial" w:eastAsia="Arial" w:hAnsi="Arial"/>
          <w:sz w:val="24"/>
          <w:szCs w:val="24"/>
          <w:color w:val="auto"/>
          <w:vertAlign w:val="superscript"/>
        </w:rPr>
      </w:pPr>
    </w:p>
    <w:p>
      <w:pPr>
        <w:ind w:left="520" w:right="120" w:hanging="316"/>
        <w:spacing w:after="0" w:line="208" w:lineRule="auto"/>
        <w:tabs>
          <w:tab w:leader="none" w:pos="520" w:val="left"/>
        </w:tabs>
        <w:numPr>
          <w:ilvl w:val="0"/>
          <w:numId w:val="43"/>
        </w:numPr>
        <w:rPr>
          <w:rFonts w:ascii="Arial" w:cs="Arial" w:eastAsia="Arial" w:hAnsi="Arial"/>
          <w:sz w:val="24"/>
          <w:szCs w:val="24"/>
          <w:color w:val="auto"/>
          <w:vertAlign w:val="superscript"/>
        </w:rPr>
      </w:pPr>
      <w:r>
        <w:rPr>
          <w:rFonts w:ascii="Arial" w:cs="Arial" w:eastAsia="Arial" w:hAnsi="Arial"/>
          <w:sz w:val="14"/>
          <w:szCs w:val="14"/>
          <w:color w:val="auto"/>
        </w:rPr>
        <w:t>The grant date fair value for these Performance Stock Option awards was computed in accordance with FASB ASC Topic 718 based on a Monte Carlo simulation. The stock price at the date of grant was based on closing price per share of Brink’s Common Stock on the respective grant dates, as reported on the New York Stock Exchange. The actual value a named executive officer may receive depends on achieving pre-established market prices and there can be no assurance that the amounts reflected in the Option Awards column will actually be realized.</w:t>
      </w:r>
    </w:p>
    <w:p>
      <w:pPr>
        <w:spacing w:after="0" w:line="134" w:lineRule="exact"/>
        <w:rPr>
          <w:sz w:val="20"/>
          <w:szCs w:val="20"/>
          <w:color w:val="auto"/>
        </w:rPr>
      </w:pPr>
    </w:p>
    <w:tbl>
      <w:tblPr>
        <w:tblLayout w:type="fixed"/>
        <w:tblInd w:w="200" w:type="dxa"/>
        <w:tblCellMar>
          <w:top w:w="0" w:type="dxa"/>
          <w:left w:w="0" w:type="dxa"/>
          <w:bottom w:w="0" w:type="dxa"/>
          <w:right w:w="0" w:type="dxa"/>
        </w:tblCellMar>
      </w:tblPr>
      <w:tr>
        <w:trPr>
          <w:trHeight w:val="297"/>
        </w:trPr>
        <w:tc>
          <w:tcPr>
            <w:tcW w:w="360" w:type="dxa"/>
            <w:vAlign w:val="bottom"/>
            <w:tcBorders>
              <w:right w:val="single" w:sz="8" w:color="0033A0"/>
            </w:tcBorders>
          </w:tcPr>
          <w:p>
            <w:pPr>
              <w:jc w:val="right"/>
              <w:ind w:right="70"/>
              <w:spacing w:after="0"/>
              <w:rPr>
                <w:sz w:val="20"/>
                <w:szCs w:val="20"/>
                <w:color w:val="auto"/>
              </w:rPr>
            </w:pPr>
            <w:r>
              <w:rPr>
                <w:rFonts w:ascii="Arial" w:cs="Arial" w:eastAsia="Arial" w:hAnsi="Arial"/>
                <w:sz w:val="18"/>
                <w:szCs w:val="18"/>
                <w:b w:val="1"/>
                <w:bCs w:val="1"/>
                <w:color w:val="auto"/>
                <w:w w:val="89"/>
              </w:rPr>
              <w:t>44</w:t>
            </w:r>
          </w:p>
        </w:tc>
        <w:tc>
          <w:tcPr>
            <w:tcW w:w="3380" w:type="dxa"/>
            <w:vAlign w:val="bottom"/>
          </w:tcPr>
          <w:p>
            <w:pPr>
              <w:ind w:left="1600"/>
              <w:spacing w:after="0"/>
              <w:rPr>
                <w:sz w:val="20"/>
                <w:szCs w:val="20"/>
                <w:color w:val="auto"/>
              </w:rPr>
            </w:pPr>
            <w:r>
              <w:rPr>
                <w:rFonts w:ascii="Arial" w:cs="Arial" w:eastAsia="Arial" w:hAnsi="Arial"/>
                <w:sz w:val="18"/>
                <w:szCs w:val="18"/>
                <w:i w:val="1"/>
                <w:iCs w:val="1"/>
                <w:color w:val="auto"/>
                <w:w w:val="98"/>
              </w:rPr>
              <w:t>2019 Proxy Statement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-170815</wp:posOffset>
            </wp:positionV>
            <wp:extent cx="720090" cy="1289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0090" cy="12890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0033A0"/>
        </w:rPr>
        <w:t>EXECUTIVE COMPENSATION TABLES</w:t>
      </w:r>
    </w:p>
    <w:p>
      <w:pPr>
        <w:spacing w:after="0" w:line="104" w:lineRule="exact"/>
        <w:rPr>
          <w:sz w:val="20"/>
          <w:szCs w:val="20"/>
          <w:color w:val="auto"/>
        </w:rPr>
      </w:pPr>
    </w:p>
    <w:p>
      <w:pPr>
        <w:ind w:left="520" w:hanging="316"/>
        <w:spacing w:after="0"/>
        <w:tabs>
          <w:tab w:leader="none" w:pos="520" w:val="left"/>
        </w:tabs>
        <w:numPr>
          <w:ilvl w:val="0"/>
          <w:numId w:val="44"/>
        </w:numPr>
        <w:rPr>
          <w:rFonts w:ascii="Arial" w:cs="Arial" w:eastAsia="Arial" w:hAnsi="Arial"/>
          <w:sz w:val="24"/>
          <w:szCs w:val="24"/>
          <w:color w:val="auto"/>
          <w:vertAlign w:val="superscript"/>
        </w:rPr>
      </w:pPr>
      <w:r>
        <w:rPr>
          <w:rFonts w:ascii="Arial" w:cs="Arial" w:eastAsia="Arial" w:hAnsi="Arial"/>
          <w:sz w:val="14"/>
          <w:szCs w:val="14"/>
          <w:color w:val="auto"/>
        </w:rPr>
        <w:t>Represents:</w:t>
      </w:r>
    </w:p>
    <w:p>
      <w:pPr>
        <w:spacing w:after="0" w:line="30" w:lineRule="exact"/>
        <w:rPr>
          <w:rFonts w:ascii="Arial" w:cs="Arial" w:eastAsia="Arial" w:hAnsi="Arial"/>
          <w:sz w:val="24"/>
          <w:szCs w:val="24"/>
          <w:color w:val="auto"/>
          <w:vertAlign w:val="superscript"/>
        </w:rPr>
      </w:pPr>
    </w:p>
    <w:p>
      <w:pPr>
        <w:ind w:left="520" w:right="260"/>
        <w:spacing w:after="0" w:line="258" w:lineRule="auto"/>
        <w:rPr>
          <w:rFonts w:ascii="Arial" w:cs="Arial" w:eastAsia="Arial" w:hAnsi="Arial"/>
          <w:sz w:val="24"/>
          <w:szCs w:val="24"/>
          <w:color w:val="auto"/>
          <w:vertAlign w:val="superscript"/>
        </w:rPr>
      </w:pPr>
      <w:r>
        <w:rPr>
          <w:rFonts w:ascii="Arial" w:cs="Arial" w:eastAsia="Arial" w:hAnsi="Arial"/>
          <w:sz w:val="14"/>
          <w:szCs w:val="14"/>
          <w:color w:val="auto"/>
        </w:rPr>
        <w:t>amounts paid under the EIP with respect to 2017 and 2018 performance before any employee deferrals of EIP awards under the Company’s deferred compensation program; and amounts paid under the KEIP with respect to 2016.</w:t>
      </w:r>
    </w:p>
    <w:p>
      <w:pPr>
        <w:spacing w:after="0" w:line="18" w:lineRule="exact"/>
        <w:rPr>
          <w:rFonts w:ascii="Arial" w:cs="Arial" w:eastAsia="Arial" w:hAnsi="Arial"/>
          <w:sz w:val="24"/>
          <w:szCs w:val="24"/>
          <w:color w:val="auto"/>
          <w:vertAlign w:val="superscript"/>
        </w:rPr>
      </w:pPr>
    </w:p>
    <w:p>
      <w:pPr>
        <w:ind w:left="520" w:right="220"/>
        <w:spacing w:after="0" w:line="258" w:lineRule="auto"/>
        <w:rPr>
          <w:rFonts w:ascii="Arial" w:cs="Arial" w:eastAsia="Arial" w:hAnsi="Arial"/>
          <w:sz w:val="24"/>
          <w:szCs w:val="24"/>
          <w:color w:val="auto"/>
          <w:vertAlign w:val="superscript"/>
        </w:rPr>
      </w:pPr>
      <w:r>
        <w:rPr>
          <w:rFonts w:ascii="Arial" w:cs="Arial" w:eastAsia="Arial" w:hAnsi="Arial"/>
          <w:sz w:val="14"/>
          <w:szCs w:val="14"/>
          <w:color w:val="auto"/>
        </w:rPr>
        <w:t>For a discussion of the deferred compensation program and amounts deferred by the named executive officers in 2018, including earnings on amounts deferred, see “Nonqualified Deferred Compensation” beginning on page 55.</w:t>
      </w:r>
    </w:p>
    <w:p>
      <w:pPr>
        <w:spacing w:after="0" w:line="18" w:lineRule="exact"/>
        <w:rPr>
          <w:rFonts w:ascii="Arial" w:cs="Arial" w:eastAsia="Arial" w:hAnsi="Arial"/>
          <w:sz w:val="24"/>
          <w:szCs w:val="24"/>
          <w:color w:val="auto"/>
          <w:vertAlign w:val="superscript"/>
        </w:rPr>
      </w:pPr>
    </w:p>
    <w:p>
      <w:pPr>
        <w:ind w:left="520" w:hanging="316"/>
        <w:spacing w:after="0"/>
        <w:tabs>
          <w:tab w:leader="none" w:pos="520" w:val="left"/>
        </w:tabs>
        <w:numPr>
          <w:ilvl w:val="0"/>
          <w:numId w:val="44"/>
        </w:numPr>
        <w:rPr>
          <w:rFonts w:ascii="Arial" w:cs="Arial" w:eastAsia="Arial" w:hAnsi="Arial"/>
          <w:sz w:val="24"/>
          <w:szCs w:val="24"/>
          <w:color w:val="auto"/>
          <w:vertAlign w:val="superscript"/>
        </w:rPr>
      </w:pPr>
      <w:r>
        <w:rPr>
          <w:rFonts w:ascii="Arial" w:cs="Arial" w:eastAsia="Arial" w:hAnsi="Arial"/>
          <w:sz w:val="14"/>
          <w:szCs w:val="14"/>
          <w:color w:val="auto"/>
        </w:rPr>
        <w:t>Amounts relate only to changes in pension value. The earning of benefits under the U.S. pension plans for all participants was frozen as of December 31, 2005. These amounts represent the change during the years ended December 31, 2018, 2017, and 2016 in the actuarial present value of Mr. Marshall’s pension payouts due to a change in the assumptions used to value pension benefits, not any change in the pension benefits earned by Mr. Marshall. For purposes of computing the actuarial present value of the accrued benefit payable to Mr. Marshall in the monthly benefit, the Company assumed: (a) for 2018, a 3.7% discount rate for the frozen pension plan measurement date of December 31, 2017 and a 3.5% discount rate for the equalization plan measurement date of December 31, 2017 and a 4.4% discount rate for the frozen pension plan measurement date of December 31, 2018 and a 4.3% discount rate for the equalization plan measurement date of December 31, 2018, for 2017, a 4.3% discount rate for the frozen pension plan measurement date of December 31, 2016 and a 4.0% discount rate for the equalization plan measurement date of December 31, 2016 and a 3.7% discount rate for the frozen pension plan measurement date of December 31, 2017 and a 3.5% discount rate for the equalization plan measurement date of December 31, 2017, and for 2016, a 4.5% discount rate for the frozen pension plan measurement date of December 31, 2015 and a 4.3% discount rate for the equalization plan measurement date of December 31, 2015 and a 4.3% discount rate for the frozen pension plan measurement date of December 31, 2016 and a 4.0% discount rate for the equalization plan measurement date of December 31, 2016; (b) service accruals in the pension plans are frozen as of December 31, 2005; and (c) payments will be made on a straight-life monthly annuity basis or pursuant to lump sum elections under the pension equalization plan. In 2018, the change in the actuarial present value of Mr. Marshall’s pension payouts was a decrease of $19,045. For a full description of the assumptions used by the Company for financial reporting purposes, see Note 4 to the Company’s financial statements, which is included in the Company’s Annual Report on Form 10-K for the year ended December 31, 2018 and incorporated by reference into this proxy statement. For a discussion of pension benefits, see “Pension Benefits” beginning on page 53.</w:t>
      </w:r>
    </w:p>
    <w:p>
      <w:pPr>
        <w:spacing w:after="0" w:line="103" w:lineRule="exact"/>
        <w:rPr>
          <w:rFonts w:ascii="Arial" w:cs="Arial" w:eastAsia="Arial" w:hAnsi="Arial"/>
          <w:sz w:val="24"/>
          <w:szCs w:val="24"/>
          <w:color w:val="auto"/>
          <w:vertAlign w:val="superscript"/>
        </w:rPr>
      </w:pPr>
    </w:p>
    <w:p>
      <w:pPr>
        <w:ind w:left="520" w:right="80"/>
        <w:spacing w:after="0" w:line="244" w:lineRule="auto"/>
        <w:rPr>
          <w:rFonts w:ascii="Arial" w:cs="Arial" w:eastAsia="Arial" w:hAnsi="Arial"/>
          <w:sz w:val="24"/>
          <w:szCs w:val="24"/>
          <w:color w:val="auto"/>
          <w:vertAlign w:val="superscript"/>
        </w:rPr>
      </w:pPr>
      <w:r>
        <w:rPr>
          <w:rFonts w:ascii="Arial" w:cs="Arial" w:eastAsia="Arial" w:hAnsi="Arial"/>
          <w:sz w:val="14"/>
          <w:szCs w:val="14"/>
          <w:color w:val="auto"/>
        </w:rPr>
        <w:t>For Mr. Zukerman, the amount represents the change during the year ended December 31, 2018 in the actuarial present value of his pension payouts due to contributions during the year and changes in the assumptions used to value pension benefits. For purposes of computing the actuarial present value of the accrued benefit payable to Mr. Zukerman in the monthly benefit, the Company assumed: (a) a 1.0% discount rate for the Switzerland pension plan measurement date of December 31, 2018 and a 0.7% discount rate for the Switzerland pension plan measurement date of December 31, 2017; and (b) payments will be made on a straight-life monthly annuity basis. The following exchange rules were used to calculate the change in pension value during the year ended December 31, 2018: (i) 1 CHF = 1.0261 USD at December 31, 2017; and (ii) 1 CHF = 1.10191 USD at December 31, 2018.</w:t>
      </w:r>
    </w:p>
    <w:p>
      <w:pPr>
        <w:ind w:left="520" w:hanging="316"/>
        <w:spacing w:after="0" w:line="183" w:lineRule="auto"/>
        <w:tabs>
          <w:tab w:leader="none" w:pos="520" w:val="left"/>
        </w:tabs>
        <w:numPr>
          <w:ilvl w:val="0"/>
          <w:numId w:val="44"/>
        </w:numPr>
        <w:rPr>
          <w:rFonts w:ascii="Arial" w:cs="Arial" w:eastAsia="Arial" w:hAnsi="Arial"/>
          <w:sz w:val="23"/>
          <w:szCs w:val="23"/>
          <w:color w:val="auto"/>
          <w:vertAlign w:val="superscript"/>
        </w:rPr>
      </w:pPr>
      <w:r>
        <w:rPr>
          <w:rFonts w:ascii="Arial" w:cs="Arial" w:eastAsia="Arial" w:hAnsi="Arial"/>
          <w:sz w:val="14"/>
          <w:szCs w:val="14"/>
          <w:color w:val="auto"/>
        </w:rPr>
        <w:t>For 2018, includes the following items and amounts for each of the named executive officers:</w:t>
      </w:r>
    </w:p>
    <w:p>
      <w:pPr>
        <w:spacing w:after="0" w:line="31" w:lineRule="exact"/>
        <w:rPr>
          <w:rFonts w:ascii="Arial" w:cs="Arial" w:eastAsia="Arial" w:hAnsi="Arial"/>
          <w:sz w:val="23"/>
          <w:szCs w:val="23"/>
          <w:color w:val="auto"/>
          <w:vertAlign w:val="superscript"/>
        </w:rPr>
      </w:pPr>
    </w:p>
    <w:p>
      <w:pPr>
        <w:ind w:left="960" w:hanging="432"/>
        <w:spacing w:after="0" w:line="189" w:lineRule="auto"/>
        <w:tabs>
          <w:tab w:leader="none" w:pos="960" w:val="left"/>
        </w:tabs>
        <w:numPr>
          <w:ilvl w:val="1"/>
          <w:numId w:val="44"/>
        </w:numPr>
        <w:rPr>
          <w:rFonts w:ascii="Arial" w:cs="Arial" w:eastAsia="Arial" w:hAnsi="Arial"/>
          <w:sz w:val="19"/>
          <w:szCs w:val="19"/>
          <w:color w:val="auto"/>
          <w:vertAlign w:val="superscript"/>
        </w:rPr>
      </w:pPr>
      <w:r>
        <w:rPr>
          <w:rFonts w:ascii="Arial" w:cs="Arial" w:eastAsia="Arial" w:hAnsi="Arial"/>
          <w:sz w:val="12"/>
          <w:szCs w:val="12"/>
          <w:color w:val="auto"/>
        </w:rPr>
        <w:t>Matching contributions on deferrals of compensation made in 2018 as shown in the following table (Mr. Zukerman does not participate in deferred compensation):</w:t>
      </w:r>
    </w:p>
    <w:p>
      <w:pPr>
        <w:spacing w:after="0" w:line="70" w:lineRule="exact"/>
        <w:rPr>
          <w:sz w:val="20"/>
          <w:szCs w:val="20"/>
          <w:color w:val="auto"/>
        </w:rPr>
      </w:pPr>
    </w:p>
    <w:tbl>
      <w:tblPr>
        <w:tblLayout w:type="fixed"/>
        <w:tblInd w:w="1080" w:type="dxa"/>
        <w:tblCellMar>
          <w:top w:w="0" w:type="dxa"/>
          <w:left w:w="0" w:type="dxa"/>
          <w:bottom w:w="0" w:type="dxa"/>
          <w:right w:w="0" w:type="dxa"/>
        </w:tblCellMar>
      </w:tblPr>
      <w:tr>
        <w:trPr>
          <w:trHeight w:val="149"/>
        </w:trPr>
        <w:tc>
          <w:tcPr>
            <w:tcW w:w="3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Arial" w:cs="Arial" w:eastAsia="Arial" w:hAnsi="Arial"/>
                <w:sz w:val="13"/>
                <w:szCs w:val="13"/>
                <w:b w:val="1"/>
                <w:bCs w:val="1"/>
                <w:color w:val="0033A0"/>
                <w:w w:val="98"/>
              </w:rPr>
              <w:t>Matching</w:t>
            </w: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35"/>
        </w:trPr>
        <w:tc>
          <w:tcPr>
            <w:tcW w:w="3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jc w:val="right"/>
              <w:ind w:right="71"/>
              <w:spacing w:after="0" w:line="135" w:lineRule="exact"/>
              <w:rPr>
                <w:sz w:val="20"/>
                <w:szCs w:val="20"/>
                <w:color w:val="auto"/>
              </w:rPr>
            </w:pPr>
            <w:r>
              <w:rPr>
                <w:rFonts w:ascii="Arial" w:cs="Arial" w:eastAsia="Arial" w:hAnsi="Arial"/>
                <w:sz w:val="13"/>
                <w:szCs w:val="13"/>
                <w:b w:val="1"/>
                <w:bCs w:val="1"/>
                <w:color w:val="0033A0"/>
                <w:w w:val="94"/>
              </w:rPr>
              <w:t>Matching</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40" w:type="dxa"/>
            <w:vAlign w:val="bottom"/>
          </w:tcPr>
          <w:p>
            <w:pPr>
              <w:jc w:val="center"/>
              <w:spacing w:after="0" w:line="135" w:lineRule="exact"/>
              <w:rPr>
                <w:sz w:val="20"/>
                <w:szCs w:val="20"/>
                <w:color w:val="auto"/>
              </w:rPr>
            </w:pPr>
            <w:r>
              <w:rPr>
                <w:rFonts w:ascii="Arial" w:cs="Arial" w:eastAsia="Arial" w:hAnsi="Arial"/>
                <w:sz w:val="13"/>
                <w:szCs w:val="13"/>
                <w:b w:val="1"/>
                <w:bCs w:val="1"/>
                <w:color w:val="0033A0"/>
                <w:w w:val="97"/>
              </w:rPr>
              <w:t>Contribution</w:t>
            </w:r>
          </w:p>
        </w:tc>
        <w:tc>
          <w:tcPr>
            <w:tcW w:w="12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0033A0"/>
                <w:w w:val="96"/>
              </w:rPr>
              <w:t>Supplemental</w:t>
            </w:r>
          </w:p>
        </w:tc>
        <w:tc>
          <w:tcPr>
            <w:tcW w:w="900" w:type="dxa"/>
            <w:vAlign w:val="bottom"/>
          </w:tcPr>
          <w:p>
            <w:pPr>
              <w:spacing w:after="0"/>
              <w:rPr>
                <w:sz w:val="11"/>
                <w:szCs w:val="11"/>
                <w:color w:val="auto"/>
              </w:rPr>
            </w:pPr>
          </w:p>
        </w:tc>
      </w:tr>
      <w:tr>
        <w:trPr>
          <w:trHeight w:val="135"/>
        </w:trPr>
        <w:tc>
          <w:tcPr>
            <w:tcW w:w="3200" w:type="dxa"/>
            <w:vAlign w:val="bottom"/>
          </w:tcPr>
          <w:p>
            <w:pPr>
              <w:spacing w:after="0"/>
              <w:rPr>
                <w:sz w:val="11"/>
                <w:szCs w:val="11"/>
                <w:color w:val="auto"/>
              </w:rPr>
            </w:pPr>
          </w:p>
        </w:tc>
        <w:tc>
          <w:tcPr>
            <w:tcW w:w="124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0033A0"/>
              </w:rPr>
              <w:t>Contribution</w:t>
            </w:r>
          </w:p>
        </w:tc>
        <w:tc>
          <w:tcPr>
            <w:tcW w:w="1420" w:type="dxa"/>
            <w:vAlign w:val="bottom"/>
            <w:gridSpan w:val="2"/>
          </w:tcPr>
          <w:p>
            <w:pPr>
              <w:jc w:val="right"/>
              <w:ind w:right="210"/>
              <w:spacing w:after="0" w:line="135" w:lineRule="exact"/>
              <w:rPr>
                <w:sz w:val="20"/>
                <w:szCs w:val="20"/>
                <w:color w:val="auto"/>
              </w:rPr>
            </w:pPr>
            <w:r>
              <w:rPr>
                <w:rFonts w:ascii="Arial" w:cs="Arial" w:eastAsia="Arial" w:hAnsi="Arial"/>
                <w:sz w:val="13"/>
                <w:szCs w:val="13"/>
                <w:b w:val="1"/>
                <w:bCs w:val="1"/>
                <w:color w:val="0033A0"/>
              </w:rPr>
              <w:t>401(k) Plan</w:t>
            </w:r>
          </w:p>
        </w:tc>
        <w:tc>
          <w:tcPr>
            <w:tcW w:w="1240" w:type="dxa"/>
            <w:vAlign w:val="bottom"/>
          </w:tcPr>
          <w:p>
            <w:pPr>
              <w:jc w:val="center"/>
              <w:spacing w:after="0" w:line="135" w:lineRule="exact"/>
              <w:rPr>
                <w:sz w:val="20"/>
                <w:szCs w:val="20"/>
                <w:color w:val="auto"/>
              </w:rPr>
            </w:pPr>
            <w:r>
              <w:rPr>
                <w:rFonts w:ascii="Arial" w:cs="Arial" w:eastAsia="Arial" w:hAnsi="Arial"/>
                <w:sz w:val="13"/>
                <w:szCs w:val="13"/>
                <w:b w:val="1"/>
                <w:bCs w:val="1"/>
                <w:color w:val="0033A0"/>
                <w:w w:val="96"/>
              </w:rPr>
              <w:t>for Deferred</w:t>
            </w:r>
          </w:p>
        </w:tc>
        <w:tc>
          <w:tcPr>
            <w:tcW w:w="12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0033A0"/>
                <w:w w:val="96"/>
              </w:rPr>
              <w:t>Savings Plan</w:t>
            </w:r>
          </w:p>
        </w:tc>
        <w:tc>
          <w:tcPr>
            <w:tcW w:w="900" w:type="dxa"/>
            <w:vAlign w:val="bottom"/>
          </w:tcPr>
          <w:p>
            <w:pPr>
              <w:spacing w:after="0"/>
              <w:rPr>
                <w:sz w:val="11"/>
                <w:szCs w:val="11"/>
                <w:color w:val="auto"/>
              </w:rPr>
            </w:pPr>
          </w:p>
        </w:tc>
      </w:tr>
      <w:tr>
        <w:trPr>
          <w:trHeight w:val="135"/>
        </w:trPr>
        <w:tc>
          <w:tcPr>
            <w:tcW w:w="3200" w:type="dxa"/>
            <w:vAlign w:val="bottom"/>
          </w:tcPr>
          <w:p>
            <w:pPr>
              <w:spacing w:after="0"/>
              <w:rPr>
                <w:sz w:val="11"/>
                <w:szCs w:val="11"/>
                <w:color w:val="auto"/>
              </w:rPr>
            </w:pPr>
          </w:p>
        </w:tc>
        <w:tc>
          <w:tcPr>
            <w:tcW w:w="124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0033A0"/>
              </w:rPr>
              <w:t>for Deferred</w:t>
            </w:r>
          </w:p>
        </w:tc>
        <w:tc>
          <w:tcPr>
            <w:tcW w:w="520" w:type="dxa"/>
            <w:vAlign w:val="bottom"/>
          </w:tcPr>
          <w:p>
            <w:pPr>
              <w:spacing w:after="0"/>
              <w:rPr>
                <w:sz w:val="11"/>
                <w:szCs w:val="11"/>
                <w:color w:val="auto"/>
              </w:rPr>
            </w:pPr>
          </w:p>
        </w:tc>
        <w:tc>
          <w:tcPr>
            <w:tcW w:w="900" w:type="dxa"/>
            <w:vAlign w:val="bottom"/>
          </w:tcPr>
          <w:p>
            <w:pPr>
              <w:jc w:val="right"/>
              <w:ind w:right="270"/>
              <w:spacing w:after="0" w:line="135" w:lineRule="exact"/>
              <w:rPr>
                <w:sz w:val="20"/>
                <w:szCs w:val="20"/>
                <w:color w:val="auto"/>
              </w:rPr>
            </w:pPr>
            <w:r>
              <w:rPr>
                <w:rFonts w:ascii="Arial" w:cs="Arial" w:eastAsia="Arial" w:hAnsi="Arial"/>
                <w:sz w:val="13"/>
                <w:szCs w:val="13"/>
                <w:b w:val="1"/>
                <w:bCs w:val="1"/>
                <w:color w:val="0033A0"/>
                <w:w w:val="94"/>
              </w:rPr>
              <w:t>Matching</w:t>
            </w:r>
          </w:p>
        </w:tc>
        <w:tc>
          <w:tcPr>
            <w:tcW w:w="1240" w:type="dxa"/>
            <w:vAlign w:val="bottom"/>
          </w:tcPr>
          <w:p>
            <w:pPr>
              <w:jc w:val="center"/>
              <w:spacing w:after="0" w:line="135" w:lineRule="exact"/>
              <w:rPr>
                <w:sz w:val="20"/>
                <w:szCs w:val="20"/>
                <w:color w:val="auto"/>
              </w:rPr>
            </w:pPr>
            <w:r>
              <w:rPr>
                <w:rFonts w:ascii="Arial" w:cs="Arial" w:eastAsia="Arial" w:hAnsi="Arial"/>
                <w:sz w:val="13"/>
                <w:szCs w:val="13"/>
                <w:b w:val="1"/>
                <w:bCs w:val="1"/>
                <w:color w:val="0033A0"/>
                <w:w w:val="99"/>
              </w:rPr>
              <w:t>Annual</w:t>
            </w:r>
          </w:p>
        </w:tc>
        <w:tc>
          <w:tcPr>
            <w:tcW w:w="340" w:type="dxa"/>
            <w:vAlign w:val="bottom"/>
          </w:tcPr>
          <w:p>
            <w:pPr>
              <w:spacing w:after="0"/>
              <w:rPr>
                <w:sz w:val="11"/>
                <w:szCs w:val="11"/>
                <w:color w:val="auto"/>
              </w:rPr>
            </w:pPr>
          </w:p>
        </w:tc>
        <w:tc>
          <w:tcPr>
            <w:tcW w:w="920" w:type="dxa"/>
            <w:vAlign w:val="bottom"/>
          </w:tcPr>
          <w:p>
            <w:pPr>
              <w:jc w:val="center"/>
              <w:ind w:right="230"/>
              <w:spacing w:after="0" w:line="135" w:lineRule="exact"/>
              <w:rPr>
                <w:sz w:val="20"/>
                <w:szCs w:val="20"/>
                <w:color w:val="auto"/>
              </w:rPr>
            </w:pPr>
            <w:r>
              <w:rPr>
                <w:rFonts w:ascii="Arial" w:cs="Arial" w:eastAsia="Arial" w:hAnsi="Arial"/>
                <w:sz w:val="13"/>
                <w:szCs w:val="13"/>
                <w:b w:val="1"/>
                <w:bCs w:val="1"/>
                <w:color w:val="0033A0"/>
                <w:w w:val="94"/>
              </w:rPr>
              <w:t>Matching</w:t>
            </w:r>
          </w:p>
        </w:tc>
        <w:tc>
          <w:tcPr>
            <w:tcW w:w="900" w:type="dxa"/>
            <w:vAlign w:val="bottom"/>
          </w:tcPr>
          <w:p>
            <w:pPr>
              <w:spacing w:after="0"/>
              <w:rPr>
                <w:sz w:val="11"/>
                <w:szCs w:val="11"/>
                <w:color w:val="auto"/>
              </w:rPr>
            </w:pPr>
          </w:p>
        </w:tc>
      </w:tr>
      <w:tr>
        <w:trPr>
          <w:trHeight w:val="157"/>
        </w:trPr>
        <w:tc>
          <w:tcPr>
            <w:tcW w:w="3200" w:type="dxa"/>
            <w:vAlign w:val="bottom"/>
            <w:tcBorders>
              <w:bottom w:val="single" w:sz="8" w:color="0033A0"/>
            </w:tcBorders>
          </w:tcPr>
          <w:p>
            <w:pPr>
              <w:ind w:left="80"/>
              <w:spacing w:after="0"/>
              <w:rPr>
                <w:sz w:val="20"/>
                <w:szCs w:val="20"/>
                <w:color w:val="auto"/>
              </w:rPr>
            </w:pPr>
            <w:r>
              <w:rPr>
                <w:rFonts w:ascii="Arial" w:cs="Arial" w:eastAsia="Arial" w:hAnsi="Arial"/>
                <w:sz w:val="13"/>
                <w:szCs w:val="13"/>
                <w:b w:val="1"/>
                <w:bCs w:val="1"/>
                <w:color w:val="0033A0"/>
              </w:rPr>
              <w:t>Name</w:t>
            </w:r>
          </w:p>
        </w:tc>
        <w:tc>
          <w:tcPr>
            <w:tcW w:w="540" w:type="dxa"/>
            <w:vAlign w:val="bottom"/>
            <w:tcBorders>
              <w:bottom w:val="single" w:sz="8" w:color="0033A0"/>
            </w:tcBorders>
          </w:tcPr>
          <w:p>
            <w:pPr>
              <w:spacing w:after="0"/>
              <w:rPr>
                <w:sz w:val="13"/>
                <w:szCs w:val="13"/>
                <w:color w:val="auto"/>
              </w:rPr>
            </w:pPr>
          </w:p>
        </w:tc>
        <w:tc>
          <w:tcPr>
            <w:tcW w:w="700" w:type="dxa"/>
            <w:vAlign w:val="bottom"/>
            <w:tcBorders>
              <w:bottom w:val="single" w:sz="8" w:color="0033A0"/>
            </w:tcBorders>
          </w:tcPr>
          <w:p>
            <w:pPr>
              <w:jc w:val="right"/>
              <w:ind w:right="171"/>
              <w:spacing w:after="0"/>
              <w:rPr>
                <w:sz w:val="20"/>
                <w:szCs w:val="20"/>
                <w:color w:val="auto"/>
              </w:rPr>
            </w:pPr>
            <w:r>
              <w:rPr>
                <w:rFonts w:ascii="Arial" w:cs="Arial" w:eastAsia="Arial" w:hAnsi="Arial"/>
                <w:sz w:val="13"/>
                <w:szCs w:val="13"/>
                <w:b w:val="1"/>
                <w:bCs w:val="1"/>
                <w:color w:val="0033A0"/>
              </w:rPr>
              <w:t>Salary</w:t>
            </w:r>
          </w:p>
        </w:tc>
        <w:tc>
          <w:tcPr>
            <w:tcW w:w="1420" w:type="dxa"/>
            <w:vAlign w:val="bottom"/>
            <w:tcBorders>
              <w:bottom w:val="single" w:sz="8" w:color="0033A0"/>
            </w:tcBorders>
            <w:gridSpan w:val="2"/>
          </w:tcPr>
          <w:p>
            <w:pPr>
              <w:jc w:val="right"/>
              <w:ind w:right="170"/>
              <w:spacing w:after="0"/>
              <w:rPr>
                <w:sz w:val="20"/>
                <w:szCs w:val="20"/>
                <w:color w:val="auto"/>
              </w:rPr>
            </w:pPr>
            <w:r>
              <w:rPr>
                <w:rFonts w:ascii="Arial" w:cs="Arial" w:eastAsia="Arial" w:hAnsi="Arial"/>
                <w:sz w:val="13"/>
                <w:szCs w:val="13"/>
                <w:b w:val="1"/>
                <w:bCs w:val="1"/>
                <w:color w:val="0033A0"/>
              </w:rPr>
              <w:t>Contribution</w:t>
            </w:r>
          </w:p>
        </w:tc>
        <w:tc>
          <w:tcPr>
            <w:tcW w:w="1240" w:type="dxa"/>
            <w:vAlign w:val="bottom"/>
            <w:tcBorders>
              <w:bottom w:val="single" w:sz="8" w:color="0033A0"/>
            </w:tcBorders>
          </w:tcPr>
          <w:p>
            <w:pPr>
              <w:jc w:val="center"/>
              <w:spacing w:after="0"/>
              <w:rPr>
                <w:sz w:val="20"/>
                <w:szCs w:val="20"/>
                <w:color w:val="auto"/>
              </w:rPr>
            </w:pPr>
            <w:r>
              <w:rPr>
                <w:rFonts w:ascii="Arial" w:cs="Arial" w:eastAsia="Arial" w:hAnsi="Arial"/>
                <w:sz w:val="13"/>
                <w:szCs w:val="13"/>
                <w:b w:val="1"/>
                <w:bCs w:val="1"/>
                <w:color w:val="0033A0"/>
                <w:w w:val="99"/>
              </w:rPr>
              <w:t>Incentive</w:t>
            </w:r>
          </w:p>
        </w:tc>
        <w:tc>
          <w:tcPr>
            <w:tcW w:w="1260" w:type="dxa"/>
            <w:vAlign w:val="bottom"/>
            <w:tcBorders>
              <w:bottom w:val="single" w:sz="8" w:color="0033A0"/>
            </w:tcBorders>
            <w:gridSpan w:val="2"/>
          </w:tcPr>
          <w:p>
            <w:pPr>
              <w:jc w:val="center"/>
              <w:spacing w:after="0"/>
              <w:rPr>
                <w:sz w:val="20"/>
                <w:szCs w:val="20"/>
                <w:color w:val="auto"/>
              </w:rPr>
            </w:pPr>
            <w:r>
              <w:rPr>
                <w:rFonts w:ascii="Arial" w:cs="Arial" w:eastAsia="Arial" w:hAnsi="Arial"/>
                <w:sz w:val="13"/>
                <w:szCs w:val="13"/>
                <w:b w:val="1"/>
                <w:bCs w:val="1"/>
                <w:color w:val="0033A0"/>
                <w:w w:val="97"/>
              </w:rPr>
              <w:t>Contribution</w:t>
            </w:r>
          </w:p>
        </w:tc>
        <w:tc>
          <w:tcPr>
            <w:tcW w:w="900" w:type="dxa"/>
            <w:vAlign w:val="bottom"/>
            <w:tcBorders>
              <w:bottom w:val="single" w:sz="8" w:color="0033A0"/>
            </w:tcBorders>
          </w:tcPr>
          <w:p>
            <w:pPr>
              <w:jc w:val="right"/>
              <w:ind w:right="170"/>
              <w:spacing w:after="0"/>
              <w:rPr>
                <w:sz w:val="20"/>
                <w:szCs w:val="20"/>
                <w:color w:val="auto"/>
              </w:rPr>
            </w:pPr>
            <w:r>
              <w:rPr>
                <w:rFonts w:ascii="Arial" w:cs="Arial" w:eastAsia="Arial" w:hAnsi="Arial"/>
                <w:sz w:val="13"/>
                <w:szCs w:val="13"/>
                <w:b w:val="1"/>
                <w:bCs w:val="1"/>
                <w:color w:val="0033A0"/>
              </w:rPr>
              <w:t>Total</w:t>
            </w:r>
          </w:p>
        </w:tc>
      </w:tr>
      <w:tr>
        <w:trPr>
          <w:trHeight w:val="21"/>
        </w:trPr>
        <w:tc>
          <w:tcPr>
            <w:tcW w:w="3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3200" w:type="dxa"/>
            <w:vAlign w:val="bottom"/>
            <w:tcBorders>
              <w:bottom w:val="single" w:sz="8" w:color="E5EAF5"/>
            </w:tcBorders>
            <w:shd w:val="clear" w:color="auto" w:fill="E5EAF5"/>
          </w:tcPr>
          <w:p>
            <w:pPr>
              <w:ind w:left="80"/>
              <w:spacing w:after="0"/>
              <w:rPr>
                <w:sz w:val="20"/>
                <w:szCs w:val="20"/>
                <w:color w:val="auto"/>
              </w:rPr>
            </w:pPr>
            <w:r>
              <w:rPr>
                <w:rFonts w:ascii="Arial" w:cs="Arial" w:eastAsia="Arial" w:hAnsi="Arial"/>
                <w:sz w:val="14"/>
                <w:szCs w:val="14"/>
                <w:color w:val="auto"/>
              </w:rPr>
              <w:t>Mr. Pertz</w:t>
            </w:r>
          </w:p>
        </w:tc>
        <w:tc>
          <w:tcPr>
            <w:tcW w:w="540" w:type="dxa"/>
            <w:vAlign w:val="bottom"/>
            <w:tcBorders>
              <w:bottom w:val="single" w:sz="8" w:color="E5EAF5"/>
            </w:tcBorders>
            <w:shd w:val="clear" w:color="auto" w:fill="E5EAF5"/>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E5EAF5"/>
            </w:tcBorders>
            <w:shd w:val="clear" w:color="auto" w:fill="E5EAF5"/>
          </w:tcPr>
          <w:p>
            <w:pPr>
              <w:jc w:val="right"/>
              <w:spacing w:after="0"/>
              <w:rPr>
                <w:sz w:val="20"/>
                <w:szCs w:val="20"/>
                <w:color w:val="auto"/>
              </w:rPr>
            </w:pPr>
            <w:r>
              <w:rPr>
                <w:rFonts w:ascii="Arial" w:cs="Arial" w:eastAsia="Arial" w:hAnsi="Arial"/>
                <w:sz w:val="14"/>
                <w:szCs w:val="14"/>
                <w:color w:val="auto"/>
              </w:rPr>
              <w:t>97,500</w:t>
            </w:r>
          </w:p>
        </w:tc>
        <w:tc>
          <w:tcPr>
            <w:tcW w:w="520" w:type="dxa"/>
            <w:vAlign w:val="bottom"/>
            <w:tcBorders>
              <w:bottom w:val="single" w:sz="8" w:color="E5EAF5"/>
            </w:tcBorders>
            <w:shd w:val="clear" w:color="auto" w:fill="E5EAF5"/>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E5EAF5"/>
            </w:tcBorders>
            <w:shd w:val="clear" w:color="auto" w:fill="E5EAF5"/>
          </w:tcPr>
          <w:p>
            <w:pPr>
              <w:jc w:val="right"/>
              <w:ind w:right="170"/>
              <w:spacing w:after="0"/>
              <w:rPr>
                <w:sz w:val="20"/>
                <w:szCs w:val="20"/>
                <w:color w:val="auto"/>
              </w:rPr>
            </w:pPr>
            <w:r>
              <w:rPr>
                <w:rFonts w:ascii="Arial" w:cs="Arial" w:eastAsia="Arial" w:hAnsi="Arial"/>
                <w:sz w:val="14"/>
                <w:szCs w:val="14"/>
                <w:color w:val="auto"/>
              </w:rPr>
              <w:t>5,500</w:t>
            </w:r>
          </w:p>
        </w:tc>
        <w:tc>
          <w:tcPr>
            <w:tcW w:w="1240" w:type="dxa"/>
            <w:vAlign w:val="bottom"/>
            <w:tcBorders>
              <w:bottom w:val="single" w:sz="8" w:color="E5EAF5"/>
            </w:tcBorders>
            <w:shd w:val="clear" w:color="auto" w:fill="E5EAF5"/>
          </w:tcPr>
          <w:p>
            <w:pPr>
              <w:jc w:val="right"/>
              <w:ind w:right="173"/>
              <w:spacing w:after="0"/>
              <w:rPr>
                <w:sz w:val="20"/>
                <w:szCs w:val="20"/>
                <w:color w:val="auto"/>
              </w:rPr>
            </w:pPr>
            <w:r>
              <w:rPr>
                <w:rFonts w:ascii="Arial" w:cs="Arial" w:eastAsia="Arial" w:hAnsi="Arial"/>
                <w:sz w:val="14"/>
                <w:szCs w:val="14"/>
                <w:color w:val="auto"/>
              </w:rPr>
              <w:t>$  225,150</w:t>
            </w:r>
          </w:p>
        </w:tc>
        <w:tc>
          <w:tcPr>
            <w:tcW w:w="340" w:type="dxa"/>
            <w:vAlign w:val="bottom"/>
            <w:tcBorders>
              <w:bottom w:val="single" w:sz="8" w:color="E5EAF5"/>
            </w:tcBorders>
            <w:shd w:val="clear" w:color="auto" w:fill="E5EAF5"/>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E5EAF5"/>
            </w:tcBorders>
            <w:shd w:val="clear" w:color="auto" w:fill="E5EAF5"/>
          </w:tcPr>
          <w:p>
            <w:pPr>
              <w:jc w:val="right"/>
              <w:ind w:right="130"/>
              <w:spacing w:after="0"/>
              <w:rPr>
                <w:sz w:val="20"/>
                <w:szCs w:val="20"/>
                <w:color w:val="auto"/>
              </w:rPr>
            </w:pPr>
            <w:r>
              <w:rPr>
                <w:rFonts w:ascii="Arial" w:cs="Arial" w:eastAsia="Arial" w:hAnsi="Arial"/>
                <w:sz w:val="14"/>
                <w:szCs w:val="14"/>
                <w:color w:val="auto"/>
              </w:rPr>
              <w:t>52,363</w:t>
            </w:r>
          </w:p>
        </w:tc>
        <w:tc>
          <w:tcPr>
            <w:tcW w:w="900" w:type="dxa"/>
            <w:vAlign w:val="bottom"/>
            <w:tcBorders>
              <w:bottom w:val="single" w:sz="8" w:color="E5EAF5"/>
            </w:tcBorders>
            <w:shd w:val="clear" w:color="auto" w:fill="E5EAF5"/>
          </w:tcPr>
          <w:p>
            <w:pPr>
              <w:jc w:val="right"/>
              <w:ind w:right="10"/>
              <w:spacing w:after="0"/>
              <w:rPr>
                <w:sz w:val="20"/>
                <w:szCs w:val="20"/>
                <w:color w:val="auto"/>
              </w:rPr>
            </w:pPr>
            <w:r>
              <w:rPr>
                <w:rFonts w:ascii="Arial" w:cs="Arial" w:eastAsia="Arial" w:hAnsi="Arial"/>
                <w:sz w:val="14"/>
                <w:szCs w:val="14"/>
                <w:color w:val="auto"/>
              </w:rPr>
              <w:t>$380,513</w:t>
            </w:r>
          </w:p>
        </w:tc>
      </w:tr>
      <w:tr>
        <w:trPr>
          <w:trHeight w:val="183"/>
        </w:trPr>
        <w:tc>
          <w:tcPr>
            <w:tcW w:w="3200" w:type="dxa"/>
            <w:vAlign w:val="bottom"/>
          </w:tcPr>
          <w:p>
            <w:pPr>
              <w:ind w:left="80"/>
              <w:spacing w:after="0"/>
              <w:rPr>
                <w:sz w:val="20"/>
                <w:szCs w:val="20"/>
                <w:color w:val="auto"/>
              </w:rPr>
            </w:pPr>
            <w:r>
              <w:rPr>
                <w:rFonts w:ascii="Arial" w:cs="Arial" w:eastAsia="Arial" w:hAnsi="Arial"/>
                <w:sz w:val="14"/>
                <w:szCs w:val="14"/>
                <w:color w:val="auto"/>
              </w:rPr>
              <w:t>Mr. Domanico</w:t>
            </w:r>
          </w:p>
        </w:tc>
        <w:tc>
          <w:tcPr>
            <w:tcW w:w="5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59,583</w:t>
            </w:r>
          </w:p>
        </w:tc>
        <w:tc>
          <w:tcPr>
            <w:tcW w:w="520" w:type="dxa"/>
            <w:vAlign w:val="bottom"/>
          </w:tcPr>
          <w:p>
            <w:pPr>
              <w:spacing w:after="0"/>
              <w:rPr>
                <w:sz w:val="15"/>
                <w:szCs w:val="15"/>
                <w:color w:val="auto"/>
              </w:rPr>
            </w:pPr>
          </w:p>
        </w:tc>
        <w:tc>
          <w:tcPr>
            <w:tcW w:w="900" w:type="dxa"/>
            <w:vAlign w:val="bottom"/>
          </w:tcPr>
          <w:p>
            <w:pPr>
              <w:jc w:val="right"/>
              <w:ind w:right="170"/>
              <w:spacing w:after="0"/>
              <w:rPr>
                <w:sz w:val="20"/>
                <w:szCs w:val="20"/>
                <w:color w:val="auto"/>
              </w:rPr>
            </w:pPr>
            <w:r>
              <w:rPr>
                <w:rFonts w:ascii="Arial" w:cs="Arial" w:eastAsia="Arial" w:hAnsi="Arial"/>
                <w:sz w:val="14"/>
                <w:szCs w:val="14"/>
                <w:color w:val="auto"/>
              </w:rPr>
              <w:t>5,500</w:t>
            </w:r>
          </w:p>
        </w:tc>
        <w:tc>
          <w:tcPr>
            <w:tcW w:w="1240" w:type="dxa"/>
            <w:vAlign w:val="bottom"/>
          </w:tcPr>
          <w:p>
            <w:pPr>
              <w:jc w:val="right"/>
              <w:ind w:right="173"/>
              <w:spacing w:after="0"/>
              <w:rPr>
                <w:sz w:val="20"/>
                <w:szCs w:val="20"/>
                <w:color w:val="auto"/>
              </w:rPr>
            </w:pPr>
            <w:r>
              <w:rPr>
                <w:rFonts w:ascii="Arial" w:cs="Arial" w:eastAsia="Arial" w:hAnsi="Arial"/>
                <w:sz w:val="14"/>
                <w:szCs w:val="14"/>
                <w:color w:val="auto"/>
              </w:rPr>
              <w:t>81,402</w:t>
            </w:r>
          </w:p>
        </w:tc>
        <w:tc>
          <w:tcPr>
            <w:tcW w:w="340" w:type="dxa"/>
            <w:vAlign w:val="bottom"/>
          </w:tcPr>
          <w:p>
            <w:pPr>
              <w:spacing w:after="0"/>
              <w:rPr>
                <w:sz w:val="15"/>
                <w:szCs w:val="15"/>
                <w:color w:val="auto"/>
              </w:rPr>
            </w:pPr>
          </w:p>
        </w:tc>
        <w:tc>
          <w:tcPr>
            <w:tcW w:w="920" w:type="dxa"/>
            <w:vAlign w:val="bottom"/>
          </w:tcPr>
          <w:p>
            <w:pPr>
              <w:jc w:val="right"/>
              <w:ind w:right="130"/>
              <w:spacing w:after="0"/>
              <w:rPr>
                <w:sz w:val="20"/>
                <w:szCs w:val="20"/>
                <w:color w:val="auto"/>
              </w:rPr>
            </w:pPr>
            <w:r>
              <w:rPr>
                <w:rFonts w:ascii="Arial" w:cs="Arial" w:eastAsia="Arial" w:hAnsi="Arial"/>
                <w:sz w:val="14"/>
                <w:szCs w:val="14"/>
                <w:color w:val="auto"/>
              </w:rPr>
              <w:t>11,614</w:t>
            </w:r>
          </w:p>
        </w:tc>
        <w:tc>
          <w:tcPr>
            <w:tcW w:w="900" w:type="dxa"/>
            <w:vAlign w:val="bottom"/>
          </w:tcPr>
          <w:p>
            <w:pPr>
              <w:jc w:val="right"/>
              <w:ind w:right="10"/>
              <w:spacing w:after="0"/>
              <w:rPr>
                <w:sz w:val="20"/>
                <w:szCs w:val="20"/>
                <w:color w:val="auto"/>
              </w:rPr>
            </w:pPr>
            <w:r>
              <w:rPr>
                <w:rFonts w:ascii="Arial" w:cs="Arial" w:eastAsia="Arial" w:hAnsi="Arial"/>
                <w:sz w:val="14"/>
                <w:szCs w:val="14"/>
                <w:color w:val="auto"/>
              </w:rPr>
              <w:t>158,099</w:t>
            </w:r>
          </w:p>
        </w:tc>
      </w:tr>
      <w:tr>
        <w:trPr>
          <w:trHeight w:val="175"/>
        </w:trPr>
        <w:tc>
          <w:tcPr>
            <w:tcW w:w="3200" w:type="dxa"/>
            <w:vAlign w:val="bottom"/>
            <w:tcBorders>
              <w:bottom w:val="single" w:sz="8" w:color="E5EAF5"/>
            </w:tcBorders>
            <w:shd w:val="clear" w:color="auto" w:fill="E5EAF5"/>
          </w:tcPr>
          <w:p>
            <w:pPr>
              <w:ind w:left="80"/>
              <w:spacing w:after="0"/>
              <w:rPr>
                <w:sz w:val="20"/>
                <w:szCs w:val="20"/>
                <w:color w:val="auto"/>
              </w:rPr>
            </w:pPr>
            <w:r>
              <w:rPr>
                <w:rFonts w:ascii="Arial" w:cs="Arial" w:eastAsia="Arial" w:hAnsi="Arial"/>
                <w:sz w:val="14"/>
                <w:szCs w:val="14"/>
                <w:color w:val="auto"/>
              </w:rPr>
              <w:t>Mr. Beech</w:t>
            </w:r>
          </w:p>
        </w:tc>
        <w:tc>
          <w:tcPr>
            <w:tcW w:w="540" w:type="dxa"/>
            <w:vAlign w:val="bottom"/>
            <w:tcBorders>
              <w:bottom w:val="single" w:sz="8" w:color="E5EAF5"/>
            </w:tcBorders>
            <w:shd w:val="clear" w:color="auto" w:fill="E5EAF5"/>
          </w:tcPr>
          <w:p>
            <w:pPr>
              <w:spacing w:after="0"/>
              <w:rPr>
                <w:sz w:val="15"/>
                <w:szCs w:val="15"/>
                <w:color w:val="auto"/>
              </w:rPr>
            </w:pPr>
          </w:p>
        </w:tc>
        <w:tc>
          <w:tcPr>
            <w:tcW w:w="700" w:type="dxa"/>
            <w:vAlign w:val="bottom"/>
            <w:tcBorders>
              <w:bottom w:val="single" w:sz="8" w:color="E5EAF5"/>
            </w:tcBorders>
            <w:shd w:val="clear" w:color="auto" w:fill="E5EAF5"/>
          </w:tcPr>
          <w:p>
            <w:pPr>
              <w:jc w:val="right"/>
              <w:spacing w:after="0"/>
              <w:rPr>
                <w:sz w:val="20"/>
                <w:szCs w:val="20"/>
                <w:color w:val="auto"/>
              </w:rPr>
            </w:pPr>
            <w:r>
              <w:rPr>
                <w:rFonts w:ascii="Arial" w:cs="Arial" w:eastAsia="Arial" w:hAnsi="Arial"/>
                <w:sz w:val="14"/>
                <w:szCs w:val="14"/>
                <w:color w:val="auto"/>
              </w:rPr>
              <w:t>49,167</w:t>
            </w:r>
          </w:p>
        </w:tc>
        <w:tc>
          <w:tcPr>
            <w:tcW w:w="520" w:type="dxa"/>
            <w:vAlign w:val="bottom"/>
            <w:tcBorders>
              <w:bottom w:val="single" w:sz="8" w:color="E5EAF5"/>
            </w:tcBorders>
            <w:shd w:val="clear" w:color="auto" w:fill="E5EAF5"/>
          </w:tcPr>
          <w:p>
            <w:pPr>
              <w:spacing w:after="0"/>
              <w:rPr>
                <w:sz w:val="15"/>
                <w:szCs w:val="15"/>
                <w:color w:val="auto"/>
              </w:rPr>
            </w:pPr>
          </w:p>
        </w:tc>
        <w:tc>
          <w:tcPr>
            <w:tcW w:w="900" w:type="dxa"/>
            <w:vAlign w:val="bottom"/>
            <w:tcBorders>
              <w:bottom w:val="single" w:sz="8" w:color="E5EAF5"/>
            </w:tcBorders>
            <w:shd w:val="clear" w:color="auto" w:fill="E5EAF5"/>
          </w:tcPr>
          <w:p>
            <w:pPr>
              <w:jc w:val="right"/>
              <w:ind w:right="170"/>
              <w:spacing w:after="0"/>
              <w:rPr>
                <w:sz w:val="20"/>
                <w:szCs w:val="20"/>
                <w:color w:val="auto"/>
              </w:rPr>
            </w:pPr>
            <w:r>
              <w:rPr>
                <w:rFonts w:ascii="Arial" w:cs="Arial" w:eastAsia="Arial" w:hAnsi="Arial"/>
                <w:sz w:val="14"/>
                <w:szCs w:val="14"/>
                <w:color w:val="auto"/>
              </w:rPr>
              <w:t>5,500</w:t>
            </w:r>
          </w:p>
        </w:tc>
        <w:tc>
          <w:tcPr>
            <w:tcW w:w="1240" w:type="dxa"/>
            <w:vAlign w:val="bottom"/>
            <w:tcBorders>
              <w:bottom w:val="single" w:sz="8" w:color="E5EAF5"/>
            </w:tcBorders>
            <w:shd w:val="clear" w:color="auto" w:fill="E5EAF5"/>
          </w:tcPr>
          <w:p>
            <w:pPr>
              <w:jc w:val="right"/>
              <w:ind w:right="173"/>
              <w:spacing w:after="0"/>
              <w:rPr>
                <w:sz w:val="20"/>
                <w:szCs w:val="20"/>
                <w:color w:val="auto"/>
              </w:rPr>
            </w:pPr>
            <w:r>
              <w:rPr>
                <w:rFonts w:ascii="Arial" w:cs="Arial" w:eastAsia="Arial" w:hAnsi="Arial"/>
                <w:sz w:val="14"/>
                <w:szCs w:val="14"/>
                <w:color w:val="auto"/>
              </w:rPr>
              <w:t>62,400</w:t>
            </w:r>
          </w:p>
        </w:tc>
        <w:tc>
          <w:tcPr>
            <w:tcW w:w="340" w:type="dxa"/>
            <w:vAlign w:val="bottom"/>
            <w:tcBorders>
              <w:bottom w:val="single" w:sz="8" w:color="E5EAF5"/>
            </w:tcBorders>
            <w:shd w:val="clear" w:color="auto" w:fill="E5EAF5"/>
          </w:tcPr>
          <w:p>
            <w:pPr>
              <w:spacing w:after="0"/>
              <w:rPr>
                <w:sz w:val="15"/>
                <w:szCs w:val="15"/>
                <w:color w:val="auto"/>
              </w:rPr>
            </w:pPr>
          </w:p>
        </w:tc>
        <w:tc>
          <w:tcPr>
            <w:tcW w:w="920" w:type="dxa"/>
            <w:vAlign w:val="bottom"/>
            <w:tcBorders>
              <w:bottom w:val="single" w:sz="8" w:color="E5EAF5"/>
            </w:tcBorders>
            <w:shd w:val="clear" w:color="auto" w:fill="E5EAF5"/>
          </w:tcPr>
          <w:p>
            <w:pPr>
              <w:jc w:val="right"/>
              <w:ind w:right="130"/>
              <w:spacing w:after="0"/>
              <w:rPr>
                <w:sz w:val="20"/>
                <w:szCs w:val="20"/>
                <w:color w:val="auto"/>
              </w:rPr>
            </w:pPr>
            <w:r>
              <w:rPr>
                <w:rFonts w:ascii="Arial" w:cs="Arial" w:eastAsia="Arial" w:hAnsi="Arial"/>
                <w:sz w:val="14"/>
                <w:szCs w:val="14"/>
                <w:color w:val="auto"/>
              </w:rPr>
              <w:t>8,233</w:t>
            </w:r>
          </w:p>
        </w:tc>
        <w:tc>
          <w:tcPr>
            <w:tcW w:w="900" w:type="dxa"/>
            <w:vAlign w:val="bottom"/>
            <w:tcBorders>
              <w:bottom w:val="single" w:sz="8" w:color="E5EAF5"/>
            </w:tcBorders>
            <w:shd w:val="clear" w:color="auto" w:fill="E5EAF5"/>
          </w:tcPr>
          <w:p>
            <w:pPr>
              <w:jc w:val="right"/>
              <w:ind w:right="10"/>
              <w:spacing w:after="0"/>
              <w:rPr>
                <w:sz w:val="20"/>
                <w:szCs w:val="20"/>
                <w:color w:val="auto"/>
              </w:rPr>
            </w:pPr>
            <w:r>
              <w:rPr>
                <w:rFonts w:ascii="Arial" w:cs="Arial" w:eastAsia="Arial" w:hAnsi="Arial"/>
                <w:sz w:val="14"/>
                <w:szCs w:val="14"/>
                <w:color w:val="auto"/>
              </w:rPr>
              <w:t>125,300</w:t>
            </w:r>
          </w:p>
        </w:tc>
      </w:tr>
      <w:tr>
        <w:trPr>
          <w:trHeight w:val="177"/>
        </w:trPr>
        <w:tc>
          <w:tcPr>
            <w:tcW w:w="3200" w:type="dxa"/>
            <w:vAlign w:val="bottom"/>
          </w:tcPr>
          <w:p>
            <w:pPr>
              <w:ind w:left="80"/>
              <w:spacing w:after="0"/>
              <w:rPr>
                <w:sz w:val="20"/>
                <w:szCs w:val="20"/>
                <w:color w:val="auto"/>
              </w:rPr>
            </w:pPr>
            <w:r>
              <w:rPr>
                <w:rFonts w:ascii="Arial" w:cs="Arial" w:eastAsia="Arial" w:hAnsi="Arial"/>
                <w:sz w:val="14"/>
                <w:szCs w:val="14"/>
                <w:color w:val="auto"/>
              </w:rPr>
              <w:t>Mr. Marshall</w:t>
            </w:r>
          </w:p>
        </w:tc>
        <w:tc>
          <w:tcPr>
            <w:tcW w:w="5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50,218</w:t>
            </w:r>
          </w:p>
        </w:tc>
        <w:tc>
          <w:tcPr>
            <w:tcW w:w="520" w:type="dxa"/>
            <w:vAlign w:val="bottom"/>
          </w:tcPr>
          <w:p>
            <w:pPr>
              <w:spacing w:after="0"/>
              <w:rPr>
                <w:sz w:val="15"/>
                <w:szCs w:val="15"/>
                <w:color w:val="auto"/>
              </w:rPr>
            </w:pPr>
          </w:p>
        </w:tc>
        <w:tc>
          <w:tcPr>
            <w:tcW w:w="900" w:type="dxa"/>
            <w:vAlign w:val="bottom"/>
          </w:tcPr>
          <w:p>
            <w:pPr>
              <w:jc w:val="right"/>
              <w:ind w:right="170"/>
              <w:spacing w:after="0"/>
              <w:rPr>
                <w:sz w:val="20"/>
                <w:szCs w:val="20"/>
                <w:color w:val="auto"/>
              </w:rPr>
            </w:pPr>
            <w:r>
              <w:rPr>
                <w:rFonts w:ascii="Arial" w:cs="Arial" w:eastAsia="Arial" w:hAnsi="Arial"/>
                <w:sz w:val="14"/>
                <w:szCs w:val="14"/>
                <w:color w:val="auto"/>
              </w:rPr>
              <w:t>5,500</w:t>
            </w:r>
          </w:p>
        </w:tc>
        <w:tc>
          <w:tcPr>
            <w:tcW w:w="1240" w:type="dxa"/>
            <w:vAlign w:val="bottom"/>
          </w:tcPr>
          <w:p>
            <w:pPr>
              <w:jc w:val="right"/>
              <w:ind w:right="173"/>
              <w:spacing w:after="0"/>
              <w:rPr>
                <w:sz w:val="20"/>
                <w:szCs w:val="20"/>
                <w:color w:val="auto"/>
              </w:rPr>
            </w:pPr>
            <w:r>
              <w:rPr>
                <w:rFonts w:ascii="Arial" w:cs="Arial" w:eastAsia="Arial" w:hAnsi="Arial"/>
                <w:sz w:val="14"/>
                <w:szCs w:val="14"/>
                <w:color w:val="auto"/>
              </w:rPr>
              <w:t>50,414</w:t>
            </w:r>
          </w:p>
        </w:tc>
        <w:tc>
          <w:tcPr>
            <w:tcW w:w="340" w:type="dxa"/>
            <w:vAlign w:val="bottom"/>
          </w:tcPr>
          <w:p>
            <w:pPr>
              <w:spacing w:after="0"/>
              <w:rPr>
                <w:sz w:val="15"/>
                <w:szCs w:val="15"/>
                <w:color w:val="auto"/>
              </w:rPr>
            </w:pPr>
          </w:p>
        </w:tc>
        <w:tc>
          <w:tcPr>
            <w:tcW w:w="920" w:type="dxa"/>
            <w:vAlign w:val="bottom"/>
          </w:tcPr>
          <w:p>
            <w:pPr>
              <w:jc w:val="right"/>
              <w:ind w:right="130"/>
              <w:spacing w:after="0"/>
              <w:rPr>
                <w:sz w:val="20"/>
                <w:szCs w:val="20"/>
                <w:color w:val="auto"/>
              </w:rPr>
            </w:pPr>
            <w:r>
              <w:rPr>
                <w:rFonts w:ascii="Arial" w:cs="Arial" w:eastAsia="Arial" w:hAnsi="Arial"/>
                <w:sz w:val="14"/>
                <w:szCs w:val="14"/>
                <w:color w:val="auto"/>
              </w:rPr>
              <w:t>8,500</w:t>
            </w:r>
          </w:p>
        </w:tc>
        <w:tc>
          <w:tcPr>
            <w:tcW w:w="900" w:type="dxa"/>
            <w:vAlign w:val="bottom"/>
          </w:tcPr>
          <w:p>
            <w:pPr>
              <w:jc w:val="right"/>
              <w:ind w:right="10"/>
              <w:spacing w:after="0"/>
              <w:rPr>
                <w:sz w:val="20"/>
                <w:szCs w:val="20"/>
                <w:color w:val="auto"/>
              </w:rPr>
            </w:pPr>
            <w:r>
              <w:rPr>
                <w:rFonts w:ascii="Arial" w:cs="Arial" w:eastAsia="Arial" w:hAnsi="Arial"/>
                <w:sz w:val="14"/>
                <w:szCs w:val="14"/>
                <w:color w:val="auto"/>
              </w:rPr>
              <w:t>114,632</w:t>
            </w:r>
          </w:p>
        </w:tc>
      </w:tr>
      <w:tr>
        <w:trPr>
          <w:trHeight w:val="26"/>
        </w:trPr>
        <w:tc>
          <w:tcPr>
            <w:tcW w:w="3200" w:type="dxa"/>
            <w:vAlign w:val="bottom"/>
            <w:tcBorders>
              <w:bottom w:val="single" w:sz="8" w:color="0033A0"/>
            </w:tcBorders>
          </w:tcPr>
          <w:p>
            <w:pPr>
              <w:spacing w:after="0"/>
              <w:rPr>
                <w:sz w:val="2"/>
                <w:szCs w:val="2"/>
                <w:color w:val="auto"/>
              </w:rPr>
            </w:pPr>
          </w:p>
        </w:tc>
        <w:tc>
          <w:tcPr>
            <w:tcW w:w="540" w:type="dxa"/>
            <w:vAlign w:val="bottom"/>
            <w:tcBorders>
              <w:bottom w:val="single" w:sz="8" w:color="0033A0"/>
            </w:tcBorders>
          </w:tcPr>
          <w:p>
            <w:pPr>
              <w:spacing w:after="0"/>
              <w:rPr>
                <w:sz w:val="2"/>
                <w:szCs w:val="2"/>
                <w:color w:val="auto"/>
              </w:rPr>
            </w:pPr>
          </w:p>
        </w:tc>
        <w:tc>
          <w:tcPr>
            <w:tcW w:w="700" w:type="dxa"/>
            <w:vAlign w:val="bottom"/>
            <w:tcBorders>
              <w:bottom w:val="single" w:sz="8" w:color="0033A0"/>
            </w:tcBorders>
          </w:tcPr>
          <w:p>
            <w:pPr>
              <w:spacing w:after="0"/>
              <w:rPr>
                <w:sz w:val="2"/>
                <w:szCs w:val="2"/>
                <w:color w:val="auto"/>
              </w:rPr>
            </w:pPr>
          </w:p>
        </w:tc>
        <w:tc>
          <w:tcPr>
            <w:tcW w:w="520" w:type="dxa"/>
            <w:vAlign w:val="bottom"/>
            <w:tcBorders>
              <w:bottom w:val="single" w:sz="8" w:color="0033A0"/>
            </w:tcBorders>
          </w:tcPr>
          <w:p>
            <w:pPr>
              <w:spacing w:after="0"/>
              <w:rPr>
                <w:sz w:val="2"/>
                <w:szCs w:val="2"/>
                <w:color w:val="auto"/>
              </w:rPr>
            </w:pPr>
          </w:p>
        </w:tc>
        <w:tc>
          <w:tcPr>
            <w:tcW w:w="900" w:type="dxa"/>
            <w:vAlign w:val="bottom"/>
            <w:tcBorders>
              <w:bottom w:val="single" w:sz="8" w:color="0033A0"/>
            </w:tcBorders>
          </w:tcPr>
          <w:p>
            <w:pPr>
              <w:spacing w:after="0"/>
              <w:rPr>
                <w:sz w:val="2"/>
                <w:szCs w:val="2"/>
                <w:color w:val="auto"/>
              </w:rPr>
            </w:pPr>
          </w:p>
        </w:tc>
        <w:tc>
          <w:tcPr>
            <w:tcW w:w="1240" w:type="dxa"/>
            <w:vAlign w:val="bottom"/>
            <w:tcBorders>
              <w:bottom w:val="single" w:sz="8" w:color="0033A0"/>
            </w:tcBorders>
          </w:tcPr>
          <w:p>
            <w:pPr>
              <w:spacing w:after="0"/>
              <w:rPr>
                <w:sz w:val="2"/>
                <w:szCs w:val="2"/>
                <w:color w:val="auto"/>
              </w:rPr>
            </w:pPr>
          </w:p>
        </w:tc>
        <w:tc>
          <w:tcPr>
            <w:tcW w:w="340" w:type="dxa"/>
            <w:vAlign w:val="bottom"/>
            <w:tcBorders>
              <w:bottom w:val="single" w:sz="8" w:color="0033A0"/>
            </w:tcBorders>
          </w:tcPr>
          <w:p>
            <w:pPr>
              <w:spacing w:after="0"/>
              <w:rPr>
                <w:sz w:val="2"/>
                <w:szCs w:val="2"/>
                <w:color w:val="auto"/>
              </w:rPr>
            </w:pPr>
          </w:p>
        </w:tc>
        <w:tc>
          <w:tcPr>
            <w:tcW w:w="920" w:type="dxa"/>
            <w:vAlign w:val="bottom"/>
            <w:tcBorders>
              <w:bottom w:val="single" w:sz="8" w:color="0033A0"/>
            </w:tcBorders>
          </w:tcPr>
          <w:p>
            <w:pPr>
              <w:spacing w:after="0"/>
              <w:rPr>
                <w:sz w:val="2"/>
                <w:szCs w:val="2"/>
                <w:color w:val="auto"/>
              </w:rPr>
            </w:pPr>
          </w:p>
        </w:tc>
        <w:tc>
          <w:tcPr>
            <w:tcW w:w="900" w:type="dxa"/>
            <w:vAlign w:val="bottom"/>
            <w:tcBorders>
              <w:bottom w:val="single" w:sz="8" w:color="0033A0"/>
            </w:tcBorders>
          </w:tcPr>
          <w:p>
            <w:pPr>
              <w:spacing w:after="0"/>
              <w:rPr>
                <w:sz w:val="2"/>
                <w:szCs w:val="2"/>
                <w:color w:val="auto"/>
              </w:rPr>
            </w:pPr>
          </w:p>
        </w:tc>
      </w:tr>
    </w:tbl>
    <w:p>
      <w:pPr>
        <w:spacing w:after="0" w:line="126" w:lineRule="exact"/>
        <w:rPr>
          <w:sz w:val="20"/>
          <w:szCs w:val="20"/>
          <w:color w:val="auto"/>
        </w:rPr>
      </w:pPr>
    </w:p>
    <w:p>
      <w:pPr>
        <w:ind w:left="960" w:right="40" w:hanging="432"/>
        <w:spacing w:after="0" w:line="183" w:lineRule="auto"/>
        <w:tabs>
          <w:tab w:leader="none" w:pos="960" w:val="left"/>
        </w:tabs>
        <w:numPr>
          <w:ilvl w:val="0"/>
          <w:numId w:val="45"/>
        </w:numPr>
        <w:rPr>
          <w:rFonts w:ascii="Arial" w:cs="Arial" w:eastAsia="Arial" w:hAnsi="Arial"/>
          <w:sz w:val="24"/>
          <w:szCs w:val="24"/>
          <w:color w:val="auto"/>
          <w:vertAlign w:val="superscript"/>
        </w:rPr>
      </w:pPr>
      <w:r>
        <w:rPr>
          <w:rFonts w:ascii="Arial" w:cs="Arial" w:eastAsia="Arial" w:hAnsi="Arial"/>
          <w:sz w:val="14"/>
          <w:szCs w:val="14"/>
          <w:color w:val="auto"/>
        </w:rPr>
        <w:t>Perquisites and personal benefits in 2018 for Messrs. Domanico, Beech and Zukerman, who received perquisites and personal benefits totaling $10,000 or more as detailed below.</w:t>
      </w:r>
    </w:p>
    <w:p>
      <w:pPr>
        <w:spacing w:after="0" w:line="71" w:lineRule="exact"/>
        <w:rPr>
          <w:sz w:val="20"/>
          <w:szCs w:val="20"/>
          <w:color w:val="auto"/>
        </w:rPr>
      </w:pPr>
    </w:p>
    <w:tbl>
      <w:tblPr>
        <w:tblLayout w:type="fixed"/>
        <w:tblInd w:w="1080" w:type="dxa"/>
        <w:tblCellMar>
          <w:top w:w="0" w:type="dxa"/>
          <w:left w:w="0" w:type="dxa"/>
          <w:bottom w:w="0" w:type="dxa"/>
          <w:right w:w="0" w:type="dxa"/>
        </w:tblCellMar>
      </w:tblPr>
      <w:tr>
        <w:trPr>
          <w:trHeight w:val="149"/>
        </w:trPr>
        <w:tc>
          <w:tcPr>
            <w:tcW w:w="3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00" w:type="dxa"/>
            <w:vAlign w:val="bottom"/>
          </w:tcPr>
          <w:p>
            <w:pPr>
              <w:jc w:val="center"/>
              <w:ind w:right="373"/>
              <w:spacing w:after="0"/>
              <w:rPr>
                <w:sz w:val="20"/>
                <w:szCs w:val="20"/>
                <w:color w:val="auto"/>
              </w:rPr>
            </w:pPr>
            <w:r>
              <w:rPr>
                <w:rFonts w:ascii="Arial" w:cs="Arial" w:eastAsia="Arial" w:hAnsi="Arial"/>
                <w:sz w:val="13"/>
                <w:szCs w:val="13"/>
                <w:b w:val="1"/>
                <w:bCs w:val="1"/>
                <w:color w:val="0033A0"/>
                <w:w w:val="98"/>
              </w:rPr>
              <w:t>Personal</w:t>
            </w: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35"/>
        </w:trPr>
        <w:tc>
          <w:tcPr>
            <w:tcW w:w="3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tcPr>
          <w:p>
            <w:pPr>
              <w:jc w:val="center"/>
              <w:ind w:right="373"/>
              <w:spacing w:after="0" w:line="135" w:lineRule="exact"/>
              <w:rPr>
                <w:sz w:val="20"/>
                <w:szCs w:val="20"/>
                <w:color w:val="auto"/>
              </w:rPr>
            </w:pPr>
            <w:r>
              <w:rPr>
                <w:rFonts w:ascii="Arial" w:cs="Arial" w:eastAsia="Arial" w:hAnsi="Arial"/>
                <w:sz w:val="13"/>
                <w:szCs w:val="13"/>
                <w:b w:val="1"/>
                <w:bCs w:val="1"/>
                <w:color w:val="0033A0"/>
                <w:w w:val="94"/>
              </w:rPr>
              <w:t>and</w:t>
            </w: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5"/>
        </w:trPr>
        <w:tc>
          <w:tcPr>
            <w:tcW w:w="3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jc w:val="center"/>
              <w:ind w:right="72"/>
              <w:spacing w:after="0" w:line="135" w:lineRule="exact"/>
              <w:rPr>
                <w:sz w:val="20"/>
                <w:szCs w:val="20"/>
                <w:color w:val="auto"/>
              </w:rPr>
            </w:pPr>
            <w:r>
              <w:rPr>
                <w:rFonts w:ascii="Arial" w:cs="Arial" w:eastAsia="Arial" w:hAnsi="Arial"/>
                <w:sz w:val="13"/>
                <w:szCs w:val="13"/>
                <w:b w:val="1"/>
                <w:bCs w:val="1"/>
                <w:color w:val="0033A0"/>
                <w:w w:val="95"/>
              </w:rPr>
              <w:t>Executive</w:t>
            </w:r>
          </w:p>
        </w:tc>
        <w:tc>
          <w:tcPr>
            <w:tcW w:w="1800" w:type="dxa"/>
            <w:vAlign w:val="bottom"/>
            <w:gridSpan w:val="2"/>
          </w:tcPr>
          <w:p>
            <w:pPr>
              <w:jc w:val="center"/>
              <w:ind w:left="214"/>
              <w:spacing w:after="0" w:line="135" w:lineRule="exact"/>
              <w:rPr>
                <w:sz w:val="20"/>
                <w:szCs w:val="20"/>
                <w:color w:val="auto"/>
              </w:rPr>
            </w:pPr>
            <w:r>
              <w:rPr>
                <w:rFonts w:ascii="Arial" w:cs="Arial" w:eastAsia="Arial" w:hAnsi="Arial"/>
                <w:sz w:val="13"/>
                <w:szCs w:val="13"/>
                <w:b w:val="1"/>
                <w:bCs w:val="1"/>
                <w:color w:val="0033A0"/>
                <w:w w:val="95"/>
              </w:rPr>
              <w:t>Spousal Travel,</w:t>
            </w: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5"/>
        </w:trPr>
        <w:tc>
          <w:tcPr>
            <w:tcW w:w="3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jc w:val="center"/>
              <w:ind w:right="72"/>
              <w:spacing w:after="0" w:line="135" w:lineRule="exact"/>
              <w:rPr>
                <w:sz w:val="20"/>
                <w:szCs w:val="20"/>
                <w:color w:val="auto"/>
              </w:rPr>
            </w:pPr>
            <w:r>
              <w:rPr>
                <w:rFonts w:ascii="Arial" w:cs="Arial" w:eastAsia="Arial" w:hAnsi="Arial"/>
                <w:sz w:val="13"/>
                <w:szCs w:val="13"/>
                <w:b w:val="1"/>
                <w:bCs w:val="1"/>
                <w:color w:val="0033A0"/>
                <w:w w:val="94"/>
              </w:rPr>
              <w:t>Physical</w:t>
            </w:r>
          </w:p>
        </w:tc>
        <w:tc>
          <w:tcPr>
            <w:tcW w:w="700" w:type="dxa"/>
            <w:vAlign w:val="bottom"/>
          </w:tcPr>
          <w:p>
            <w:pPr>
              <w:spacing w:after="0"/>
              <w:rPr>
                <w:sz w:val="11"/>
                <w:szCs w:val="11"/>
                <w:color w:val="auto"/>
              </w:rPr>
            </w:pPr>
          </w:p>
        </w:tc>
        <w:tc>
          <w:tcPr>
            <w:tcW w:w="1100" w:type="dxa"/>
            <w:vAlign w:val="bottom"/>
          </w:tcPr>
          <w:p>
            <w:pPr>
              <w:jc w:val="center"/>
              <w:ind w:right="373"/>
              <w:spacing w:after="0" w:line="135" w:lineRule="exact"/>
              <w:rPr>
                <w:sz w:val="20"/>
                <w:szCs w:val="20"/>
                <w:color w:val="auto"/>
              </w:rPr>
            </w:pPr>
            <w:r>
              <w:rPr>
                <w:rFonts w:ascii="Arial" w:cs="Arial" w:eastAsia="Arial" w:hAnsi="Arial"/>
                <w:sz w:val="13"/>
                <w:szCs w:val="13"/>
                <w:b w:val="1"/>
                <w:bCs w:val="1"/>
                <w:color w:val="0033A0"/>
                <w:w w:val="95"/>
              </w:rPr>
              <w:t>Gifts and</w:t>
            </w:r>
          </w:p>
        </w:tc>
        <w:tc>
          <w:tcPr>
            <w:tcW w:w="480" w:type="dxa"/>
            <w:vAlign w:val="bottom"/>
          </w:tcPr>
          <w:p>
            <w:pPr>
              <w:spacing w:after="0"/>
              <w:rPr>
                <w:sz w:val="11"/>
                <w:szCs w:val="11"/>
                <w:color w:val="auto"/>
              </w:rPr>
            </w:pPr>
          </w:p>
        </w:tc>
        <w:tc>
          <w:tcPr>
            <w:tcW w:w="800" w:type="dxa"/>
            <w:vAlign w:val="bottom"/>
          </w:tcPr>
          <w:p>
            <w:pPr>
              <w:jc w:val="right"/>
              <w:ind w:right="450"/>
              <w:spacing w:after="0" w:line="135" w:lineRule="exact"/>
              <w:rPr>
                <w:sz w:val="20"/>
                <w:szCs w:val="20"/>
                <w:color w:val="auto"/>
              </w:rPr>
            </w:pPr>
            <w:r>
              <w:rPr>
                <w:rFonts w:ascii="Arial" w:cs="Arial" w:eastAsia="Arial" w:hAnsi="Arial"/>
                <w:sz w:val="13"/>
                <w:szCs w:val="13"/>
                <w:b w:val="1"/>
                <w:bCs w:val="1"/>
                <w:color w:val="0033A0"/>
              </w:rPr>
              <w:t>Tax</w:t>
            </w:r>
          </w:p>
        </w:tc>
        <w:tc>
          <w:tcPr>
            <w:tcW w:w="880" w:type="dxa"/>
            <w:vAlign w:val="bottom"/>
          </w:tcPr>
          <w:p>
            <w:pPr>
              <w:spacing w:after="0"/>
              <w:rPr>
                <w:sz w:val="11"/>
                <w:szCs w:val="11"/>
                <w:color w:val="auto"/>
              </w:rPr>
            </w:pPr>
          </w:p>
        </w:tc>
      </w:tr>
      <w:tr>
        <w:trPr>
          <w:trHeight w:val="157"/>
        </w:trPr>
        <w:tc>
          <w:tcPr>
            <w:tcW w:w="3880" w:type="dxa"/>
            <w:vAlign w:val="bottom"/>
            <w:tcBorders>
              <w:bottom w:val="single" w:sz="8" w:color="0033A0"/>
            </w:tcBorders>
          </w:tcPr>
          <w:p>
            <w:pPr>
              <w:ind w:left="80"/>
              <w:spacing w:after="0"/>
              <w:rPr>
                <w:sz w:val="20"/>
                <w:szCs w:val="20"/>
                <w:color w:val="auto"/>
              </w:rPr>
            </w:pPr>
            <w:r>
              <w:rPr>
                <w:rFonts w:ascii="Arial" w:cs="Arial" w:eastAsia="Arial" w:hAnsi="Arial"/>
                <w:sz w:val="13"/>
                <w:szCs w:val="13"/>
                <w:b w:val="1"/>
                <w:bCs w:val="1"/>
                <w:color w:val="0033A0"/>
              </w:rPr>
              <w:t>Name</w:t>
            </w:r>
          </w:p>
        </w:tc>
        <w:tc>
          <w:tcPr>
            <w:tcW w:w="1420" w:type="dxa"/>
            <w:vAlign w:val="bottom"/>
            <w:tcBorders>
              <w:bottom w:val="single" w:sz="8" w:color="0033A0"/>
            </w:tcBorders>
            <w:gridSpan w:val="2"/>
          </w:tcPr>
          <w:p>
            <w:pPr>
              <w:jc w:val="center"/>
              <w:ind w:left="453"/>
              <w:spacing w:after="0"/>
              <w:rPr>
                <w:sz w:val="20"/>
                <w:szCs w:val="20"/>
                <w:color w:val="auto"/>
              </w:rPr>
            </w:pPr>
            <w:r>
              <w:rPr>
                <w:rFonts w:ascii="Arial" w:cs="Arial" w:eastAsia="Arial" w:hAnsi="Arial"/>
                <w:sz w:val="13"/>
                <w:szCs w:val="13"/>
                <w:b w:val="1"/>
                <w:bCs w:val="1"/>
                <w:color w:val="0033A0"/>
                <w:w w:val="96"/>
              </w:rPr>
              <w:t>Examinations</w:t>
            </w:r>
          </w:p>
        </w:tc>
        <w:tc>
          <w:tcPr>
            <w:tcW w:w="1800" w:type="dxa"/>
            <w:vAlign w:val="bottom"/>
            <w:tcBorders>
              <w:bottom w:val="single" w:sz="8" w:color="0033A0"/>
            </w:tcBorders>
            <w:gridSpan w:val="2"/>
          </w:tcPr>
          <w:p>
            <w:pPr>
              <w:jc w:val="center"/>
              <w:ind w:left="214"/>
              <w:spacing w:after="0"/>
              <w:rPr>
                <w:sz w:val="20"/>
                <w:szCs w:val="20"/>
                <w:color w:val="auto"/>
              </w:rPr>
            </w:pPr>
            <w:r>
              <w:rPr>
                <w:rFonts w:ascii="Arial" w:cs="Arial" w:eastAsia="Arial" w:hAnsi="Arial"/>
                <w:sz w:val="13"/>
                <w:szCs w:val="13"/>
                <w:b w:val="1"/>
                <w:bCs w:val="1"/>
                <w:color w:val="0033A0"/>
                <w:w w:val="96"/>
              </w:rPr>
              <w:t>Entertainment</w:t>
            </w:r>
          </w:p>
        </w:tc>
        <w:tc>
          <w:tcPr>
            <w:tcW w:w="1280" w:type="dxa"/>
            <w:vAlign w:val="bottom"/>
            <w:tcBorders>
              <w:bottom w:val="single" w:sz="8" w:color="0033A0"/>
            </w:tcBorders>
            <w:gridSpan w:val="2"/>
          </w:tcPr>
          <w:p>
            <w:pPr>
              <w:ind w:left="320"/>
              <w:spacing w:after="0"/>
              <w:rPr>
                <w:sz w:val="20"/>
                <w:szCs w:val="20"/>
                <w:color w:val="auto"/>
              </w:rPr>
            </w:pPr>
            <w:r>
              <w:rPr>
                <w:rFonts w:ascii="Arial" w:cs="Arial" w:eastAsia="Arial" w:hAnsi="Arial"/>
                <w:sz w:val="13"/>
                <w:szCs w:val="13"/>
                <w:b w:val="1"/>
                <w:bCs w:val="1"/>
                <w:color w:val="0033A0"/>
              </w:rPr>
              <w:t>Preparation</w:t>
            </w:r>
          </w:p>
        </w:tc>
        <w:tc>
          <w:tcPr>
            <w:tcW w:w="880" w:type="dxa"/>
            <w:vAlign w:val="bottom"/>
            <w:tcBorders>
              <w:bottom w:val="single" w:sz="8" w:color="0033A0"/>
            </w:tcBorders>
          </w:tcPr>
          <w:p>
            <w:pPr>
              <w:jc w:val="right"/>
              <w:ind w:right="130"/>
              <w:spacing w:after="0"/>
              <w:rPr>
                <w:sz w:val="20"/>
                <w:szCs w:val="20"/>
                <w:color w:val="auto"/>
              </w:rPr>
            </w:pPr>
            <w:r>
              <w:rPr>
                <w:rFonts w:ascii="Arial" w:cs="Arial" w:eastAsia="Arial" w:hAnsi="Arial"/>
                <w:sz w:val="13"/>
                <w:szCs w:val="13"/>
                <w:b w:val="1"/>
                <w:bCs w:val="1"/>
                <w:color w:val="0033A0"/>
              </w:rPr>
              <w:t>Total</w:t>
            </w:r>
          </w:p>
        </w:tc>
      </w:tr>
      <w:tr>
        <w:trPr>
          <w:trHeight w:val="21"/>
        </w:trPr>
        <w:tc>
          <w:tcPr>
            <w:tcW w:w="3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6"/>
        </w:trPr>
        <w:tc>
          <w:tcPr>
            <w:tcW w:w="3880" w:type="dxa"/>
            <w:vAlign w:val="bottom"/>
            <w:tcBorders>
              <w:bottom w:val="single" w:sz="8" w:color="E5EAF5"/>
            </w:tcBorders>
            <w:shd w:val="clear" w:color="auto" w:fill="E5EAF5"/>
          </w:tcPr>
          <w:p>
            <w:pPr>
              <w:ind w:left="80"/>
              <w:spacing w:after="0"/>
              <w:rPr>
                <w:sz w:val="20"/>
                <w:szCs w:val="20"/>
                <w:color w:val="auto"/>
              </w:rPr>
            </w:pPr>
            <w:r>
              <w:rPr>
                <w:rFonts w:ascii="Arial" w:cs="Arial" w:eastAsia="Arial" w:hAnsi="Arial"/>
                <w:sz w:val="14"/>
                <w:szCs w:val="14"/>
                <w:color w:val="auto"/>
              </w:rPr>
              <w:t>Mr. Domanico</w:t>
            </w:r>
          </w:p>
        </w:tc>
        <w:tc>
          <w:tcPr>
            <w:tcW w:w="660" w:type="dxa"/>
            <w:vAlign w:val="bottom"/>
            <w:tcBorders>
              <w:bottom w:val="single" w:sz="8" w:color="E5EAF5"/>
            </w:tcBorders>
            <w:shd w:val="clear" w:color="auto" w:fill="E5EAF5"/>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E5EAF5"/>
            </w:tcBorders>
            <w:shd w:val="clear" w:color="auto" w:fill="E5EAF5"/>
          </w:tcPr>
          <w:p>
            <w:pPr>
              <w:jc w:val="right"/>
              <w:spacing w:after="0"/>
              <w:rPr>
                <w:sz w:val="20"/>
                <w:szCs w:val="20"/>
                <w:color w:val="auto"/>
              </w:rPr>
            </w:pPr>
            <w:r>
              <w:rPr>
                <w:rFonts w:ascii="Arial" w:cs="Arial" w:eastAsia="Arial" w:hAnsi="Arial"/>
                <w:sz w:val="14"/>
                <w:szCs w:val="14"/>
                <w:color w:val="auto"/>
              </w:rPr>
              <w:t>3,491</w:t>
            </w:r>
          </w:p>
        </w:tc>
        <w:tc>
          <w:tcPr>
            <w:tcW w:w="700" w:type="dxa"/>
            <w:vAlign w:val="bottom"/>
            <w:tcBorders>
              <w:bottom w:val="single" w:sz="8" w:color="E5EAF5"/>
            </w:tcBorders>
            <w:shd w:val="clear" w:color="auto" w:fill="E5EAF5"/>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E5EAF5"/>
            </w:tcBorders>
            <w:shd w:val="clear" w:color="auto" w:fill="E5EAF5"/>
          </w:tcPr>
          <w:p>
            <w:pPr>
              <w:jc w:val="right"/>
              <w:ind w:right="233"/>
              <w:spacing w:after="0"/>
              <w:rPr>
                <w:sz w:val="20"/>
                <w:szCs w:val="20"/>
                <w:color w:val="auto"/>
              </w:rPr>
            </w:pPr>
            <w:r>
              <w:rPr>
                <w:rFonts w:ascii="Arial" w:cs="Arial" w:eastAsia="Arial" w:hAnsi="Arial"/>
                <w:sz w:val="14"/>
                <w:szCs w:val="14"/>
                <w:color w:val="auto"/>
              </w:rPr>
              <w:t>6,844</w:t>
            </w:r>
          </w:p>
        </w:tc>
        <w:tc>
          <w:tcPr>
            <w:tcW w:w="480" w:type="dxa"/>
            <w:vAlign w:val="bottom"/>
            <w:tcBorders>
              <w:bottom w:val="single" w:sz="8" w:color="E5EAF5"/>
            </w:tcBorders>
            <w:shd w:val="clear" w:color="auto" w:fill="E5EAF5"/>
          </w:tcPr>
          <w:p>
            <w:pPr>
              <w:ind w:left="30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E5EAF5"/>
            </w:tcBorders>
            <w:shd w:val="clear" w:color="auto" w:fill="E5EAF5"/>
          </w:tcPr>
          <w:p>
            <w:pPr>
              <w:jc w:val="right"/>
              <w:ind w:right="19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E5EAF5"/>
            </w:tcBorders>
            <w:shd w:val="clear" w:color="auto" w:fill="E5EAF5"/>
          </w:tcPr>
          <w:p>
            <w:pPr>
              <w:jc w:val="right"/>
              <w:ind w:right="10"/>
              <w:spacing w:after="0"/>
              <w:rPr>
                <w:sz w:val="20"/>
                <w:szCs w:val="20"/>
                <w:color w:val="auto"/>
              </w:rPr>
            </w:pPr>
            <w:r>
              <w:rPr>
                <w:rFonts w:ascii="Arial" w:cs="Arial" w:eastAsia="Arial" w:hAnsi="Arial"/>
                <w:sz w:val="14"/>
                <w:szCs w:val="14"/>
                <w:color w:val="auto"/>
              </w:rPr>
              <w:t>$10,335</w:t>
            </w:r>
          </w:p>
        </w:tc>
      </w:tr>
      <w:tr>
        <w:trPr>
          <w:trHeight w:val="183"/>
        </w:trPr>
        <w:tc>
          <w:tcPr>
            <w:tcW w:w="3880" w:type="dxa"/>
            <w:vAlign w:val="bottom"/>
          </w:tcPr>
          <w:p>
            <w:pPr>
              <w:ind w:left="80"/>
              <w:spacing w:after="0"/>
              <w:rPr>
                <w:sz w:val="20"/>
                <w:szCs w:val="20"/>
                <w:color w:val="auto"/>
              </w:rPr>
            </w:pPr>
            <w:r>
              <w:rPr>
                <w:rFonts w:ascii="Arial" w:cs="Arial" w:eastAsia="Arial" w:hAnsi="Arial"/>
                <w:sz w:val="14"/>
                <w:szCs w:val="14"/>
                <w:color w:val="auto"/>
              </w:rPr>
              <w:t>Mr. Beech</w:t>
            </w:r>
          </w:p>
        </w:tc>
        <w:tc>
          <w:tcPr>
            <w:tcW w:w="6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10,373</w:t>
            </w:r>
          </w:p>
        </w:tc>
        <w:tc>
          <w:tcPr>
            <w:tcW w:w="700" w:type="dxa"/>
            <w:vAlign w:val="bottom"/>
          </w:tcPr>
          <w:p>
            <w:pPr>
              <w:spacing w:after="0"/>
              <w:rPr>
                <w:sz w:val="15"/>
                <w:szCs w:val="15"/>
                <w:color w:val="auto"/>
              </w:rPr>
            </w:pPr>
          </w:p>
        </w:tc>
        <w:tc>
          <w:tcPr>
            <w:tcW w:w="1100" w:type="dxa"/>
            <w:vAlign w:val="bottom"/>
          </w:tcPr>
          <w:p>
            <w:pPr>
              <w:jc w:val="right"/>
              <w:ind w:right="233"/>
              <w:spacing w:after="0"/>
              <w:rPr>
                <w:sz w:val="20"/>
                <w:szCs w:val="20"/>
                <w:color w:val="auto"/>
              </w:rPr>
            </w:pPr>
            <w:r>
              <w:rPr>
                <w:rFonts w:ascii="Arial" w:cs="Arial" w:eastAsia="Arial" w:hAnsi="Arial"/>
                <w:sz w:val="14"/>
                <w:szCs w:val="14"/>
                <w:color w:val="auto"/>
              </w:rPr>
              <w:t>37</w:t>
            </w:r>
          </w:p>
        </w:tc>
        <w:tc>
          <w:tcPr>
            <w:tcW w:w="480" w:type="dxa"/>
            <w:vAlign w:val="bottom"/>
          </w:tcPr>
          <w:p>
            <w:pPr>
              <w:spacing w:after="0"/>
              <w:rPr>
                <w:sz w:val="15"/>
                <w:szCs w:val="15"/>
                <w:color w:val="auto"/>
              </w:rPr>
            </w:pPr>
          </w:p>
        </w:tc>
        <w:tc>
          <w:tcPr>
            <w:tcW w:w="800" w:type="dxa"/>
            <w:vAlign w:val="bottom"/>
          </w:tcPr>
          <w:p>
            <w:pPr>
              <w:jc w:val="right"/>
              <w:ind w:right="19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0"/>
              <w:spacing w:after="0"/>
              <w:rPr>
                <w:sz w:val="20"/>
                <w:szCs w:val="20"/>
                <w:color w:val="auto"/>
              </w:rPr>
            </w:pPr>
            <w:r>
              <w:rPr>
                <w:rFonts w:ascii="Arial" w:cs="Arial" w:eastAsia="Arial" w:hAnsi="Arial"/>
                <w:sz w:val="14"/>
                <w:szCs w:val="14"/>
                <w:color w:val="auto"/>
              </w:rPr>
              <w:t>10,410</w:t>
            </w:r>
          </w:p>
        </w:tc>
      </w:tr>
      <w:tr>
        <w:trPr>
          <w:trHeight w:val="189"/>
        </w:trPr>
        <w:tc>
          <w:tcPr>
            <w:tcW w:w="3880" w:type="dxa"/>
            <w:vAlign w:val="bottom"/>
            <w:tcBorders>
              <w:bottom w:val="single" w:sz="8" w:color="E5EAF5"/>
            </w:tcBorders>
            <w:shd w:val="clear" w:color="auto" w:fill="E5EAF5"/>
          </w:tcPr>
          <w:p>
            <w:pPr>
              <w:ind w:left="80"/>
              <w:spacing w:after="0"/>
              <w:rPr>
                <w:sz w:val="20"/>
                <w:szCs w:val="20"/>
                <w:color w:val="auto"/>
              </w:rPr>
            </w:pPr>
            <w:r>
              <w:rPr>
                <w:rFonts w:ascii="Arial" w:cs="Arial" w:eastAsia="Arial" w:hAnsi="Arial"/>
                <w:sz w:val="14"/>
                <w:szCs w:val="14"/>
                <w:color w:val="auto"/>
              </w:rPr>
              <w:t>Mr. Zukerman</w:t>
            </w:r>
          </w:p>
        </w:tc>
        <w:tc>
          <w:tcPr>
            <w:tcW w:w="660" w:type="dxa"/>
            <w:vAlign w:val="bottom"/>
            <w:tcBorders>
              <w:bottom w:val="single" w:sz="8" w:color="E5EAF5"/>
            </w:tcBorders>
            <w:shd w:val="clear" w:color="auto" w:fill="E5EAF5"/>
          </w:tcPr>
          <w:p>
            <w:pPr>
              <w:spacing w:after="0"/>
              <w:rPr>
                <w:sz w:val="16"/>
                <w:szCs w:val="16"/>
                <w:color w:val="auto"/>
              </w:rPr>
            </w:pPr>
          </w:p>
        </w:tc>
        <w:tc>
          <w:tcPr>
            <w:tcW w:w="760" w:type="dxa"/>
            <w:vAlign w:val="bottom"/>
            <w:tcBorders>
              <w:bottom w:val="single" w:sz="8" w:color="E5EAF5"/>
            </w:tcBorders>
            <w:shd w:val="clear" w:color="auto" w:fill="E5EAF5"/>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E5EAF5"/>
            </w:tcBorders>
            <w:shd w:val="clear" w:color="auto" w:fill="E5EAF5"/>
          </w:tcPr>
          <w:p>
            <w:pPr>
              <w:spacing w:after="0"/>
              <w:rPr>
                <w:sz w:val="16"/>
                <w:szCs w:val="16"/>
                <w:color w:val="auto"/>
              </w:rPr>
            </w:pPr>
          </w:p>
        </w:tc>
        <w:tc>
          <w:tcPr>
            <w:tcW w:w="1100" w:type="dxa"/>
            <w:vAlign w:val="bottom"/>
            <w:tcBorders>
              <w:bottom w:val="single" w:sz="8" w:color="E5EAF5"/>
            </w:tcBorders>
            <w:shd w:val="clear" w:color="auto" w:fill="E5EAF5"/>
          </w:tcPr>
          <w:p>
            <w:pPr>
              <w:jc w:val="right"/>
              <w:ind w:right="233"/>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E5EAF5"/>
            </w:tcBorders>
            <w:shd w:val="clear" w:color="auto" w:fill="E5EAF5"/>
          </w:tcPr>
          <w:p>
            <w:pPr>
              <w:spacing w:after="0"/>
              <w:rPr>
                <w:sz w:val="16"/>
                <w:szCs w:val="16"/>
                <w:color w:val="auto"/>
              </w:rPr>
            </w:pPr>
          </w:p>
        </w:tc>
        <w:tc>
          <w:tcPr>
            <w:tcW w:w="800" w:type="dxa"/>
            <w:vAlign w:val="bottom"/>
            <w:tcBorders>
              <w:bottom w:val="single" w:sz="8" w:color="E5EAF5"/>
            </w:tcBorders>
            <w:shd w:val="clear" w:color="auto" w:fill="E5EAF5"/>
          </w:tcPr>
          <w:p>
            <w:pPr>
              <w:jc w:val="right"/>
              <w:ind w:right="190"/>
              <w:spacing w:after="0"/>
              <w:rPr>
                <w:sz w:val="20"/>
                <w:szCs w:val="20"/>
                <w:color w:val="auto"/>
              </w:rPr>
            </w:pPr>
            <w:r>
              <w:rPr>
                <w:rFonts w:ascii="Arial" w:cs="Arial" w:eastAsia="Arial" w:hAnsi="Arial"/>
                <w:sz w:val="14"/>
                <w:szCs w:val="14"/>
                <w:color w:val="auto"/>
              </w:rPr>
              <w:t>15,169</w:t>
            </w:r>
          </w:p>
        </w:tc>
        <w:tc>
          <w:tcPr>
            <w:tcW w:w="880" w:type="dxa"/>
            <w:vAlign w:val="bottom"/>
            <w:tcBorders>
              <w:bottom w:val="single" w:sz="8" w:color="E5EAF5"/>
            </w:tcBorders>
            <w:shd w:val="clear" w:color="auto" w:fill="E5EAF5"/>
          </w:tcPr>
          <w:p>
            <w:pPr>
              <w:jc w:val="right"/>
              <w:ind w:right="10"/>
              <w:spacing w:after="0"/>
              <w:rPr>
                <w:sz w:val="20"/>
                <w:szCs w:val="20"/>
                <w:color w:val="auto"/>
              </w:rPr>
            </w:pPr>
            <w:r>
              <w:rPr>
                <w:rFonts w:ascii="Arial" w:cs="Arial" w:eastAsia="Arial" w:hAnsi="Arial"/>
                <w:sz w:val="14"/>
                <w:szCs w:val="14"/>
                <w:color w:val="auto"/>
              </w:rPr>
              <w:t>15,169</w:t>
            </w:r>
          </w:p>
        </w:tc>
      </w:tr>
      <w:tr>
        <w:trPr>
          <w:trHeight w:val="20"/>
        </w:trPr>
        <w:tc>
          <w:tcPr>
            <w:tcW w:w="3880" w:type="dxa"/>
            <w:vAlign w:val="bottom"/>
            <w:shd w:val="clear" w:color="auto" w:fill="0033A0"/>
          </w:tcPr>
          <w:p>
            <w:pPr>
              <w:spacing w:after="0" w:line="20" w:lineRule="exact"/>
              <w:rPr>
                <w:sz w:val="1"/>
                <w:szCs w:val="1"/>
                <w:color w:val="auto"/>
              </w:rPr>
            </w:pPr>
          </w:p>
        </w:tc>
        <w:tc>
          <w:tcPr>
            <w:tcW w:w="660" w:type="dxa"/>
            <w:vAlign w:val="bottom"/>
            <w:shd w:val="clear" w:color="auto" w:fill="0033A0"/>
          </w:tcPr>
          <w:p>
            <w:pPr>
              <w:spacing w:after="0" w:line="20" w:lineRule="exact"/>
              <w:rPr>
                <w:sz w:val="1"/>
                <w:szCs w:val="1"/>
                <w:color w:val="auto"/>
              </w:rPr>
            </w:pPr>
          </w:p>
        </w:tc>
        <w:tc>
          <w:tcPr>
            <w:tcW w:w="760" w:type="dxa"/>
            <w:vAlign w:val="bottom"/>
            <w:shd w:val="clear" w:color="auto" w:fill="0033A0"/>
          </w:tcPr>
          <w:p>
            <w:pPr>
              <w:spacing w:after="0" w:line="20" w:lineRule="exact"/>
              <w:rPr>
                <w:sz w:val="1"/>
                <w:szCs w:val="1"/>
                <w:color w:val="auto"/>
              </w:rPr>
            </w:pPr>
          </w:p>
        </w:tc>
        <w:tc>
          <w:tcPr>
            <w:tcW w:w="700" w:type="dxa"/>
            <w:vAlign w:val="bottom"/>
            <w:shd w:val="clear" w:color="auto" w:fill="0033A0"/>
          </w:tcPr>
          <w:p>
            <w:pPr>
              <w:spacing w:after="0" w:line="20" w:lineRule="exact"/>
              <w:rPr>
                <w:sz w:val="1"/>
                <w:szCs w:val="1"/>
                <w:color w:val="auto"/>
              </w:rPr>
            </w:pPr>
          </w:p>
        </w:tc>
        <w:tc>
          <w:tcPr>
            <w:tcW w:w="1100" w:type="dxa"/>
            <w:vAlign w:val="bottom"/>
            <w:shd w:val="clear" w:color="auto" w:fill="0033A0"/>
          </w:tcPr>
          <w:p>
            <w:pPr>
              <w:spacing w:after="0" w:line="20" w:lineRule="exact"/>
              <w:rPr>
                <w:sz w:val="1"/>
                <w:szCs w:val="1"/>
                <w:color w:val="auto"/>
              </w:rPr>
            </w:pPr>
          </w:p>
        </w:tc>
        <w:tc>
          <w:tcPr>
            <w:tcW w:w="480" w:type="dxa"/>
            <w:vAlign w:val="bottom"/>
            <w:shd w:val="clear" w:color="auto" w:fill="0033A0"/>
          </w:tcPr>
          <w:p>
            <w:pPr>
              <w:spacing w:after="0" w:line="20" w:lineRule="exact"/>
              <w:rPr>
                <w:sz w:val="1"/>
                <w:szCs w:val="1"/>
                <w:color w:val="auto"/>
              </w:rPr>
            </w:pPr>
          </w:p>
        </w:tc>
        <w:tc>
          <w:tcPr>
            <w:tcW w:w="800" w:type="dxa"/>
            <w:vAlign w:val="bottom"/>
            <w:shd w:val="clear" w:color="auto" w:fill="0033A0"/>
          </w:tcPr>
          <w:p>
            <w:pPr>
              <w:spacing w:after="0" w:line="20" w:lineRule="exact"/>
              <w:rPr>
                <w:sz w:val="1"/>
                <w:szCs w:val="1"/>
                <w:color w:val="auto"/>
              </w:rPr>
            </w:pPr>
          </w:p>
        </w:tc>
        <w:tc>
          <w:tcPr>
            <w:tcW w:w="880" w:type="dxa"/>
            <w:vAlign w:val="bottom"/>
            <w:shd w:val="clear" w:color="auto" w:fill="0033A0"/>
          </w:tcPr>
          <w:p>
            <w:pPr>
              <w:spacing w:after="0" w:line="20" w:lineRule="exact"/>
              <w:rPr>
                <w:sz w:val="1"/>
                <w:szCs w:val="1"/>
                <w:color w:val="auto"/>
              </w:rPr>
            </w:pPr>
          </w:p>
        </w:tc>
      </w:tr>
    </w:tbl>
    <w:p>
      <w:pPr>
        <w:spacing w:after="0" w:line="23" w:lineRule="exact"/>
        <w:rPr>
          <w:sz w:val="20"/>
          <w:szCs w:val="20"/>
          <w:color w:val="auto"/>
        </w:rPr>
      </w:pPr>
    </w:p>
    <w:p>
      <w:pPr>
        <w:ind w:left="1300" w:hanging="326"/>
        <w:spacing w:after="0"/>
        <w:tabs>
          <w:tab w:leader="none" w:pos="1300" w:val="left"/>
        </w:tabs>
        <w:numPr>
          <w:ilvl w:val="0"/>
          <w:numId w:val="46"/>
        </w:numPr>
        <w:rPr>
          <w:rFonts w:ascii="Arial" w:cs="Arial" w:eastAsia="Arial" w:hAnsi="Arial"/>
          <w:sz w:val="24"/>
          <w:szCs w:val="24"/>
          <w:color w:val="auto"/>
          <w:vertAlign w:val="superscript"/>
        </w:rPr>
      </w:pPr>
      <w:r>
        <w:rPr>
          <w:rFonts w:ascii="Arial" w:cs="Arial" w:eastAsia="Arial" w:hAnsi="Arial"/>
          <w:sz w:val="14"/>
          <w:szCs w:val="14"/>
          <w:color w:val="auto"/>
        </w:rPr>
        <w:t>Reflects travel and entertainments expenses in connection with attendance at a Board meeting.</w:t>
      </w:r>
    </w:p>
    <w:p>
      <w:pPr>
        <w:spacing w:after="0" w:line="30" w:lineRule="exact"/>
        <w:rPr>
          <w:rFonts w:ascii="Arial" w:cs="Arial" w:eastAsia="Arial" w:hAnsi="Arial"/>
          <w:sz w:val="24"/>
          <w:szCs w:val="24"/>
          <w:color w:val="auto"/>
          <w:vertAlign w:val="superscript"/>
        </w:rPr>
      </w:pPr>
    </w:p>
    <w:p>
      <w:pPr>
        <w:ind w:left="1300" w:right="300" w:hanging="326"/>
        <w:spacing w:after="0" w:line="183" w:lineRule="auto"/>
        <w:tabs>
          <w:tab w:leader="none" w:pos="1300" w:val="left"/>
        </w:tabs>
        <w:numPr>
          <w:ilvl w:val="0"/>
          <w:numId w:val="46"/>
        </w:numPr>
        <w:rPr>
          <w:rFonts w:ascii="Arial" w:cs="Arial" w:eastAsia="Arial" w:hAnsi="Arial"/>
          <w:sz w:val="24"/>
          <w:szCs w:val="24"/>
          <w:color w:val="auto"/>
          <w:vertAlign w:val="superscript"/>
        </w:rPr>
      </w:pPr>
      <w:r>
        <w:rPr>
          <w:rFonts w:ascii="Arial" w:cs="Arial" w:eastAsia="Arial" w:hAnsi="Arial"/>
          <w:sz w:val="14"/>
          <w:szCs w:val="14"/>
          <w:color w:val="auto"/>
        </w:rPr>
        <w:t>For Mr. Zukerman, amounts in this column were converted from Swiss francs (CHF) to U.S. dollars (USD) using an exchange rate of 1 CHF = 1.008169 USD; and from Hong Kong dollars to USD using an exchange rate of 1 HKD = .127406 USD.</w:t>
      </w:r>
    </w:p>
    <w:p>
      <w:pPr>
        <w:spacing w:after="0" w:line="135" w:lineRule="exact"/>
        <w:rPr>
          <w:sz w:val="20"/>
          <w:szCs w:val="20"/>
          <w:color w:val="auto"/>
        </w:rPr>
      </w:pPr>
    </w:p>
    <w:tbl>
      <w:tblPr>
        <w:tblLayout w:type="fixed"/>
        <w:tblInd w:w="8820" w:type="dxa"/>
        <w:tblCellMar>
          <w:top w:w="0" w:type="dxa"/>
          <w:left w:w="0" w:type="dxa"/>
          <w:bottom w:w="0" w:type="dxa"/>
          <w:right w:w="0" w:type="dxa"/>
        </w:tblCellMar>
      </w:tblPr>
      <w:tr>
        <w:trPr>
          <w:trHeight w:val="297"/>
        </w:trPr>
        <w:tc>
          <w:tcPr>
            <w:tcW w:w="1900" w:type="dxa"/>
            <w:vAlign w:val="bottom"/>
            <w:tcBorders>
              <w:right w:val="single" w:sz="8" w:color="0033A0"/>
            </w:tcBorders>
          </w:tcPr>
          <w:p>
            <w:pPr>
              <w:spacing w:after="0"/>
              <w:rPr>
                <w:sz w:val="20"/>
                <w:szCs w:val="20"/>
                <w:color w:val="auto"/>
              </w:rPr>
            </w:pPr>
            <w:r>
              <w:rPr>
                <w:rFonts w:ascii="Arial" w:cs="Arial" w:eastAsia="Arial" w:hAnsi="Arial"/>
                <w:sz w:val="18"/>
                <w:szCs w:val="18"/>
                <w:i w:val="1"/>
                <w:iCs w:val="1"/>
                <w:color w:val="auto"/>
              </w:rPr>
              <w:t>2019 Proxy Statement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-170815</wp:posOffset>
            </wp:positionV>
            <wp:extent cx="720090" cy="12890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0090" cy="12890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0033A0"/>
        </w:rPr>
        <w:t>The Brink’s Company</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auto"/>
        </w:rPr>
        <w:t>Realized Pay Table for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68580</wp:posOffset>
            </wp:positionV>
            <wp:extent cx="69977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8" w:lineRule="exact"/>
        <w:rPr>
          <w:sz w:val="20"/>
          <w:szCs w:val="20"/>
          <w:color w:val="auto"/>
        </w:rPr>
      </w:pPr>
    </w:p>
    <w:p>
      <w:pPr>
        <w:ind w:left="200" w:right="40"/>
        <w:spacing w:after="0" w:line="239" w:lineRule="auto"/>
        <w:rPr>
          <w:sz w:val="20"/>
          <w:szCs w:val="20"/>
          <w:color w:val="auto"/>
        </w:rPr>
      </w:pPr>
      <w:r>
        <w:rPr>
          <w:rFonts w:ascii="Arial" w:cs="Arial" w:eastAsia="Arial" w:hAnsi="Arial"/>
          <w:sz w:val="18"/>
          <w:szCs w:val="18"/>
          <w:color w:val="auto"/>
        </w:rPr>
        <w:t>The table below provides supplemental disclosure representing the total direct compensation realized by each named executive officer for 2018. The Realized Pay Table below includes the salary paid in 2018, annual incentive payouts for the 2018 performance period paid in 2019, the value of PSUs for the 2016-2018 performance period that vested and were paid in shares of common stock in 2019, the value of RSUs that vested in 2018, and the gain on stock options exercised in 2018, as applicable.</w:t>
      </w:r>
    </w:p>
    <w:p>
      <w:pPr>
        <w:spacing w:after="0" w:line="94" w:lineRule="exact"/>
        <w:rPr>
          <w:sz w:val="20"/>
          <w:szCs w:val="20"/>
          <w:color w:val="auto"/>
        </w:rPr>
      </w:pPr>
    </w:p>
    <w:p>
      <w:pPr>
        <w:ind w:left="200" w:right="60"/>
        <w:spacing w:after="0" w:line="236" w:lineRule="auto"/>
        <w:rPr>
          <w:sz w:val="20"/>
          <w:szCs w:val="20"/>
          <w:color w:val="auto"/>
        </w:rPr>
      </w:pPr>
      <w:r>
        <w:rPr>
          <w:rFonts w:ascii="Arial" w:cs="Arial" w:eastAsia="Arial" w:hAnsi="Arial"/>
          <w:sz w:val="18"/>
          <w:szCs w:val="18"/>
          <w:color w:val="auto"/>
        </w:rPr>
        <w:t>The Realized Pay Table differs substantially from the Summary Compensation Table on page 44 and is not a substitute for that table. The primary difference between the Realized Pay Table and the Summary Compensation Table is that the Realized Pay Table includes the payouts of PSUs after a three-year performance and/or vesting period while the SEC’s calculation of total compensation, as shown in the Summary Compensation table, includes several items that are driven by accounting assumptions. For example, SEC rules require that the grant date fair value of all equity awards (such as PSUs and stock options) be reported in the Summary Compensation Table for the year in which they were granted. In some cases, the actual compensation realized by the named executive officers may be different than what is reported in the Summary Compensation Table and compensation reported may not be realized for a number of years, if at all. Furthermore, realized compensation for a named executive officer for any given year may be greater or less than the compensation reported in the Summary Compensation Table for that year depending on fluctuations in stock prices on the grant and vesting dates, differences in equity grant values from year to year and SEC reporting requirements.</w:t>
      </w:r>
    </w:p>
    <w:p>
      <w:pPr>
        <w:spacing w:after="0" w:line="221"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60" w:type="dxa"/>
            <w:vAlign w:val="bottom"/>
          </w:tcPr>
          <w:p>
            <w:pPr>
              <w:jc w:val="center"/>
              <w:ind w:left="28"/>
              <w:spacing w:after="0"/>
              <w:rPr>
                <w:sz w:val="20"/>
                <w:szCs w:val="20"/>
                <w:color w:val="auto"/>
              </w:rPr>
            </w:pPr>
            <w:r>
              <w:rPr>
                <w:rFonts w:ascii="Arial" w:cs="Arial" w:eastAsia="Arial" w:hAnsi="Arial"/>
                <w:sz w:val="14"/>
                <w:szCs w:val="14"/>
                <w:b w:val="1"/>
                <w:bCs w:val="1"/>
                <w:color w:val="0033A0"/>
              </w:rPr>
              <w:t>Annual</w:t>
            </w: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0033A0"/>
              </w:rPr>
              <w:t>Relative</w:t>
            </w:r>
          </w:p>
        </w:tc>
        <w:tc>
          <w:tcPr>
            <w:tcW w:w="240" w:type="dxa"/>
            <w:vAlign w:val="bottom"/>
          </w:tcPr>
          <w:p>
            <w:pPr>
              <w:spacing w:after="0"/>
              <w:rPr>
                <w:sz w:val="14"/>
                <w:szCs w:val="14"/>
                <w:color w:val="auto"/>
              </w:rPr>
            </w:pPr>
          </w:p>
        </w:tc>
        <w:tc>
          <w:tcPr>
            <w:tcW w:w="960" w:type="dxa"/>
            <w:vAlign w:val="bottom"/>
          </w:tcPr>
          <w:p>
            <w:pPr>
              <w:jc w:val="center"/>
              <w:ind w:right="108"/>
              <w:spacing w:after="0"/>
              <w:rPr>
                <w:sz w:val="20"/>
                <w:szCs w:val="20"/>
                <w:color w:val="auto"/>
              </w:rPr>
            </w:pPr>
            <w:r>
              <w:rPr>
                <w:rFonts w:ascii="Arial" w:cs="Arial" w:eastAsia="Arial" w:hAnsi="Arial"/>
                <w:sz w:val="14"/>
                <w:szCs w:val="14"/>
                <w:b w:val="1"/>
                <w:bCs w:val="1"/>
                <w:color w:val="0033A0"/>
              </w:rPr>
              <w:t>Gain on</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60" w:type="dxa"/>
            <w:vAlign w:val="bottom"/>
          </w:tcPr>
          <w:p>
            <w:pPr>
              <w:jc w:val="center"/>
              <w:ind w:left="8"/>
              <w:spacing w:after="0"/>
              <w:rPr>
                <w:sz w:val="20"/>
                <w:szCs w:val="20"/>
                <w:color w:val="auto"/>
              </w:rPr>
            </w:pPr>
            <w:r>
              <w:rPr>
                <w:rFonts w:ascii="Arial" w:cs="Arial" w:eastAsia="Arial" w:hAnsi="Arial"/>
                <w:sz w:val="14"/>
                <w:szCs w:val="14"/>
                <w:b w:val="1"/>
                <w:bCs w:val="1"/>
                <w:color w:val="0033A0"/>
              </w:rPr>
              <w:t>Incentive</w:t>
            </w:r>
          </w:p>
        </w:tc>
        <w:tc>
          <w:tcPr>
            <w:tcW w:w="880" w:type="dxa"/>
            <w:vAlign w:val="bottom"/>
          </w:tcPr>
          <w:p>
            <w:pPr>
              <w:jc w:val="right"/>
              <w:ind w:right="128"/>
              <w:spacing w:after="0"/>
              <w:rPr>
                <w:sz w:val="20"/>
                <w:szCs w:val="20"/>
                <w:color w:val="auto"/>
              </w:rPr>
            </w:pPr>
            <w:r>
              <w:rPr>
                <w:rFonts w:ascii="Arial" w:cs="Arial" w:eastAsia="Arial" w:hAnsi="Arial"/>
                <w:sz w:val="14"/>
                <w:szCs w:val="14"/>
                <w:b w:val="1"/>
                <w:bCs w:val="1"/>
                <w:color w:val="0033A0"/>
              </w:rPr>
              <w:t>Vested</w:t>
            </w:r>
          </w:p>
        </w:tc>
        <w:tc>
          <w:tcPr>
            <w:tcW w:w="980" w:type="dxa"/>
            <w:vAlign w:val="bottom"/>
          </w:tcPr>
          <w:p>
            <w:pPr>
              <w:jc w:val="right"/>
              <w:ind w:right="168"/>
              <w:spacing w:after="0"/>
              <w:rPr>
                <w:sz w:val="20"/>
                <w:szCs w:val="20"/>
                <w:color w:val="auto"/>
              </w:rPr>
            </w:pPr>
            <w:r>
              <w:rPr>
                <w:rFonts w:ascii="Arial" w:cs="Arial" w:eastAsia="Arial" w:hAnsi="Arial"/>
                <w:sz w:val="14"/>
                <w:szCs w:val="14"/>
                <w:b w:val="1"/>
                <w:bCs w:val="1"/>
                <w:color w:val="0033A0"/>
              </w:rPr>
              <w:t>IM PSU</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0033A0"/>
              </w:rPr>
              <w:t>TSR PSU</w:t>
            </w:r>
          </w:p>
        </w:tc>
        <w:tc>
          <w:tcPr>
            <w:tcW w:w="240" w:type="dxa"/>
            <w:vAlign w:val="bottom"/>
          </w:tcPr>
          <w:p>
            <w:pPr>
              <w:spacing w:after="0"/>
              <w:rPr>
                <w:sz w:val="14"/>
                <w:szCs w:val="14"/>
                <w:color w:val="auto"/>
              </w:rPr>
            </w:pPr>
          </w:p>
        </w:tc>
        <w:tc>
          <w:tcPr>
            <w:tcW w:w="960" w:type="dxa"/>
            <w:vAlign w:val="bottom"/>
          </w:tcPr>
          <w:p>
            <w:pPr>
              <w:jc w:val="center"/>
              <w:ind w:right="128"/>
              <w:spacing w:after="0"/>
              <w:rPr>
                <w:sz w:val="20"/>
                <w:szCs w:val="20"/>
                <w:color w:val="auto"/>
              </w:rPr>
            </w:pPr>
            <w:r>
              <w:rPr>
                <w:rFonts w:ascii="Arial" w:cs="Arial" w:eastAsia="Arial" w:hAnsi="Arial"/>
                <w:sz w:val="14"/>
                <w:szCs w:val="14"/>
                <w:b w:val="1"/>
                <w:bCs w:val="1"/>
                <w:color w:val="0033A0"/>
              </w:rPr>
              <w:t>Exercised</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440" w:type="dxa"/>
            <w:vAlign w:val="bottom"/>
            <w:tcBorders>
              <w:bottom w:val="single" w:sz="8" w:color="0033A0"/>
            </w:tcBorders>
            <w:gridSpan w:val="2"/>
          </w:tcPr>
          <w:p>
            <w:pPr>
              <w:ind w:left="60"/>
              <w:spacing w:after="0"/>
              <w:rPr>
                <w:sz w:val="20"/>
                <w:szCs w:val="20"/>
                <w:color w:val="auto"/>
              </w:rPr>
            </w:pPr>
            <w:r>
              <w:rPr>
                <w:rFonts w:ascii="Arial" w:cs="Arial" w:eastAsia="Arial" w:hAnsi="Arial"/>
                <w:sz w:val="14"/>
                <w:szCs w:val="14"/>
                <w:b w:val="1"/>
                <w:bCs w:val="1"/>
                <w:color w:val="0033A0"/>
              </w:rPr>
              <w:t>Name</w:t>
            </w:r>
          </w:p>
        </w:tc>
        <w:tc>
          <w:tcPr>
            <w:tcW w:w="3560" w:type="dxa"/>
            <w:vAlign w:val="bottom"/>
            <w:tcBorders>
              <w:bottom w:val="single" w:sz="8" w:color="0033A0"/>
            </w:tcBorders>
          </w:tcPr>
          <w:p>
            <w:pPr>
              <w:jc w:val="right"/>
              <w:ind w:right="65"/>
              <w:spacing w:after="0"/>
              <w:rPr>
                <w:sz w:val="20"/>
                <w:szCs w:val="20"/>
                <w:color w:val="auto"/>
              </w:rPr>
            </w:pPr>
            <w:r>
              <w:rPr>
                <w:rFonts w:ascii="Arial" w:cs="Arial" w:eastAsia="Arial" w:hAnsi="Arial"/>
                <w:sz w:val="14"/>
                <w:szCs w:val="14"/>
                <w:b w:val="1"/>
                <w:bCs w:val="1"/>
                <w:color w:val="0033A0"/>
              </w:rPr>
              <w:t>Salary</w:t>
            </w:r>
          </w:p>
        </w:tc>
        <w:tc>
          <w:tcPr>
            <w:tcW w:w="1060" w:type="dxa"/>
            <w:vAlign w:val="bottom"/>
            <w:tcBorders>
              <w:bottom w:val="single" w:sz="8" w:color="0033A0"/>
            </w:tcBorders>
          </w:tcPr>
          <w:p>
            <w:pPr>
              <w:jc w:val="center"/>
              <w:ind w:left="28"/>
              <w:spacing w:after="0"/>
              <w:rPr>
                <w:sz w:val="20"/>
                <w:szCs w:val="20"/>
                <w:color w:val="auto"/>
              </w:rPr>
            </w:pPr>
            <w:r>
              <w:rPr>
                <w:rFonts w:ascii="Arial" w:cs="Arial" w:eastAsia="Arial" w:hAnsi="Arial"/>
                <w:sz w:val="14"/>
                <w:szCs w:val="14"/>
                <w:b w:val="1"/>
                <w:bCs w:val="1"/>
                <w:color w:val="0033A0"/>
              </w:rPr>
              <w:t>Payout</w:t>
            </w:r>
          </w:p>
        </w:tc>
        <w:tc>
          <w:tcPr>
            <w:tcW w:w="880" w:type="dxa"/>
            <w:vAlign w:val="bottom"/>
            <w:tcBorders>
              <w:bottom w:val="single" w:sz="8" w:color="0033A0"/>
            </w:tcBorders>
          </w:tcPr>
          <w:p>
            <w:pPr>
              <w:jc w:val="right"/>
              <w:ind w:right="168"/>
              <w:spacing w:after="0"/>
              <w:rPr>
                <w:sz w:val="20"/>
                <w:szCs w:val="20"/>
                <w:color w:val="auto"/>
              </w:rPr>
            </w:pPr>
            <w:r>
              <w:rPr>
                <w:rFonts w:ascii="Arial" w:cs="Arial" w:eastAsia="Arial" w:hAnsi="Arial"/>
                <w:sz w:val="14"/>
                <w:szCs w:val="14"/>
                <w:b w:val="1"/>
                <w:bCs w:val="1"/>
                <w:color w:val="0033A0"/>
              </w:rPr>
              <w:t>RSUs</w:t>
            </w:r>
          </w:p>
        </w:tc>
        <w:tc>
          <w:tcPr>
            <w:tcW w:w="980" w:type="dxa"/>
            <w:vAlign w:val="bottom"/>
            <w:tcBorders>
              <w:bottom w:val="single" w:sz="8" w:color="0033A0"/>
            </w:tcBorders>
          </w:tcPr>
          <w:p>
            <w:pPr>
              <w:jc w:val="right"/>
              <w:ind w:right="188"/>
              <w:spacing w:after="0"/>
              <w:rPr>
                <w:sz w:val="20"/>
                <w:szCs w:val="20"/>
                <w:color w:val="auto"/>
              </w:rPr>
            </w:pPr>
            <w:r>
              <w:rPr>
                <w:rFonts w:ascii="Arial" w:cs="Arial" w:eastAsia="Arial" w:hAnsi="Arial"/>
                <w:sz w:val="14"/>
                <w:szCs w:val="14"/>
                <w:b w:val="1"/>
                <w:bCs w:val="1"/>
                <w:color w:val="0033A0"/>
              </w:rPr>
              <w:t>Payout</w:t>
            </w:r>
          </w:p>
        </w:tc>
        <w:tc>
          <w:tcPr>
            <w:tcW w:w="980" w:type="dxa"/>
            <w:vAlign w:val="bottom"/>
            <w:tcBorders>
              <w:bottom w:val="single" w:sz="8" w:color="0033A0"/>
            </w:tcBorders>
          </w:tcPr>
          <w:p>
            <w:pPr>
              <w:jc w:val="center"/>
              <w:spacing w:after="0"/>
              <w:rPr>
                <w:sz w:val="20"/>
                <w:szCs w:val="20"/>
                <w:color w:val="auto"/>
              </w:rPr>
            </w:pPr>
            <w:r>
              <w:rPr>
                <w:rFonts w:ascii="Arial" w:cs="Arial" w:eastAsia="Arial" w:hAnsi="Arial"/>
                <w:sz w:val="14"/>
                <w:szCs w:val="14"/>
                <w:b w:val="1"/>
                <w:bCs w:val="1"/>
                <w:color w:val="0033A0"/>
              </w:rPr>
              <w:t>Payout</w:t>
            </w:r>
          </w:p>
        </w:tc>
        <w:tc>
          <w:tcPr>
            <w:tcW w:w="1200" w:type="dxa"/>
            <w:vAlign w:val="bottom"/>
            <w:tcBorders>
              <w:bottom w:val="single" w:sz="8" w:color="0033A0"/>
            </w:tcBorders>
            <w:gridSpan w:val="2"/>
          </w:tcPr>
          <w:p>
            <w:pPr>
              <w:jc w:val="center"/>
              <w:spacing w:after="0"/>
              <w:rPr>
                <w:sz w:val="20"/>
                <w:szCs w:val="20"/>
                <w:color w:val="auto"/>
              </w:rPr>
            </w:pPr>
            <w:r>
              <w:rPr>
                <w:rFonts w:ascii="Arial" w:cs="Arial" w:eastAsia="Arial" w:hAnsi="Arial"/>
                <w:sz w:val="14"/>
                <w:szCs w:val="14"/>
                <w:b w:val="1"/>
                <w:bCs w:val="1"/>
                <w:color w:val="0033A0"/>
              </w:rPr>
              <w:t>Stock Options</w:t>
            </w:r>
          </w:p>
        </w:tc>
        <w:tc>
          <w:tcPr>
            <w:tcW w:w="920" w:type="dxa"/>
            <w:vAlign w:val="bottom"/>
            <w:tcBorders>
              <w:bottom w:val="single" w:sz="8" w:color="0033A0"/>
            </w:tcBorders>
          </w:tcPr>
          <w:p>
            <w:pPr>
              <w:jc w:val="right"/>
              <w:ind w:right="248"/>
              <w:spacing w:after="0"/>
              <w:rPr>
                <w:sz w:val="20"/>
                <w:szCs w:val="20"/>
                <w:color w:val="auto"/>
              </w:rPr>
            </w:pPr>
            <w:r>
              <w:rPr>
                <w:rFonts w:ascii="Arial" w:cs="Arial" w:eastAsia="Arial" w:hAnsi="Arial"/>
                <w:sz w:val="14"/>
                <w:szCs w:val="14"/>
                <w:b w:val="1"/>
                <w:bCs w:val="1"/>
                <w:color w:val="0033A0"/>
              </w:rPr>
              <w:t>Total</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440" w:type="dxa"/>
            <w:vAlign w:val="bottom"/>
            <w:tcBorders>
              <w:bottom w:val="single" w:sz="8" w:color="E5EAF5"/>
            </w:tcBorders>
            <w:gridSpan w:val="2"/>
            <w:shd w:val="clear" w:color="auto" w:fill="E5EAF5"/>
          </w:tcPr>
          <w:p>
            <w:pPr>
              <w:ind w:left="60"/>
              <w:spacing w:after="0"/>
              <w:rPr>
                <w:sz w:val="20"/>
                <w:szCs w:val="20"/>
                <w:color w:val="auto"/>
              </w:rPr>
            </w:pPr>
            <w:r>
              <w:rPr>
                <w:rFonts w:ascii="Arial" w:cs="Arial" w:eastAsia="Arial" w:hAnsi="Arial"/>
                <w:sz w:val="14"/>
                <w:szCs w:val="14"/>
                <w:color w:val="auto"/>
              </w:rPr>
              <w:t>Mr. Pertz</w:t>
            </w:r>
          </w:p>
        </w:tc>
        <w:tc>
          <w:tcPr>
            <w:tcW w:w="3560" w:type="dxa"/>
            <w:vAlign w:val="bottom"/>
            <w:tcBorders>
              <w:bottom w:val="single" w:sz="8" w:color="E5EAF5"/>
            </w:tcBorders>
            <w:shd w:val="clear" w:color="auto" w:fill="E5EAF5"/>
          </w:tcPr>
          <w:p>
            <w:pPr>
              <w:jc w:val="right"/>
              <w:spacing w:after="0"/>
              <w:rPr>
                <w:sz w:val="20"/>
                <w:szCs w:val="20"/>
                <w:color w:val="auto"/>
              </w:rPr>
            </w:pPr>
            <w:r>
              <w:rPr>
                <w:rFonts w:ascii="Arial" w:cs="Arial" w:eastAsia="Arial" w:hAnsi="Arial"/>
                <w:sz w:val="14"/>
                <w:szCs w:val="14"/>
                <w:color w:val="auto"/>
                <w:shd w:val="clear" w:color="auto" w:fill="E5EAF5"/>
              </w:rPr>
              <w:t>$975,000</w:t>
            </w:r>
          </w:p>
        </w:tc>
        <w:tc>
          <w:tcPr>
            <w:tcW w:w="1060" w:type="dxa"/>
            <w:vAlign w:val="bottom"/>
            <w:tcBorders>
              <w:bottom w:val="single" w:sz="8" w:color="E5EAF5"/>
            </w:tcBorders>
            <w:shd w:val="clear" w:color="auto" w:fill="E5EAF5"/>
          </w:tcPr>
          <w:p>
            <w:pPr>
              <w:jc w:val="right"/>
              <w:ind w:right="48"/>
              <w:spacing w:after="0"/>
              <w:rPr>
                <w:sz w:val="20"/>
                <w:szCs w:val="20"/>
                <w:color w:val="auto"/>
              </w:rPr>
            </w:pPr>
            <w:r>
              <w:rPr>
                <w:rFonts w:ascii="Arial" w:cs="Arial" w:eastAsia="Arial" w:hAnsi="Arial"/>
                <w:sz w:val="14"/>
                <w:szCs w:val="14"/>
                <w:color w:val="auto"/>
              </w:rPr>
              <w:t>$1,504,913</w:t>
            </w:r>
          </w:p>
        </w:tc>
        <w:tc>
          <w:tcPr>
            <w:tcW w:w="880" w:type="dxa"/>
            <w:vAlign w:val="bottom"/>
            <w:tcBorders>
              <w:bottom w:val="single" w:sz="8" w:color="E5EAF5"/>
            </w:tcBorders>
            <w:shd w:val="clear" w:color="auto" w:fill="E5EAF5"/>
          </w:tcPr>
          <w:p>
            <w:pPr>
              <w:jc w:val="right"/>
              <w:ind w:right="68"/>
              <w:spacing w:after="0"/>
              <w:rPr>
                <w:sz w:val="20"/>
                <w:szCs w:val="20"/>
                <w:color w:val="auto"/>
              </w:rPr>
            </w:pPr>
            <w:r>
              <w:rPr>
                <w:rFonts w:ascii="Arial" w:cs="Arial" w:eastAsia="Arial" w:hAnsi="Arial"/>
                <w:sz w:val="14"/>
                <w:szCs w:val="14"/>
                <w:color w:val="auto"/>
              </w:rPr>
              <w:t>$455,567</w:t>
            </w:r>
          </w:p>
        </w:tc>
        <w:tc>
          <w:tcPr>
            <w:tcW w:w="980" w:type="dxa"/>
            <w:vAlign w:val="bottom"/>
            <w:tcBorders>
              <w:bottom w:val="single" w:sz="8" w:color="E5EAF5"/>
            </w:tcBorders>
            <w:shd w:val="clear" w:color="auto" w:fill="E5EAF5"/>
          </w:tcPr>
          <w:p>
            <w:pPr>
              <w:jc w:val="right"/>
              <w:ind w:right="48"/>
              <w:spacing w:after="0"/>
              <w:rPr>
                <w:sz w:val="20"/>
                <w:szCs w:val="20"/>
                <w:color w:val="auto"/>
              </w:rPr>
            </w:pPr>
            <w:r>
              <w:rPr>
                <w:rFonts w:ascii="Arial" w:cs="Arial" w:eastAsia="Arial" w:hAnsi="Arial"/>
                <w:sz w:val="14"/>
                <w:szCs w:val="14"/>
                <w:color w:val="auto"/>
              </w:rPr>
              <w:t>$2,397,694</w:t>
            </w:r>
          </w:p>
        </w:tc>
        <w:tc>
          <w:tcPr>
            <w:tcW w:w="980" w:type="dxa"/>
            <w:vAlign w:val="bottom"/>
            <w:tcBorders>
              <w:bottom w:val="single" w:sz="8" w:color="E5EAF5"/>
            </w:tcBorders>
            <w:shd w:val="clear" w:color="auto" w:fill="E5EAF5"/>
          </w:tcPr>
          <w:p>
            <w:pPr>
              <w:jc w:val="right"/>
              <w:ind w:right="48"/>
              <w:spacing w:after="0"/>
              <w:rPr>
                <w:sz w:val="20"/>
                <w:szCs w:val="20"/>
                <w:color w:val="auto"/>
              </w:rPr>
            </w:pPr>
            <w:r>
              <w:rPr>
                <w:rFonts w:ascii="Arial" w:cs="Arial" w:eastAsia="Arial" w:hAnsi="Arial"/>
                <w:sz w:val="14"/>
                <w:szCs w:val="14"/>
                <w:color w:val="auto"/>
              </w:rPr>
              <w:t>$3,140,836</w:t>
            </w:r>
          </w:p>
        </w:tc>
        <w:tc>
          <w:tcPr>
            <w:tcW w:w="240" w:type="dxa"/>
            <w:vAlign w:val="bottom"/>
            <w:tcBorders>
              <w:bottom w:val="single" w:sz="8" w:color="E5EAF5"/>
            </w:tcBorders>
            <w:shd w:val="clear" w:color="auto" w:fill="E5EAF5"/>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E5EAF5"/>
            </w:tcBorders>
            <w:shd w:val="clear" w:color="auto" w:fill="E5EAF5"/>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E5EAF5"/>
            </w:tcBorders>
            <w:shd w:val="clear" w:color="auto" w:fill="E5EAF5"/>
          </w:tcPr>
          <w:p>
            <w:pPr>
              <w:jc w:val="right"/>
              <w:ind w:right="48"/>
              <w:spacing w:after="0"/>
              <w:rPr>
                <w:sz w:val="20"/>
                <w:szCs w:val="20"/>
                <w:color w:val="auto"/>
              </w:rPr>
            </w:pPr>
            <w:r>
              <w:rPr>
                <w:rFonts w:ascii="Arial" w:cs="Arial" w:eastAsia="Arial" w:hAnsi="Arial"/>
                <w:sz w:val="14"/>
                <w:szCs w:val="14"/>
                <w:color w:val="auto"/>
              </w:rPr>
              <w:t>$8,474,010</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440" w:type="dxa"/>
            <w:vAlign w:val="bottom"/>
            <w:gridSpan w:val="2"/>
          </w:tcPr>
          <w:p>
            <w:pPr>
              <w:ind w:left="60"/>
              <w:spacing w:after="0"/>
              <w:rPr>
                <w:sz w:val="20"/>
                <w:szCs w:val="20"/>
                <w:color w:val="auto"/>
              </w:rPr>
            </w:pPr>
            <w:r>
              <w:rPr>
                <w:rFonts w:ascii="Arial" w:cs="Arial" w:eastAsia="Arial" w:hAnsi="Arial"/>
                <w:sz w:val="14"/>
                <w:szCs w:val="14"/>
                <w:color w:val="auto"/>
              </w:rPr>
              <w:t>Mr. Domanico</w:t>
            </w:r>
          </w:p>
        </w:tc>
        <w:tc>
          <w:tcPr>
            <w:tcW w:w="3560" w:type="dxa"/>
            <w:vAlign w:val="bottom"/>
          </w:tcPr>
          <w:p>
            <w:pPr>
              <w:jc w:val="right"/>
              <w:spacing w:after="0"/>
              <w:rPr>
                <w:sz w:val="20"/>
                <w:szCs w:val="20"/>
                <w:color w:val="auto"/>
              </w:rPr>
            </w:pPr>
            <w:r>
              <w:rPr>
                <w:rFonts w:ascii="Arial" w:cs="Arial" w:eastAsia="Arial" w:hAnsi="Arial"/>
                <w:sz w:val="14"/>
                <w:szCs w:val="14"/>
                <w:color w:val="auto"/>
              </w:rPr>
              <w:t>595,833</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626,535</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251,900</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624,886</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823,908</w:t>
            </w:r>
          </w:p>
        </w:tc>
        <w:tc>
          <w:tcPr>
            <w:tcW w:w="240" w:type="dxa"/>
            <w:vAlign w:val="bottom"/>
          </w:tcPr>
          <w:p>
            <w:pPr>
              <w:spacing w:after="0"/>
              <w:rPr>
                <w:sz w:val="15"/>
                <w:szCs w:val="15"/>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2,923,062</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440" w:type="dxa"/>
            <w:vAlign w:val="bottom"/>
            <w:tcBorders>
              <w:bottom w:val="single" w:sz="8" w:color="E5EAF5"/>
            </w:tcBorders>
            <w:gridSpan w:val="2"/>
            <w:shd w:val="clear" w:color="auto" w:fill="E5EAF5"/>
          </w:tcPr>
          <w:p>
            <w:pPr>
              <w:ind w:left="60"/>
              <w:spacing w:after="0"/>
              <w:rPr>
                <w:sz w:val="20"/>
                <w:szCs w:val="20"/>
                <w:color w:val="auto"/>
              </w:rPr>
            </w:pPr>
            <w:r>
              <w:rPr>
                <w:rFonts w:ascii="Arial" w:cs="Arial" w:eastAsia="Arial" w:hAnsi="Arial"/>
                <w:sz w:val="14"/>
                <w:szCs w:val="14"/>
                <w:color w:val="auto"/>
              </w:rPr>
              <w:t>Mr. Beech</w:t>
            </w:r>
          </w:p>
        </w:tc>
        <w:tc>
          <w:tcPr>
            <w:tcW w:w="3560" w:type="dxa"/>
            <w:vAlign w:val="bottom"/>
            <w:tcBorders>
              <w:bottom w:val="single" w:sz="8" w:color="E5EAF5"/>
            </w:tcBorders>
            <w:shd w:val="clear" w:color="auto" w:fill="E5EAF5"/>
          </w:tcPr>
          <w:p>
            <w:pPr>
              <w:jc w:val="right"/>
              <w:spacing w:after="0"/>
              <w:rPr>
                <w:sz w:val="20"/>
                <w:szCs w:val="20"/>
                <w:color w:val="auto"/>
              </w:rPr>
            </w:pPr>
            <w:r>
              <w:rPr>
                <w:rFonts w:ascii="Arial" w:cs="Arial" w:eastAsia="Arial" w:hAnsi="Arial"/>
                <w:sz w:val="14"/>
                <w:szCs w:val="14"/>
                <w:color w:val="auto"/>
              </w:rPr>
              <w:t>491,667</w:t>
            </w:r>
          </w:p>
        </w:tc>
        <w:tc>
          <w:tcPr>
            <w:tcW w:w="1060" w:type="dxa"/>
            <w:vAlign w:val="bottom"/>
            <w:tcBorders>
              <w:bottom w:val="single" w:sz="8" w:color="E5EAF5"/>
            </w:tcBorders>
            <w:shd w:val="clear" w:color="auto" w:fill="E5EAF5"/>
          </w:tcPr>
          <w:p>
            <w:pPr>
              <w:jc w:val="right"/>
              <w:ind w:right="48"/>
              <w:spacing w:after="0"/>
              <w:rPr>
                <w:sz w:val="20"/>
                <w:szCs w:val="20"/>
                <w:color w:val="auto"/>
              </w:rPr>
            </w:pPr>
            <w:r>
              <w:rPr>
                <w:rFonts w:ascii="Arial" w:cs="Arial" w:eastAsia="Arial" w:hAnsi="Arial"/>
                <w:sz w:val="14"/>
                <w:szCs w:val="14"/>
                <w:color w:val="auto"/>
              </w:rPr>
              <w:t>439,779</w:t>
            </w:r>
          </w:p>
        </w:tc>
        <w:tc>
          <w:tcPr>
            <w:tcW w:w="880" w:type="dxa"/>
            <w:vAlign w:val="bottom"/>
            <w:tcBorders>
              <w:bottom w:val="single" w:sz="8" w:color="E5EAF5"/>
            </w:tcBorders>
            <w:shd w:val="clear" w:color="auto" w:fill="E5EAF5"/>
          </w:tcPr>
          <w:p>
            <w:pPr>
              <w:jc w:val="right"/>
              <w:ind w:right="68"/>
              <w:spacing w:after="0"/>
              <w:rPr>
                <w:sz w:val="20"/>
                <w:szCs w:val="20"/>
                <w:color w:val="auto"/>
              </w:rPr>
            </w:pPr>
            <w:r>
              <w:rPr>
                <w:rFonts w:ascii="Arial" w:cs="Arial" w:eastAsia="Arial" w:hAnsi="Arial"/>
                <w:sz w:val="14"/>
                <w:szCs w:val="14"/>
                <w:color w:val="auto"/>
              </w:rPr>
              <w:t>185,026</w:t>
            </w:r>
          </w:p>
        </w:tc>
        <w:tc>
          <w:tcPr>
            <w:tcW w:w="980" w:type="dxa"/>
            <w:vAlign w:val="bottom"/>
            <w:tcBorders>
              <w:bottom w:val="single" w:sz="8" w:color="E5EAF5"/>
            </w:tcBorders>
            <w:shd w:val="clear" w:color="auto" w:fill="E5EAF5"/>
          </w:tcPr>
          <w:p>
            <w:pPr>
              <w:jc w:val="right"/>
              <w:ind w:right="48"/>
              <w:spacing w:after="0"/>
              <w:rPr>
                <w:sz w:val="20"/>
                <w:szCs w:val="20"/>
                <w:color w:val="auto"/>
              </w:rPr>
            </w:pPr>
            <w:r>
              <w:rPr>
                <w:rFonts w:ascii="Arial" w:cs="Arial" w:eastAsia="Arial" w:hAnsi="Arial"/>
                <w:sz w:val="14"/>
                <w:szCs w:val="14"/>
                <w:color w:val="auto"/>
              </w:rPr>
              <w:t>641,530</w:t>
            </w:r>
          </w:p>
        </w:tc>
        <w:tc>
          <w:tcPr>
            <w:tcW w:w="980" w:type="dxa"/>
            <w:vAlign w:val="bottom"/>
            <w:tcBorders>
              <w:bottom w:val="single" w:sz="8" w:color="E5EAF5"/>
            </w:tcBorders>
            <w:shd w:val="clear" w:color="auto" w:fill="E5EAF5"/>
          </w:tcPr>
          <w:p>
            <w:pPr>
              <w:jc w:val="right"/>
              <w:ind w:right="48"/>
              <w:spacing w:after="0"/>
              <w:rPr>
                <w:sz w:val="20"/>
                <w:szCs w:val="20"/>
                <w:color w:val="auto"/>
              </w:rPr>
            </w:pPr>
            <w:r>
              <w:rPr>
                <w:rFonts w:ascii="Arial" w:cs="Arial" w:eastAsia="Arial" w:hAnsi="Arial"/>
                <w:sz w:val="14"/>
                <w:szCs w:val="14"/>
                <w:color w:val="auto"/>
              </w:rPr>
              <w:t>730,302</w:t>
            </w:r>
          </w:p>
        </w:tc>
        <w:tc>
          <w:tcPr>
            <w:tcW w:w="240" w:type="dxa"/>
            <w:vAlign w:val="bottom"/>
            <w:tcBorders>
              <w:bottom w:val="single" w:sz="8" w:color="E5EAF5"/>
            </w:tcBorders>
            <w:shd w:val="clear" w:color="auto" w:fill="E5EAF5"/>
          </w:tcPr>
          <w:p>
            <w:pPr>
              <w:spacing w:after="0"/>
              <w:rPr>
                <w:sz w:val="15"/>
                <w:szCs w:val="15"/>
                <w:color w:val="auto"/>
              </w:rPr>
            </w:pPr>
          </w:p>
        </w:tc>
        <w:tc>
          <w:tcPr>
            <w:tcW w:w="960" w:type="dxa"/>
            <w:vAlign w:val="bottom"/>
            <w:tcBorders>
              <w:bottom w:val="single" w:sz="8" w:color="E5EAF5"/>
            </w:tcBorders>
            <w:shd w:val="clear" w:color="auto" w:fill="E5EAF5"/>
          </w:tcPr>
          <w:p>
            <w:pPr>
              <w:jc w:val="right"/>
              <w:ind w:right="8"/>
              <w:spacing w:after="0"/>
              <w:rPr>
                <w:sz w:val="20"/>
                <w:szCs w:val="20"/>
                <w:color w:val="auto"/>
              </w:rPr>
            </w:pPr>
            <w:r>
              <w:rPr>
                <w:rFonts w:ascii="Arial" w:cs="Arial" w:eastAsia="Arial" w:hAnsi="Arial"/>
                <w:sz w:val="14"/>
                <w:szCs w:val="14"/>
                <w:color w:val="auto"/>
              </w:rPr>
              <w:t>444,455</w:t>
            </w:r>
          </w:p>
        </w:tc>
        <w:tc>
          <w:tcPr>
            <w:tcW w:w="920" w:type="dxa"/>
            <w:vAlign w:val="bottom"/>
            <w:tcBorders>
              <w:bottom w:val="single" w:sz="8" w:color="E5EAF5"/>
            </w:tcBorders>
            <w:shd w:val="clear" w:color="auto" w:fill="E5EAF5"/>
          </w:tcPr>
          <w:p>
            <w:pPr>
              <w:jc w:val="right"/>
              <w:ind w:right="48"/>
              <w:spacing w:after="0"/>
              <w:rPr>
                <w:sz w:val="20"/>
                <w:szCs w:val="20"/>
                <w:color w:val="auto"/>
              </w:rPr>
            </w:pPr>
            <w:r>
              <w:rPr>
                <w:rFonts w:ascii="Arial" w:cs="Arial" w:eastAsia="Arial" w:hAnsi="Arial"/>
                <w:sz w:val="14"/>
                <w:szCs w:val="14"/>
                <w:color w:val="auto"/>
              </w:rPr>
              <w:t>2,932,759</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440" w:type="dxa"/>
            <w:vAlign w:val="bottom"/>
            <w:gridSpan w:val="2"/>
          </w:tcPr>
          <w:p>
            <w:pPr>
              <w:ind w:left="60"/>
              <w:spacing w:after="0"/>
              <w:rPr>
                <w:sz w:val="20"/>
                <w:szCs w:val="20"/>
                <w:color w:val="auto"/>
              </w:rPr>
            </w:pPr>
            <w:r>
              <w:rPr>
                <w:rFonts w:ascii="Arial" w:cs="Arial" w:eastAsia="Arial" w:hAnsi="Arial"/>
                <w:sz w:val="14"/>
                <w:szCs w:val="14"/>
                <w:color w:val="auto"/>
              </w:rPr>
              <w:t>Mr. Marshall</w:t>
            </w:r>
          </w:p>
        </w:tc>
        <w:tc>
          <w:tcPr>
            <w:tcW w:w="3560" w:type="dxa"/>
            <w:vAlign w:val="bottom"/>
          </w:tcPr>
          <w:p>
            <w:pPr>
              <w:jc w:val="right"/>
              <w:spacing w:after="0"/>
              <w:rPr>
                <w:sz w:val="20"/>
                <w:szCs w:val="20"/>
                <w:color w:val="auto"/>
              </w:rPr>
            </w:pPr>
            <w:r>
              <w:rPr>
                <w:rFonts w:ascii="Arial" w:cs="Arial" w:eastAsia="Arial" w:hAnsi="Arial"/>
                <w:sz w:val="14"/>
                <w:szCs w:val="14"/>
                <w:color w:val="auto"/>
              </w:rPr>
              <w:t>502,183</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387,855</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198,940</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650,883</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740,922</w:t>
            </w:r>
          </w:p>
        </w:tc>
        <w:tc>
          <w:tcPr>
            <w:tcW w:w="240" w:type="dxa"/>
            <w:vAlign w:val="bottom"/>
          </w:tcPr>
          <w:p>
            <w:pPr>
              <w:spacing w:after="0"/>
              <w:rPr>
                <w:sz w:val="15"/>
                <w:szCs w:val="15"/>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1,712,300</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4,193,083</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tcBorders>
              <w:bottom w:val="single" w:sz="8" w:color="E5EAF5"/>
            </w:tcBorders>
            <w:gridSpan w:val="2"/>
            <w:shd w:val="clear" w:color="auto" w:fill="E5EAF5"/>
          </w:tcPr>
          <w:p>
            <w:pPr>
              <w:ind w:left="60"/>
              <w:spacing w:after="0"/>
              <w:rPr>
                <w:sz w:val="20"/>
                <w:szCs w:val="20"/>
                <w:color w:val="auto"/>
              </w:rPr>
            </w:pPr>
            <w:r>
              <w:rPr>
                <w:rFonts w:ascii="Arial" w:cs="Arial" w:eastAsia="Arial" w:hAnsi="Arial"/>
                <w:sz w:val="14"/>
                <w:szCs w:val="14"/>
                <w:color w:val="auto"/>
              </w:rPr>
              <w:t>Mr. Zukerman</w:t>
            </w:r>
          </w:p>
        </w:tc>
        <w:tc>
          <w:tcPr>
            <w:tcW w:w="3560" w:type="dxa"/>
            <w:vAlign w:val="bottom"/>
            <w:tcBorders>
              <w:bottom w:val="single" w:sz="8" w:color="E5EAF5"/>
            </w:tcBorders>
            <w:shd w:val="clear" w:color="auto" w:fill="E5EAF5"/>
          </w:tcPr>
          <w:p>
            <w:pPr>
              <w:jc w:val="right"/>
              <w:spacing w:after="0"/>
              <w:rPr>
                <w:sz w:val="20"/>
                <w:szCs w:val="20"/>
                <w:color w:val="auto"/>
              </w:rPr>
            </w:pPr>
            <w:r>
              <w:rPr>
                <w:rFonts w:ascii="Arial" w:cs="Arial" w:eastAsia="Arial" w:hAnsi="Arial"/>
                <w:sz w:val="14"/>
                <w:szCs w:val="14"/>
                <w:color w:val="auto"/>
              </w:rPr>
              <w:t>612,500</w:t>
            </w:r>
          </w:p>
        </w:tc>
        <w:tc>
          <w:tcPr>
            <w:tcW w:w="1060" w:type="dxa"/>
            <w:vAlign w:val="bottom"/>
            <w:tcBorders>
              <w:bottom w:val="single" w:sz="8" w:color="E5EAF5"/>
            </w:tcBorders>
            <w:shd w:val="clear" w:color="auto" w:fill="E5EAF5"/>
          </w:tcPr>
          <w:p>
            <w:pPr>
              <w:jc w:val="right"/>
              <w:ind w:right="48"/>
              <w:spacing w:after="0"/>
              <w:rPr>
                <w:sz w:val="20"/>
                <w:szCs w:val="20"/>
                <w:color w:val="auto"/>
              </w:rPr>
            </w:pPr>
            <w:r>
              <w:rPr>
                <w:rFonts w:ascii="Arial" w:cs="Arial" w:eastAsia="Arial" w:hAnsi="Arial"/>
                <w:sz w:val="14"/>
                <w:szCs w:val="14"/>
                <w:color w:val="auto"/>
              </w:rPr>
              <w:t>598,444</w:t>
            </w:r>
          </w:p>
        </w:tc>
        <w:tc>
          <w:tcPr>
            <w:tcW w:w="880" w:type="dxa"/>
            <w:vAlign w:val="bottom"/>
            <w:tcBorders>
              <w:bottom w:val="single" w:sz="8" w:color="E5EAF5"/>
            </w:tcBorders>
            <w:shd w:val="clear" w:color="auto" w:fill="E5EAF5"/>
          </w:tcPr>
          <w:p>
            <w:pPr>
              <w:jc w:val="right"/>
              <w:ind w:right="68"/>
              <w:spacing w:after="0"/>
              <w:rPr>
                <w:sz w:val="20"/>
                <w:szCs w:val="20"/>
                <w:color w:val="auto"/>
              </w:rPr>
            </w:pPr>
            <w:r>
              <w:rPr>
                <w:rFonts w:ascii="Arial" w:cs="Arial" w:eastAsia="Arial" w:hAnsi="Arial"/>
                <w:sz w:val="14"/>
                <w:szCs w:val="14"/>
                <w:color w:val="auto"/>
              </w:rPr>
              <w:t>237,710</w:t>
            </w:r>
          </w:p>
        </w:tc>
        <w:tc>
          <w:tcPr>
            <w:tcW w:w="980" w:type="dxa"/>
            <w:vAlign w:val="bottom"/>
            <w:tcBorders>
              <w:bottom w:val="single" w:sz="8" w:color="E5EAF5"/>
            </w:tcBorders>
            <w:shd w:val="clear" w:color="auto" w:fill="E5EAF5"/>
          </w:tcPr>
          <w:p>
            <w:pPr>
              <w:jc w:val="right"/>
              <w:ind w:right="48"/>
              <w:spacing w:after="0"/>
              <w:rPr>
                <w:sz w:val="20"/>
                <w:szCs w:val="20"/>
                <w:color w:val="auto"/>
              </w:rPr>
            </w:pPr>
            <w:r>
              <w:rPr>
                <w:rFonts w:ascii="Arial" w:cs="Arial" w:eastAsia="Arial" w:hAnsi="Arial"/>
                <w:sz w:val="14"/>
                <w:szCs w:val="14"/>
                <w:color w:val="auto"/>
              </w:rPr>
              <w:t>466,604</w:t>
            </w:r>
          </w:p>
        </w:tc>
        <w:tc>
          <w:tcPr>
            <w:tcW w:w="980" w:type="dxa"/>
            <w:vAlign w:val="bottom"/>
            <w:tcBorders>
              <w:bottom w:val="single" w:sz="8" w:color="E5EAF5"/>
            </w:tcBorders>
            <w:shd w:val="clear" w:color="auto" w:fill="E5EAF5"/>
          </w:tcPr>
          <w:p>
            <w:pPr>
              <w:jc w:val="right"/>
              <w:ind w:right="48"/>
              <w:spacing w:after="0"/>
              <w:rPr>
                <w:sz w:val="20"/>
                <w:szCs w:val="20"/>
                <w:color w:val="auto"/>
              </w:rPr>
            </w:pPr>
            <w:r>
              <w:rPr>
                <w:rFonts w:ascii="Arial" w:cs="Arial" w:eastAsia="Arial" w:hAnsi="Arial"/>
                <w:sz w:val="14"/>
                <w:szCs w:val="14"/>
                <w:color w:val="auto"/>
              </w:rPr>
              <w:t>531,042</w:t>
            </w:r>
          </w:p>
        </w:tc>
        <w:tc>
          <w:tcPr>
            <w:tcW w:w="240" w:type="dxa"/>
            <w:vAlign w:val="bottom"/>
            <w:tcBorders>
              <w:bottom w:val="single" w:sz="8" w:color="E5EAF5"/>
            </w:tcBorders>
            <w:shd w:val="clear" w:color="auto" w:fill="E5EAF5"/>
          </w:tcPr>
          <w:p>
            <w:pPr>
              <w:spacing w:after="0"/>
              <w:rPr>
                <w:sz w:val="17"/>
                <w:szCs w:val="17"/>
                <w:color w:val="auto"/>
              </w:rPr>
            </w:pPr>
          </w:p>
        </w:tc>
        <w:tc>
          <w:tcPr>
            <w:tcW w:w="960" w:type="dxa"/>
            <w:vAlign w:val="bottom"/>
            <w:tcBorders>
              <w:bottom w:val="single" w:sz="8" w:color="E5EAF5"/>
            </w:tcBorders>
            <w:shd w:val="clear" w:color="auto" w:fill="E5EAF5"/>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E5EAF5"/>
            </w:tcBorders>
            <w:shd w:val="clear" w:color="auto" w:fill="E5EAF5"/>
          </w:tcPr>
          <w:p>
            <w:pPr>
              <w:jc w:val="right"/>
              <w:ind w:right="48"/>
              <w:spacing w:after="0"/>
              <w:rPr>
                <w:sz w:val="20"/>
                <w:szCs w:val="20"/>
                <w:color w:val="auto"/>
              </w:rPr>
            </w:pPr>
            <w:r>
              <w:rPr>
                <w:rFonts w:ascii="Arial" w:cs="Arial" w:eastAsia="Arial" w:hAnsi="Arial"/>
                <w:sz w:val="14"/>
                <w:szCs w:val="14"/>
                <w:color w:val="auto"/>
              </w:rPr>
              <w:t>2,446,300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33A0"/>
          </w:tcPr>
          <w:p>
            <w:pPr>
              <w:spacing w:after="0" w:line="20" w:lineRule="exact"/>
              <w:rPr>
                <w:sz w:val="1"/>
                <w:szCs w:val="1"/>
                <w:color w:val="auto"/>
              </w:rPr>
            </w:pPr>
          </w:p>
        </w:tc>
        <w:tc>
          <w:tcPr>
            <w:tcW w:w="1120" w:type="dxa"/>
            <w:vAlign w:val="bottom"/>
            <w:tcBorders>
              <w:left w:val="single" w:sz="8" w:color="0033A0"/>
            </w:tcBorders>
            <w:shd w:val="clear" w:color="auto" w:fill="0033A0"/>
          </w:tcPr>
          <w:p>
            <w:pPr>
              <w:spacing w:after="0" w:line="20" w:lineRule="exact"/>
              <w:rPr>
                <w:sz w:val="1"/>
                <w:szCs w:val="1"/>
                <w:color w:val="auto"/>
              </w:rPr>
            </w:pPr>
          </w:p>
        </w:tc>
        <w:tc>
          <w:tcPr>
            <w:tcW w:w="3560" w:type="dxa"/>
            <w:vAlign w:val="bottom"/>
            <w:shd w:val="clear" w:color="auto" w:fill="0033A0"/>
          </w:tcPr>
          <w:p>
            <w:pPr>
              <w:spacing w:after="0" w:line="20" w:lineRule="exact"/>
              <w:rPr>
                <w:sz w:val="1"/>
                <w:szCs w:val="1"/>
                <w:color w:val="auto"/>
              </w:rPr>
            </w:pPr>
          </w:p>
        </w:tc>
        <w:tc>
          <w:tcPr>
            <w:tcW w:w="1060" w:type="dxa"/>
            <w:vAlign w:val="bottom"/>
            <w:shd w:val="clear" w:color="auto" w:fill="0033A0"/>
          </w:tcPr>
          <w:p>
            <w:pPr>
              <w:spacing w:after="0" w:line="20" w:lineRule="exact"/>
              <w:rPr>
                <w:sz w:val="1"/>
                <w:szCs w:val="1"/>
                <w:color w:val="auto"/>
              </w:rPr>
            </w:pPr>
          </w:p>
        </w:tc>
        <w:tc>
          <w:tcPr>
            <w:tcW w:w="880" w:type="dxa"/>
            <w:vAlign w:val="bottom"/>
            <w:shd w:val="clear" w:color="auto" w:fill="0033A0"/>
          </w:tcPr>
          <w:p>
            <w:pPr>
              <w:spacing w:after="0" w:line="20" w:lineRule="exact"/>
              <w:rPr>
                <w:sz w:val="1"/>
                <w:szCs w:val="1"/>
                <w:color w:val="auto"/>
              </w:rPr>
            </w:pPr>
          </w:p>
        </w:tc>
        <w:tc>
          <w:tcPr>
            <w:tcW w:w="980" w:type="dxa"/>
            <w:vAlign w:val="bottom"/>
            <w:shd w:val="clear" w:color="auto" w:fill="0033A0"/>
          </w:tcPr>
          <w:p>
            <w:pPr>
              <w:spacing w:after="0" w:line="20" w:lineRule="exact"/>
              <w:rPr>
                <w:sz w:val="1"/>
                <w:szCs w:val="1"/>
                <w:color w:val="auto"/>
              </w:rPr>
            </w:pPr>
          </w:p>
        </w:tc>
        <w:tc>
          <w:tcPr>
            <w:tcW w:w="980" w:type="dxa"/>
            <w:vAlign w:val="bottom"/>
            <w:shd w:val="clear" w:color="auto" w:fill="0033A0"/>
          </w:tcPr>
          <w:p>
            <w:pPr>
              <w:spacing w:after="0" w:line="20" w:lineRule="exact"/>
              <w:rPr>
                <w:sz w:val="1"/>
                <w:szCs w:val="1"/>
                <w:color w:val="auto"/>
              </w:rPr>
            </w:pPr>
          </w:p>
        </w:tc>
        <w:tc>
          <w:tcPr>
            <w:tcW w:w="240" w:type="dxa"/>
            <w:vAlign w:val="bottom"/>
            <w:shd w:val="clear" w:color="auto" w:fill="0033A0"/>
          </w:tcPr>
          <w:p>
            <w:pPr>
              <w:spacing w:after="0" w:line="20" w:lineRule="exact"/>
              <w:rPr>
                <w:sz w:val="1"/>
                <w:szCs w:val="1"/>
                <w:color w:val="auto"/>
              </w:rPr>
            </w:pPr>
          </w:p>
        </w:tc>
        <w:tc>
          <w:tcPr>
            <w:tcW w:w="960" w:type="dxa"/>
            <w:vAlign w:val="bottom"/>
            <w:shd w:val="clear" w:color="auto" w:fill="0033A0"/>
          </w:tcPr>
          <w:p>
            <w:pPr>
              <w:spacing w:after="0" w:line="20" w:lineRule="exact"/>
              <w:rPr>
                <w:sz w:val="1"/>
                <w:szCs w:val="1"/>
                <w:color w:val="auto"/>
              </w:rPr>
            </w:pPr>
          </w:p>
        </w:tc>
        <w:tc>
          <w:tcPr>
            <w:tcW w:w="920" w:type="dxa"/>
            <w:vAlign w:val="bottom"/>
            <w:shd w:val="clear" w:color="auto" w:fill="0033A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40" w:type="dxa"/>
            <w:vAlign w:val="bottom"/>
            <w:gridSpan w:val="2"/>
            <w:vMerge w:val="restart"/>
          </w:tcPr>
          <w:p>
            <w:pPr>
              <w:jc w:val="right"/>
              <w:ind w:right="68"/>
              <w:spacing w:after="0"/>
              <w:rPr>
                <w:sz w:val="20"/>
                <w:szCs w:val="20"/>
                <w:color w:val="auto"/>
              </w:rPr>
            </w:pPr>
            <w:r>
              <w:rPr>
                <w:rFonts w:ascii="Arial" w:cs="Arial" w:eastAsia="Arial" w:hAnsi="Arial"/>
                <w:sz w:val="18"/>
                <w:szCs w:val="18"/>
                <w:b w:val="1"/>
                <w:bCs w:val="1"/>
                <w:color w:val="auto"/>
                <w:w w:val="89"/>
              </w:rPr>
              <w:t>46</w:t>
            </w:r>
          </w:p>
        </w:tc>
        <w:tc>
          <w:tcPr>
            <w:tcW w:w="1120" w:type="dxa"/>
            <w:vAlign w:val="bottom"/>
          </w:tcPr>
          <w:p>
            <w:pPr>
              <w:spacing w:after="0"/>
              <w:rPr>
                <w:sz w:val="12"/>
                <w:szCs w:val="12"/>
                <w:color w:val="auto"/>
              </w:rPr>
            </w:pPr>
          </w:p>
        </w:tc>
        <w:tc>
          <w:tcPr>
            <w:tcW w:w="3560" w:type="dxa"/>
            <w:vAlign w:val="bottom"/>
            <w:vMerge w:val="restart"/>
          </w:tcPr>
          <w:p>
            <w:pPr>
              <w:jc w:val="right"/>
              <w:ind w:right="1205"/>
              <w:spacing w:after="0"/>
              <w:rPr>
                <w:sz w:val="20"/>
                <w:szCs w:val="20"/>
                <w:color w:val="auto"/>
              </w:rPr>
            </w:pPr>
            <w:r>
              <w:rPr>
                <w:rFonts w:ascii="Arial" w:cs="Arial" w:eastAsia="Arial" w:hAnsi="Arial"/>
                <w:sz w:val="18"/>
                <w:szCs w:val="18"/>
                <w:i w:val="1"/>
                <w:iCs w:val="1"/>
                <w:color w:val="auto"/>
              </w:rPr>
              <w:t>2019 Proxy Statement</w:t>
            </w:r>
          </w:p>
        </w:tc>
        <w:tc>
          <w:tcPr>
            <w:tcW w:w="1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340" w:type="dxa"/>
            <w:vAlign w:val="bottom"/>
            <w:gridSpan w:val="2"/>
            <w:vMerge w:val="continue"/>
          </w:tcPr>
          <w:p>
            <w:pPr>
              <w:spacing w:after="0"/>
              <w:rPr>
                <w:sz w:val="24"/>
                <w:szCs w:val="24"/>
                <w:color w:val="auto"/>
              </w:rPr>
            </w:pPr>
          </w:p>
        </w:tc>
        <w:tc>
          <w:tcPr>
            <w:tcW w:w="1120" w:type="dxa"/>
            <w:vAlign w:val="bottom"/>
            <w:tcBorders>
              <w:left w:val="single" w:sz="8" w:color="0033A0"/>
            </w:tcBorders>
          </w:tcPr>
          <w:p>
            <w:pPr>
              <w:spacing w:after="0"/>
              <w:rPr>
                <w:sz w:val="24"/>
                <w:szCs w:val="24"/>
                <w:color w:val="auto"/>
              </w:rPr>
            </w:pPr>
          </w:p>
        </w:tc>
        <w:tc>
          <w:tcPr>
            <w:tcW w:w="356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-170815</wp:posOffset>
            </wp:positionV>
            <wp:extent cx="720090" cy="12890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0090" cy="12890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7620"/>
        <w:spacing w:after="0"/>
        <w:rPr>
          <w:sz w:val="20"/>
          <w:szCs w:val="20"/>
          <w:color w:val="auto"/>
        </w:rPr>
      </w:pPr>
      <w:r>
        <w:rPr>
          <w:rFonts w:ascii="Arial" w:cs="Arial" w:eastAsia="Arial" w:hAnsi="Arial"/>
          <w:sz w:val="19"/>
          <w:szCs w:val="19"/>
          <w:b w:val="1"/>
          <w:bCs w:val="1"/>
          <w:color w:val="0033A0"/>
        </w:rPr>
        <w:t>EXECUTIVE COMPENSATION TABLES</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auto"/>
        </w:rPr>
        <w:t>Grants of Plan-Based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68580</wp:posOffset>
            </wp:positionV>
            <wp:extent cx="69977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8" w:lineRule="exact"/>
        <w:rPr>
          <w:sz w:val="20"/>
          <w:szCs w:val="20"/>
          <w:color w:val="auto"/>
        </w:rPr>
      </w:pPr>
    </w:p>
    <w:p>
      <w:pPr>
        <w:ind w:left="200" w:right="360"/>
        <w:spacing w:after="0"/>
        <w:rPr>
          <w:sz w:val="20"/>
          <w:szCs w:val="20"/>
          <w:color w:val="auto"/>
        </w:rPr>
      </w:pPr>
      <w:r>
        <w:rPr>
          <w:rFonts w:ascii="Arial" w:cs="Arial" w:eastAsia="Arial" w:hAnsi="Arial"/>
          <w:sz w:val="18"/>
          <w:szCs w:val="18"/>
          <w:color w:val="auto"/>
        </w:rPr>
        <w:t>The following table presents information regarding grants of annual incentive awards to the named executive officers during the year ended December 31, 2018 under the Executive Incentive Plan (“EIP”) and long-term incentive awards under the 2017 Equity Incentive Plan.</w:t>
      </w:r>
    </w:p>
    <w:p>
      <w:pPr>
        <w:spacing w:after="0" w:line="194" w:lineRule="exact"/>
        <w:rPr>
          <w:sz w:val="20"/>
          <w:szCs w:val="20"/>
          <w:color w:val="auto"/>
        </w:rPr>
      </w:pPr>
    </w:p>
    <w:tbl>
      <w:tblPr>
        <w:tblLayout w:type="fixed"/>
        <w:tblInd w:w="220" w:type="dxa"/>
        <w:tblCellMar>
          <w:top w:w="0" w:type="dxa"/>
          <w:left w:w="0" w:type="dxa"/>
          <w:bottom w:w="0" w:type="dxa"/>
          <w:right w:w="0" w:type="dxa"/>
        </w:tblCellMar>
      </w:tblPr>
      <w:tr>
        <w:trPr>
          <w:trHeight w:val="149"/>
        </w:trPr>
        <w:tc>
          <w:tcPr>
            <w:tcW w:w="20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0033A0"/>
                <w:w w:val="94"/>
              </w:rPr>
              <w:t>All Other</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0033A0"/>
                <w:w w:val="94"/>
              </w:rPr>
              <w:t>All other</w:t>
            </w: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300" w:type="dxa"/>
            <w:vAlign w:val="bottom"/>
            <w:gridSpan w:val="3"/>
          </w:tcPr>
          <w:p>
            <w:pPr>
              <w:jc w:val="center"/>
              <w:spacing w:after="0"/>
              <w:rPr>
                <w:sz w:val="20"/>
                <w:szCs w:val="20"/>
                <w:color w:val="auto"/>
              </w:rPr>
            </w:pPr>
            <w:r>
              <w:rPr>
                <w:rFonts w:ascii="Arial" w:cs="Arial" w:eastAsia="Arial" w:hAnsi="Arial"/>
                <w:sz w:val="13"/>
                <w:szCs w:val="13"/>
                <w:b w:val="1"/>
                <w:bCs w:val="1"/>
                <w:color w:val="0033A0"/>
                <w:w w:val="97"/>
              </w:rPr>
              <w:t>Estimated Future Payouts</w:t>
            </w: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0033A0"/>
                <w:w w:val="95"/>
              </w:rPr>
              <w:t>Stock</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0033A0"/>
              </w:rPr>
              <w:t>Option</w:t>
            </w: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0033A0"/>
                <w:w w:val="95"/>
              </w:rPr>
              <w:t>Under</w:t>
            </w:r>
          </w:p>
        </w:tc>
        <w:tc>
          <w:tcPr>
            <w:tcW w:w="760" w:type="dxa"/>
            <w:vAlign w:val="bottom"/>
          </w:tcPr>
          <w:p>
            <w:pPr>
              <w:spacing w:after="0"/>
              <w:rPr>
                <w:sz w:val="12"/>
                <w:szCs w:val="12"/>
                <w:color w:val="auto"/>
              </w:rPr>
            </w:pPr>
          </w:p>
        </w:tc>
        <w:tc>
          <w:tcPr>
            <w:tcW w:w="2020" w:type="dxa"/>
            <w:vAlign w:val="bottom"/>
            <w:gridSpan w:val="3"/>
          </w:tcPr>
          <w:p>
            <w:pPr>
              <w:jc w:val="center"/>
              <w:spacing w:after="0"/>
              <w:rPr>
                <w:sz w:val="20"/>
                <w:szCs w:val="20"/>
                <w:color w:val="auto"/>
              </w:rPr>
            </w:pPr>
            <w:r>
              <w:rPr>
                <w:rFonts w:ascii="Arial" w:cs="Arial" w:eastAsia="Arial" w:hAnsi="Arial"/>
                <w:sz w:val="13"/>
                <w:szCs w:val="13"/>
                <w:b w:val="1"/>
                <w:bCs w:val="1"/>
                <w:color w:val="0033A0"/>
                <w:w w:val="97"/>
              </w:rPr>
              <w:t>Estimated Future Payouts</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0033A0"/>
                <w:w w:val="93"/>
              </w:rPr>
              <w:t>Awards:</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0033A0"/>
                <w:w w:val="97"/>
              </w:rPr>
              <w:t>Awards:</w:t>
            </w:r>
          </w:p>
        </w:tc>
        <w:tc>
          <w:tcPr>
            <w:tcW w:w="700" w:type="dxa"/>
            <w:vAlign w:val="bottom"/>
          </w:tcPr>
          <w:p>
            <w:pPr>
              <w:jc w:val="center"/>
              <w:spacing w:after="0"/>
              <w:rPr>
                <w:sz w:val="20"/>
                <w:szCs w:val="20"/>
                <w:color w:val="auto"/>
              </w:rPr>
            </w:pPr>
            <w:r>
              <w:rPr>
                <w:rFonts w:ascii="Arial" w:cs="Arial" w:eastAsia="Arial" w:hAnsi="Arial"/>
                <w:sz w:val="13"/>
                <w:szCs w:val="13"/>
                <w:b w:val="1"/>
                <w:bCs w:val="1"/>
                <w:color w:val="0033A0"/>
                <w:w w:val="97"/>
              </w:rPr>
              <w:t>Exercise</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0033A0"/>
                <w:w w:val="96"/>
              </w:rPr>
              <w:t>Grant Date</w:t>
            </w: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30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0033A0"/>
                <w:w w:val="97"/>
              </w:rPr>
              <w:t>Non-Equity Incentive Plan</w:t>
            </w:r>
          </w:p>
        </w:tc>
        <w:tc>
          <w:tcPr>
            <w:tcW w:w="202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0033A0"/>
                <w:w w:val="97"/>
              </w:rPr>
              <w:t>Under Equity Incentive Plan</w:t>
            </w: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0033A0"/>
                <w:w w:val="98"/>
              </w:rPr>
              <w:t>Number of</w:t>
            </w: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0033A0"/>
                <w:w w:val="95"/>
              </w:rPr>
              <w:t>Number of</w:t>
            </w:r>
          </w:p>
        </w:tc>
        <w:tc>
          <w:tcPr>
            <w:tcW w:w="700" w:type="dxa"/>
            <w:vAlign w:val="bottom"/>
          </w:tcPr>
          <w:p>
            <w:pPr>
              <w:jc w:val="center"/>
              <w:spacing w:after="0" w:line="135" w:lineRule="exact"/>
              <w:rPr>
                <w:sz w:val="20"/>
                <w:szCs w:val="20"/>
                <w:color w:val="auto"/>
              </w:rPr>
            </w:pPr>
            <w:r>
              <w:rPr>
                <w:rFonts w:ascii="Arial" w:cs="Arial" w:eastAsia="Arial" w:hAnsi="Arial"/>
                <w:sz w:val="13"/>
                <w:szCs w:val="13"/>
                <w:b w:val="1"/>
                <w:bCs w:val="1"/>
                <w:color w:val="0033A0"/>
                <w:w w:val="96"/>
              </w:rPr>
              <w:t>or Base</w:t>
            </w: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0033A0"/>
                <w:w w:val="96"/>
              </w:rPr>
              <w:t>Fair Value</w:t>
            </w: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0033A0"/>
              </w:rPr>
              <w:t>Awards</w:t>
            </w:r>
            <w:r>
              <w:rPr>
                <w:rFonts w:ascii="Arial" w:cs="Arial" w:eastAsia="Arial" w:hAnsi="Arial"/>
                <w:sz w:val="10"/>
                <w:szCs w:val="10"/>
                <w:b w:val="1"/>
                <w:bCs w:val="1"/>
                <w:color w:val="0033A0"/>
              </w:rPr>
              <w:t>(2)</w:t>
            </w:r>
          </w:p>
        </w:tc>
        <w:tc>
          <w:tcPr>
            <w:tcW w:w="760" w:type="dxa"/>
            <w:vAlign w:val="bottom"/>
          </w:tcPr>
          <w:p>
            <w:pPr>
              <w:spacing w:after="0"/>
              <w:rPr>
                <w:sz w:val="11"/>
                <w:szCs w:val="11"/>
                <w:color w:val="auto"/>
              </w:rPr>
            </w:pPr>
          </w:p>
        </w:tc>
        <w:tc>
          <w:tcPr>
            <w:tcW w:w="1380" w:type="dxa"/>
            <w:vAlign w:val="bottom"/>
            <w:gridSpan w:val="2"/>
          </w:tcPr>
          <w:p>
            <w:pPr>
              <w:jc w:val="center"/>
              <w:ind w:left="594"/>
              <w:spacing w:after="0" w:line="135" w:lineRule="exact"/>
              <w:rPr>
                <w:sz w:val="20"/>
                <w:szCs w:val="20"/>
                <w:color w:val="auto"/>
              </w:rPr>
            </w:pPr>
            <w:r>
              <w:rPr>
                <w:rFonts w:ascii="Arial" w:cs="Arial" w:eastAsia="Arial" w:hAnsi="Arial"/>
                <w:sz w:val="13"/>
                <w:szCs w:val="13"/>
                <w:b w:val="1"/>
                <w:bCs w:val="1"/>
                <w:color w:val="0033A0"/>
              </w:rPr>
              <w:t>Awards</w:t>
            </w:r>
            <w:r>
              <w:rPr>
                <w:rFonts w:ascii="Arial" w:cs="Arial" w:eastAsia="Arial" w:hAnsi="Arial"/>
                <w:sz w:val="10"/>
                <w:szCs w:val="10"/>
                <w:b w:val="1"/>
                <w:bCs w:val="1"/>
                <w:color w:val="0033A0"/>
              </w:rPr>
              <w:t>(3)(4)</w:t>
            </w:r>
          </w:p>
        </w:tc>
        <w:tc>
          <w:tcPr>
            <w:tcW w:w="64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0033A0"/>
                <w:w w:val="94"/>
              </w:rPr>
              <w:t>Shares of</w:t>
            </w: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0033A0"/>
                <w:w w:val="96"/>
              </w:rPr>
              <w:t>Securities</w:t>
            </w:r>
          </w:p>
        </w:tc>
        <w:tc>
          <w:tcPr>
            <w:tcW w:w="700" w:type="dxa"/>
            <w:vAlign w:val="bottom"/>
          </w:tcPr>
          <w:p>
            <w:pPr>
              <w:jc w:val="center"/>
              <w:spacing w:after="0" w:line="135" w:lineRule="exact"/>
              <w:rPr>
                <w:sz w:val="20"/>
                <w:szCs w:val="20"/>
                <w:color w:val="auto"/>
              </w:rPr>
            </w:pPr>
            <w:r>
              <w:rPr>
                <w:rFonts w:ascii="Arial" w:cs="Arial" w:eastAsia="Arial" w:hAnsi="Arial"/>
                <w:sz w:val="13"/>
                <w:szCs w:val="13"/>
                <w:b w:val="1"/>
                <w:bCs w:val="1"/>
                <w:color w:val="0033A0"/>
                <w:w w:val="96"/>
              </w:rPr>
              <w:t>Price of</w:t>
            </w: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0033A0"/>
                <w:w w:val="97"/>
              </w:rPr>
              <w:t>of</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780" w:type="dxa"/>
            <w:vAlign w:val="bottom"/>
            <w:tcBorders>
              <w:bottom w:val="single" w:sz="8" w:color="0033A0"/>
            </w:tcBorders>
          </w:tcPr>
          <w:p>
            <w:pPr>
              <w:spacing w:after="0"/>
              <w:rPr>
                <w:sz w:val="2"/>
                <w:szCs w:val="2"/>
                <w:color w:val="auto"/>
              </w:rPr>
            </w:pPr>
          </w:p>
        </w:tc>
        <w:tc>
          <w:tcPr>
            <w:tcW w:w="760" w:type="dxa"/>
            <w:vAlign w:val="bottom"/>
            <w:tcBorders>
              <w:bottom w:val="single" w:sz="8" w:color="0033A0"/>
            </w:tcBorders>
          </w:tcPr>
          <w:p>
            <w:pPr>
              <w:spacing w:after="0"/>
              <w:rPr>
                <w:sz w:val="2"/>
                <w:szCs w:val="2"/>
                <w:color w:val="auto"/>
              </w:rPr>
            </w:pPr>
          </w:p>
        </w:tc>
        <w:tc>
          <w:tcPr>
            <w:tcW w:w="760" w:type="dxa"/>
            <w:vAlign w:val="bottom"/>
            <w:tcBorders>
              <w:bottom w:val="single" w:sz="8" w:color="0033A0"/>
            </w:tcBorders>
          </w:tcPr>
          <w:p>
            <w:pPr>
              <w:spacing w:after="0"/>
              <w:rPr>
                <w:sz w:val="2"/>
                <w:szCs w:val="2"/>
                <w:color w:val="auto"/>
              </w:rPr>
            </w:pPr>
          </w:p>
        </w:tc>
        <w:tc>
          <w:tcPr>
            <w:tcW w:w="760" w:type="dxa"/>
            <w:vAlign w:val="bottom"/>
            <w:tcBorders>
              <w:bottom w:val="single" w:sz="8" w:color="0033A0"/>
            </w:tcBorders>
          </w:tcPr>
          <w:p>
            <w:pPr>
              <w:spacing w:after="0"/>
              <w:rPr>
                <w:sz w:val="2"/>
                <w:szCs w:val="2"/>
                <w:color w:val="auto"/>
              </w:rPr>
            </w:pPr>
          </w:p>
        </w:tc>
        <w:tc>
          <w:tcPr>
            <w:tcW w:w="620" w:type="dxa"/>
            <w:vAlign w:val="bottom"/>
            <w:tcBorders>
              <w:bottom w:val="single" w:sz="8" w:color="0033A0"/>
            </w:tcBorders>
          </w:tcPr>
          <w:p>
            <w:pPr>
              <w:spacing w:after="0"/>
              <w:rPr>
                <w:sz w:val="2"/>
                <w:szCs w:val="2"/>
                <w:color w:val="auto"/>
              </w:rPr>
            </w:pPr>
          </w:p>
        </w:tc>
        <w:tc>
          <w:tcPr>
            <w:tcW w:w="640" w:type="dxa"/>
            <w:vAlign w:val="bottom"/>
            <w:tcBorders>
              <w:bottom w:val="single" w:sz="8" w:color="0033A0"/>
            </w:tcBorders>
          </w:tcPr>
          <w:p>
            <w:pPr>
              <w:spacing w:after="0"/>
              <w:rPr>
                <w:sz w:val="2"/>
                <w:szCs w:val="2"/>
                <w:color w:val="auto"/>
              </w:rPr>
            </w:pPr>
          </w:p>
        </w:tc>
        <w:tc>
          <w:tcPr>
            <w:tcW w:w="780" w:type="dxa"/>
            <w:vAlign w:val="bottom"/>
            <w:vMerge w:val="restart"/>
          </w:tcPr>
          <w:p>
            <w:pPr>
              <w:jc w:val="center"/>
              <w:spacing w:after="0" w:line="100" w:lineRule="exact"/>
              <w:rPr>
                <w:sz w:val="20"/>
                <w:szCs w:val="20"/>
                <w:color w:val="auto"/>
              </w:rPr>
            </w:pPr>
            <w:r>
              <w:rPr>
                <w:rFonts w:ascii="Arial" w:cs="Arial" w:eastAsia="Arial" w:hAnsi="Arial"/>
                <w:sz w:val="11"/>
                <w:szCs w:val="11"/>
                <w:b w:val="1"/>
                <w:bCs w:val="1"/>
                <w:color w:val="0033A0"/>
              </w:rPr>
              <w:t>Stock or</w:t>
            </w:r>
          </w:p>
        </w:tc>
        <w:tc>
          <w:tcPr>
            <w:tcW w:w="780" w:type="dxa"/>
            <w:vAlign w:val="bottom"/>
            <w:vMerge w:val="restart"/>
          </w:tcPr>
          <w:p>
            <w:pPr>
              <w:jc w:val="center"/>
              <w:spacing w:after="0" w:line="100" w:lineRule="exact"/>
              <w:rPr>
                <w:sz w:val="20"/>
                <w:szCs w:val="20"/>
                <w:color w:val="auto"/>
              </w:rPr>
            </w:pPr>
            <w:r>
              <w:rPr>
                <w:rFonts w:ascii="Arial" w:cs="Arial" w:eastAsia="Arial" w:hAnsi="Arial"/>
                <w:sz w:val="11"/>
                <w:szCs w:val="11"/>
                <w:b w:val="1"/>
                <w:bCs w:val="1"/>
                <w:color w:val="0033A0"/>
              </w:rPr>
              <w:t>Underlying</w:t>
            </w:r>
          </w:p>
        </w:tc>
        <w:tc>
          <w:tcPr>
            <w:tcW w:w="700" w:type="dxa"/>
            <w:vAlign w:val="bottom"/>
            <w:vMerge w:val="restart"/>
          </w:tcPr>
          <w:p>
            <w:pPr>
              <w:jc w:val="center"/>
              <w:spacing w:after="0" w:line="100" w:lineRule="exact"/>
              <w:rPr>
                <w:sz w:val="20"/>
                <w:szCs w:val="20"/>
                <w:color w:val="auto"/>
              </w:rPr>
            </w:pPr>
            <w:r>
              <w:rPr>
                <w:rFonts w:ascii="Arial" w:cs="Arial" w:eastAsia="Arial" w:hAnsi="Arial"/>
                <w:sz w:val="11"/>
                <w:szCs w:val="11"/>
                <w:b w:val="1"/>
                <w:bCs w:val="1"/>
                <w:color w:val="0033A0"/>
              </w:rPr>
              <w:t>Option</w:t>
            </w:r>
          </w:p>
        </w:tc>
        <w:tc>
          <w:tcPr>
            <w:tcW w:w="780" w:type="dxa"/>
            <w:vAlign w:val="bottom"/>
            <w:vMerge w:val="restart"/>
          </w:tcPr>
          <w:p>
            <w:pPr>
              <w:jc w:val="center"/>
              <w:spacing w:after="0" w:line="100" w:lineRule="exact"/>
              <w:rPr>
                <w:sz w:val="20"/>
                <w:szCs w:val="20"/>
                <w:color w:val="auto"/>
              </w:rPr>
            </w:pPr>
            <w:r>
              <w:rPr>
                <w:rFonts w:ascii="Arial" w:cs="Arial" w:eastAsia="Arial" w:hAnsi="Arial"/>
                <w:sz w:val="11"/>
                <w:szCs w:val="11"/>
                <w:b w:val="1"/>
                <w:bCs w:val="1"/>
                <w:color w:val="0033A0"/>
              </w:rPr>
              <w:t>Stock</w:t>
            </w:r>
          </w:p>
        </w:tc>
        <w:tc>
          <w:tcPr>
            <w:tcW w:w="0" w:type="dxa"/>
            <w:vAlign w:val="bottom"/>
          </w:tcPr>
          <w:p>
            <w:pPr>
              <w:spacing w:after="0"/>
              <w:rPr>
                <w:sz w:val="1"/>
                <w:szCs w:val="1"/>
                <w:color w:val="auto"/>
              </w:rPr>
            </w:pPr>
          </w:p>
        </w:tc>
      </w:tr>
      <w:tr>
        <w:trPr>
          <w:trHeight w:val="53"/>
        </w:trPr>
        <w:tc>
          <w:tcPr>
            <w:tcW w:w="2080" w:type="dxa"/>
            <w:vAlign w:val="bottom"/>
          </w:tcPr>
          <w:p>
            <w:pPr>
              <w:spacing w:after="0"/>
              <w:rPr>
                <w:sz w:val="4"/>
                <w:szCs w:val="4"/>
                <w:color w:val="auto"/>
              </w:rPr>
            </w:pPr>
          </w:p>
        </w:tc>
        <w:tc>
          <w:tcPr>
            <w:tcW w:w="68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2080" w:type="dxa"/>
            <w:vAlign w:val="bottom"/>
          </w:tcPr>
          <w:p>
            <w:pPr>
              <w:spacing w:after="0"/>
              <w:rPr>
                <w:sz w:val="12"/>
                <w:szCs w:val="12"/>
                <w:color w:val="auto"/>
              </w:rPr>
            </w:pPr>
          </w:p>
        </w:tc>
        <w:tc>
          <w:tcPr>
            <w:tcW w:w="680" w:type="dxa"/>
            <w:vAlign w:val="bottom"/>
          </w:tcPr>
          <w:p>
            <w:pPr>
              <w:jc w:val="center"/>
              <w:spacing w:after="0" w:line="144" w:lineRule="exact"/>
              <w:rPr>
                <w:sz w:val="20"/>
                <w:szCs w:val="20"/>
                <w:color w:val="auto"/>
              </w:rPr>
            </w:pPr>
            <w:r>
              <w:rPr>
                <w:rFonts w:ascii="Arial" w:cs="Arial" w:eastAsia="Arial" w:hAnsi="Arial"/>
                <w:sz w:val="13"/>
                <w:szCs w:val="13"/>
                <w:b w:val="1"/>
                <w:bCs w:val="1"/>
                <w:color w:val="0033A0"/>
                <w:w w:val="95"/>
              </w:rPr>
              <w:t>Award</w:t>
            </w:r>
          </w:p>
        </w:tc>
        <w:tc>
          <w:tcPr>
            <w:tcW w:w="900" w:type="dxa"/>
            <w:vAlign w:val="bottom"/>
          </w:tcPr>
          <w:p>
            <w:pPr>
              <w:ind w:left="300"/>
              <w:spacing w:after="0" w:line="144" w:lineRule="exact"/>
              <w:rPr>
                <w:sz w:val="20"/>
                <w:szCs w:val="20"/>
                <w:color w:val="auto"/>
              </w:rPr>
            </w:pPr>
            <w:r>
              <w:rPr>
                <w:rFonts w:ascii="Arial" w:cs="Arial" w:eastAsia="Arial" w:hAnsi="Arial"/>
                <w:sz w:val="13"/>
                <w:szCs w:val="13"/>
                <w:b w:val="1"/>
                <w:bCs w:val="1"/>
                <w:color w:val="0033A0"/>
              </w:rPr>
              <w:t>Grant</w:t>
            </w:r>
          </w:p>
        </w:tc>
        <w:tc>
          <w:tcPr>
            <w:tcW w:w="780" w:type="dxa"/>
            <w:vAlign w:val="bottom"/>
          </w:tcPr>
          <w:p>
            <w:pPr>
              <w:jc w:val="right"/>
              <w:ind w:right="14"/>
              <w:spacing w:after="0" w:line="144" w:lineRule="exact"/>
              <w:rPr>
                <w:sz w:val="20"/>
                <w:szCs w:val="20"/>
                <w:color w:val="auto"/>
              </w:rPr>
            </w:pPr>
            <w:r>
              <w:rPr>
                <w:rFonts w:ascii="Arial" w:cs="Arial" w:eastAsia="Arial" w:hAnsi="Arial"/>
                <w:sz w:val="13"/>
                <w:szCs w:val="13"/>
                <w:b w:val="1"/>
                <w:bCs w:val="1"/>
                <w:color w:val="0033A0"/>
              </w:rPr>
              <w:t>Threshold</w:t>
            </w:r>
          </w:p>
        </w:tc>
        <w:tc>
          <w:tcPr>
            <w:tcW w:w="760" w:type="dxa"/>
            <w:vAlign w:val="bottom"/>
          </w:tcPr>
          <w:p>
            <w:pPr>
              <w:jc w:val="center"/>
              <w:spacing w:after="0" w:line="144" w:lineRule="exact"/>
              <w:rPr>
                <w:sz w:val="20"/>
                <w:szCs w:val="20"/>
                <w:color w:val="auto"/>
              </w:rPr>
            </w:pPr>
            <w:r>
              <w:rPr>
                <w:rFonts w:ascii="Arial" w:cs="Arial" w:eastAsia="Arial" w:hAnsi="Arial"/>
                <w:sz w:val="13"/>
                <w:szCs w:val="13"/>
                <w:b w:val="1"/>
                <w:bCs w:val="1"/>
                <w:color w:val="0033A0"/>
                <w:w w:val="95"/>
              </w:rPr>
              <w:t>Target</w:t>
            </w:r>
          </w:p>
        </w:tc>
        <w:tc>
          <w:tcPr>
            <w:tcW w:w="760" w:type="dxa"/>
            <w:vAlign w:val="bottom"/>
          </w:tcPr>
          <w:p>
            <w:pPr>
              <w:jc w:val="right"/>
              <w:ind w:right="34"/>
              <w:spacing w:after="0" w:line="144" w:lineRule="exact"/>
              <w:rPr>
                <w:sz w:val="20"/>
                <w:szCs w:val="20"/>
                <w:color w:val="auto"/>
              </w:rPr>
            </w:pPr>
            <w:r>
              <w:rPr>
                <w:rFonts w:ascii="Arial" w:cs="Arial" w:eastAsia="Arial" w:hAnsi="Arial"/>
                <w:sz w:val="13"/>
                <w:szCs w:val="13"/>
                <w:b w:val="1"/>
                <w:bCs w:val="1"/>
                <w:color w:val="0033A0"/>
              </w:rPr>
              <w:t>Maximum</w:t>
            </w:r>
          </w:p>
        </w:tc>
        <w:tc>
          <w:tcPr>
            <w:tcW w:w="760" w:type="dxa"/>
            <w:vAlign w:val="bottom"/>
          </w:tcPr>
          <w:p>
            <w:pPr>
              <w:jc w:val="right"/>
              <w:ind w:right="14"/>
              <w:spacing w:after="0" w:line="144" w:lineRule="exact"/>
              <w:rPr>
                <w:sz w:val="20"/>
                <w:szCs w:val="20"/>
                <w:color w:val="auto"/>
              </w:rPr>
            </w:pPr>
            <w:r>
              <w:rPr>
                <w:rFonts w:ascii="Arial" w:cs="Arial" w:eastAsia="Arial" w:hAnsi="Arial"/>
                <w:sz w:val="13"/>
                <w:szCs w:val="13"/>
                <w:b w:val="1"/>
                <w:bCs w:val="1"/>
                <w:color w:val="0033A0"/>
              </w:rPr>
              <w:t>Threshold</w:t>
            </w:r>
          </w:p>
        </w:tc>
        <w:tc>
          <w:tcPr>
            <w:tcW w:w="620" w:type="dxa"/>
            <w:vAlign w:val="bottom"/>
          </w:tcPr>
          <w:p>
            <w:pPr>
              <w:jc w:val="center"/>
              <w:ind w:right="13"/>
              <w:spacing w:after="0" w:line="144" w:lineRule="exact"/>
              <w:rPr>
                <w:sz w:val="20"/>
                <w:szCs w:val="20"/>
                <w:color w:val="auto"/>
              </w:rPr>
            </w:pPr>
            <w:r>
              <w:rPr>
                <w:rFonts w:ascii="Arial" w:cs="Arial" w:eastAsia="Arial" w:hAnsi="Arial"/>
                <w:sz w:val="13"/>
                <w:szCs w:val="13"/>
                <w:b w:val="1"/>
                <w:bCs w:val="1"/>
                <w:color w:val="0033A0"/>
                <w:w w:val="95"/>
              </w:rPr>
              <w:t>Target</w:t>
            </w:r>
          </w:p>
        </w:tc>
        <w:tc>
          <w:tcPr>
            <w:tcW w:w="640" w:type="dxa"/>
            <w:vAlign w:val="bottom"/>
          </w:tcPr>
          <w:p>
            <w:pPr>
              <w:jc w:val="right"/>
              <w:spacing w:after="0" w:line="144" w:lineRule="exact"/>
              <w:rPr>
                <w:sz w:val="20"/>
                <w:szCs w:val="20"/>
                <w:color w:val="auto"/>
              </w:rPr>
            </w:pPr>
            <w:r>
              <w:rPr>
                <w:rFonts w:ascii="Arial" w:cs="Arial" w:eastAsia="Arial" w:hAnsi="Arial"/>
                <w:sz w:val="13"/>
                <w:szCs w:val="13"/>
                <w:b w:val="1"/>
                <w:bCs w:val="1"/>
                <w:color w:val="0033A0"/>
                <w:w w:val="96"/>
              </w:rPr>
              <w:t>Maximum</w:t>
            </w:r>
          </w:p>
        </w:tc>
        <w:tc>
          <w:tcPr>
            <w:tcW w:w="780" w:type="dxa"/>
            <w:vAlign w:val="bottom"/>
          </w:tcPr>
          <w:p>
            <w:pPr>
              <w:jc w:val="center"/>
              <w:spacing w:after="0" w:line="144" w:lineRule="exact"/>
              <w:rPr>
                <w:sz w:val="20"/>
                <w:szCs w:val="20"/>
                <w:color w:val="auto"/>
              </w:rPr>
            </w:pPr>
            <w:r>
              <w:rPr>
                <w:rFonts w:ascii="Arial" w:cs="Arial" w:eastAsia="Arial" w:hAnsi="Arial"/>
                <w:sz w:val="13"/>
                <w:szCs w:val="13"/>
                <w:b w:val="1"/>
                <w:bCs w:val="1"/>
                <w:color w:val="0033A0"/>
                <w:w w:val="98"/>
              </w:rPr>
              <w:t>Units</w:t>
            </w:r>
          </w:p>
        </w:tc>
        <w:tc>
          <w:tcPr>
            <w:tcW w:w="780" w:type="dxa"/>
            <w:vAlign w:val="bottom"/>
          </w:tcPr>
          <w:p>
            <w:pPr>
              <w:jc w:val="center"/>
              <w:spacing w:after="0" w:line="144" w:lineRule="exact"/>
              <w:rPr>
                <w:sz w:val="20"/>
                <w:szCs w:val="20"/>
                <w:color w:val="auto"/>
              </w:rPr>
            </w:pPr>
            <w:r>
              <w:rPr>
                <w:rFonts w:ascii="Arial" w:cs="Arial" w:eastAsia="Arial" w:hAnsi="Arial"/>
                <w:sz w:val="13"/>
                <w:szCs w:val="13"/>
                <w:b w:val="1"/>
                <w:bCs w:val="1"/>
                <w:color w:val="0033A0"/>
                <w:w w:val="97"/>
              </w:rPr>
              <w:t>Options</w:t>
            </w:r>
          </w:p>
        </w:tc>
        <w:tc>
          <w:tcPr>
            <w:tcW w:w="700" w:type="dxa"/>
            <w:vAlign w:val="bottom"/>
          </w:tcPr>
          <w:p>
            <w:pPr>
              <w:jc w:val="right"/>
              <w:spacing w:after="0" w:line="144" w:lineRule="exact"/>
              <w:rPr>
                <w:sz w:val="20"/>
                <w:szCs w:val="20"/>
                <w:color w:val="auto"/>
              </w:rPr>
            </w:pPr>
            <w:r>
              <w:rPr>
                <w:rFonts w:ascii="Arial" w:cs="Arial" w:eastAsia="Arial" w:hAnsi="Arial"/>
                <w:sz w:val="13"/>
                <w:szCs w:val="13"/>
                <w:b w:val="1"/>
                <w:bCs w:val="1"/>
                <w:color w:val="0033A0"/>
              </w:rPr>
              <w:t>Awards</w:t>
            </w:r>
            <w:r>
              <w:rPr>
                <w:rFonts w:ascii="Arial" w:cs="Arial" w:eastAsia="Arial" w:hAnsi="Arial"/>
                <w:sz w:val="10"/>
                <w:szCs w:val="10"/>
                <w:b w:val="1"/>
                <w:bCs w:val="1"/>
                <w:color w:val="0033A0"/>
              </w:rPr>
              <w:t>(5)</w:t>
            </w:r>
          </w:p>
        </w:tc>
        <w:tc>
          <w:tcPr>
            <w:tcW w:w="780" w:type="dxa"/>
            <w:vAlign w:val="bottom"/>
          </w:tcPr>
          <w:p>
            <w:pPr>
              <w:jc w:val="center"/>
              <w:spacing w:after="0" w:line="144" w:lineRule="exact"/>
              <w:rPr>
                <w:sz w:val="20"/>
                <w:szCs w:val="20"/>
                <w:color w:val="auto"/>
              </w:rPr>
            </w:pPr>
            <w:r>
              <w:rPr>
                <w:rFonts w:ascii="Arial" w:cs="Arial" w:eastAsia="Arial" w:hAnsi="Arial"/>
                <w:sz w:val="13"/>
                <w:szCs w:val="13"/>
                <w:b w:val="1"/>
                <w:bCs w:val="1"/>
                <w:color w:val="0033A0"/>
              </w:rPr>
              <w:t>Awards</w:t>
            </w:r>
            <w:r>
              <w:rPr>
                <w:rFonts w:ascii="Arial" w:cs="Arial" w:eastAsia="Arial" w:hAnsi="Arial"/>
                <w:sz w:val="10"/>
                <w:szCs w:val="10"/>
                <w:b w:val="1"/>
                <w:bCs w:val="1"/>
                <w:color w:val="0033A0"/>
              </w:rPr>
              <w:t>(6)</w:t>
            </w:r>
          </w:p>
        </w:tc>
        <w:tc>
          <w:tcPr>
            <w:tcW w:w="0" w:type="dxa"/>
            <w:vAlign w:val="bottom"/>
          </w:tcPr>
          <w:p>
            <w:pPr>
              <w:spacing w:after="0"/>
              <w:rPr>
                <w:sz w:val="1"/>
                <w:szCs w:val="1"/>
                <w:color w:val="auto"/>
              </w:rPr>
            </w:pPr>
          </w:p>
        </w:tc>
      </w:tr>
      <w:tr>
        <w:trPr>
          <w:trHeight w:val="162"/>
        </w:trPr>
        <w:tc>
          <w:tcPr>
            <w:tcW w:w="2080" w:type="dxa"/>
            <w:vAlign w:val="bottom"/>
            <w:tcBorders>
              <w:bottom w:val="single" w:sz="8" w:color="0033A0"/>
            </w:tcBorders>
          </w:tcPr>
          <w:p>
            <w:pPr>
              <w:ind w:left="60"/>
              <w:spacing w:after="0"/>
              <w:rPr>
                <w:sz w:val="20"/>
                <w:szCs w:val="20"/>
                <w:color w:val="auto"/>
              </w:rPr>
            </w:pPr>
            <w:r>
              <w:rPr>
                <w:rFonts w:ascii="Arial" w:cs="Arial" w:eastAsia="Arial" w:hAnsi="Arial"/>
                <w:sz w:val="13"/>
                <w:szCs w:val="13"/>
                <w:b w:val="1"/>
                <w:bCs w:val="1"/>
                <w:color w:val="0033A0"/>
              </w:rPr>
              <w:t>Name</w:t>
            </w:r>
          </w:p>
        </w:tc>
        <w:tc>
          <w:tcPr>
            <w:tcW w:w="680" w:type="dxa"/>
            <w:vAlign w:val="bottom"/>
            <w:tcBorders>
              <w:bottom w:val="single" w:sz="8" w:color="0033A0"/>
            </w:tcBorders>
          </w:tcPr>
          <w:p>
            <w:pPr>
              <w:jc w:val="center"/>
              <w:ind w:left="13"/>
              <w:spacing w:after="0"/>
              <w:rPr>
                <w:sz w:val="20"/>
                <w:szCs w:val="20"/>
                <w:color w:val="auto"/>
              </w:rPr>
            </w:pPr>
            <w:r>
              <w:rPr>
                <w:rFonts w:ascii="Arial" w:cs="Arial" w:eastAsia="Arial" w:hAnsi="Arial"/>
                <w:sz w:val="13"/>
                <w:szCs w:val="13"/>
                <w:b w:val="1"/>
                <w:bCs w:val="1"/>
                <w:color w:val="0033A0"/>
                <w:w w:val="92"/>
              </w:rPr>
              <w:t>Type</w:t>
            </w:r>
          </w:p>
        </w:tc>
        <w:tc>
          <w:tcPr>
            <w:tcW w:w="900" w:type="dxa"/>
            <w:vAlign w:val="bottom"/>
            <w:tcBorders>
              <w:bottom w:val="single" w:sz="8" w:color="0033A0"/>
            </w:tcBorders>
          </w:tcPr>
          <w:p>
            <w:pPr>
              <w:ind w:left="260"/>
              <w:spacing w:after="0"/>
              <w:rPr>
                <w:sz w:val="20"/>
                <w:szCs w:val="20"/>
                <w:color w:val="auto"/>
              </w:rPr>
            </w:pPr>
            <w:r>
              <w:rPr>
                <w:rFonts w:ascii="Arial" w:cs="Arial" w:eastAsia="Arial" w:hAnsi="Arial"/>
                <w:sz w:val="13"/>
                <w:szCs w:val="13"/>
                <w:b w:val="1"/>
                <w:bCs w:val="1"/>
                <w:color w:val="0033A0"/>
              </w:rPr>
              <w:t>Date</w:t>
            </w:r>
            <w:r>
              <w:rPr>
                <w:rFonts w:ascii="Arial" w:cs="Arial" w:eastAsia="Arial" w:hAnsi="Arial"/>
                <w:sz w:val="10"/>
                <w:szCs w:val="10"/>
                <w:b w:val="1"/>
                <w:bCs w:val="1"/>
                <w:color w:val="0033A0"/>
              </w:rPr>
              <w:t>(1)</w:t>
            </w:r>
          </w:p>
        </w:tc>
        <w:tc>
          <w:tcPr>
            <w:tcW w:w="780" w:type="dxa"/>
            <w:vAlign w:val="bottom"/>
            <w:tcBorders>
              <w:bottom w:val="single" w:sz="8" w:color="0033A0"/>
            </w:tcBorders>
          </w:tcPr>
          <w:p>
            <w:pPr>
              <w:jc w:val="right"/>
              <w:ind w:right="254"/>
              <w:spacing w:after="0"/>
              <w:rPr>
                <w:sz w:val="20"/>
                <w:szCs w:val="20"/>
                <w:color w:val="auto"/>
              </w:rPr>
            </w:pPr>
            <w:r>
              <w:rPr>
                <w:rFonts w:ascii="Arial" w:cs="Arial" w:eastAsia="Arial" w:hAnsi="Arial"/>
                <w:sz w:val="13"/>
                <w:szCs w:val="13"/>
                <w:b w:val="1"/>
                <w:bCs w:val="1"/>
                <w:color w:val="0033A0"/>
              </w:rPr>
              <w:t>($)</w:t>
            </w:r>
          </w:p>
        </w:tc>
        <w:tc>
          <w:tcPr>
            <w:tcW w:w="760" w:type="dxa"/>
            <w:vAlign w:val="bottom"/>
            <w:tcBorders>
              <w:bottom w:val="single" w:sz="8" w:color="0033A0"/>
            </w:tcBorders>
          </w:tcPr>
          <w:p>
            <w:pPr>
              <w:jc w:val="center"/>
              <w:spacing w:after="0"/>
              <w:rPr>
                <w:sz w:val="20"/>
                <w:szCs w:val="20"/>
                <w:color w:val="auto"/>
              </w:rPr>
            </w:pPr>
            <w:r>
              <w:rPr>
                <w:rFonts w:ascii="Arial" w:cs="Arial" w:eastAsia="Arial" w:hAnsi="Arial"/>
                <w:sz w:val="13"/>
                <w:szCs w:val="13"/>
                <w:b w:val="1"/>
                <w:bCs w:val="1"/>
                <w:color w:val="0033A0"/>
              </w:rPr>
              <w:t>($)</w:t>
            </w:r>
          </w:p>
        </w:tc>
        <w:tc>
          <w:tcPr>
            <w:tcW w:w="760" w:type="dxa"/>
            <w:vAlign w:val="bottom"/>
            <w:tcBorders>
              <w:bottom w:val="single" w:sz="8" w:color="0033A0"/>
            </w:tcBorders>
          </w:tcPr>
          <w:p>
            <w:pPr>
              <w:jc w:val="right"/>
              <w:ind w:right="234"/>
              <w:spacing w:after="0"/>
              <w:rPr>
                <w:sz w:val="20"/>
                <w:szCs w:val="20"/>
                <w:color w:val="auto"/>
              </w:rPr>
            </w:pPr>
            <w:r>
              <w:rPr>
                <w:rFonts w:ascii="Arial" w:cs="Arial" w:eastAsia="Arial" w:hAnsi="Arial"/>
                <w:sz w:val="13"/>
                <w:szCs w:val="13"/>
                <w:b w:val="1"/>
                <w:bCs w:val="1"/>
                <w:color w:val="0033A0"/>
              </w:rPr>
              <w:t>($)</w:t>
            </w:r>
          </w:p>
        </w:tc>
        <w:tc>
          <w:tcPr>
            <w:tcW w:w="760" w:type="dxa"/>
            <w:vAlign w:val="bottom"/>
            <w:tcBorders>
              <w:bottom w:val="single" w:sz="8" w:color="0033A0"/>
            </w:tcBorders>
          </w:tcPr>
          <w:p>
            <w:pPr>
              <w:jc w:val="right"/>
              <w:ind w:right="254"/>
              <w:spacing w:after="0"/>
              <w:rPr>
                <w:sz w:val="20"/>
                <w:szCs w:val="20"/>
                <w:color w:val="auto"/>
              </w:rPr>
            </w:pPr>
            <w:r>
              <w:rPr>
                <w:rFonts w:ascii="Arial" w:cs="Arial" w:eastAsia="Arial" w:hAnsi="Arial"/>
                <w:sz w:val="13"/>
                <w:szCs w:val="13"/>
                <w:b w:val="1"/>
                <w:bCs w:val="1"/>
                <w:color w:val="0033A0"/>
              </w:rPr>
              <w:t>(#)</w:t>
            </w:r>
          </w:p>
        </w:tc>
        <w:tc>
          <w:tcPr>
            <w:tcW w:w="620" w:type="dxa"/>
            <w:vAlign w:val="bottom"/>
            <w:tcBorders>
              <w:bottom w:val="single" w:sz="8" w:color="0033A0"/>
            </w:tcBorders>
          </w:tcPr>
          <w:p>
            <w:pPr>
              <w:jc w:val="center"/>
              <w:spacing w:after="0"/>
              <w:rPr>
                <w:sz w:val="20"/>
                <w:szCs w:val="20"/>
                <w:color w:val="auto"/>
              </w:rPr>
            </w:pPr>
            <w:r>
              <w:rPr>
                <w:rFonts w:ascii="Arial" w:cs="Arial" w:eastAsia="Arial" w:hAnsi="Arial"/>
                <w:sz w:val="13"/>
                <w:szCs w:val="13"/>
                <w:b w:val="1"/>
                <w:bCs w:val="1"/>
                <w:color w:val="0033A0"/>
              </w:rPr>
              <w:t>(#)</w:t>
            </w:r>
          </w:p>
        </w:tc>
        <w:tc>
          <w:tcPr>
            <w:tcW w:w="640" w:type="dxa"/>
            <w:vAlign w:val="bottom"/>
            <w:tcBorders>
              <w:bottom w:val="single" w:sz="8" w:color="0033A0"/>
            </w:tcBorders>
          </w:tcPr>
          <w:p>
            <w:pPr>
              <w:jc w:val="right"/>
              <w:ind w:right="193"/>
              <w:spacing w:after="0"/>
              <w:rPr>
                <w:sz w:val="20"/>
                <w:szCs w:val="20"/>
                <w:color w:val="auto"/>
              </w:rPr>
            </w:pPr>
            <w:r>
              <w:rPr>
                <w:rFonts w:ascii="Arial" w:cs="Arial" w:eastAsia="Arial" w:hAnsi="Arial"/>
                <w:sz w:val="13"/>
                <w:szCs w:val="13"/>
                <w:b w:val="1"/>
                <w:bCs w:val="1"/>
                <w:color w:val="0033A0"/>
              </w:rPr>
              <w:t>(#)</w:t>
            </w:r>
          </w:p>
        </w:tc>
        <w:tc>
          <w:tcPr>
            <w:tcW w:w="780" w:type="dxa"/>
            <w:vAlign w:val="bottom"/>
            <w:tcBorders>
              <w:bottom w:val="single" w:sz="8" w:color="0033A0"/>
            </w:tcBorders>
          </w:tcPr>
          <w:p>
            <w:pPr>
              <w:jc w:val="center"/>
              <w:spacing w:after="0"/>
              <w:rPr>
                <w:sz w:val="20"/>
                <w:szCs w:val="20"/>
                <w:color w:val="auto"/>
              </w:rPr>
            </w:pPr>
            <w:r>
              <w:rPr>
                <w:rFonts w:ascii="Arial" w:cs="Arial" w:eastAsia="Arial" w:hAnsi="Arial"/>
                <w:sz w:val="13"/>
                <w:szCs w:val="13"/>
                <w:b w:val="1"/>
                <w:bCs w:val="1"/>
                <w:color w:val="0033A0"/>
              </w:rPr>
              <w:t>(#)</w:t>
            </w:r>
          </w:p>
        </w:tc>
        <w:tc>
          <w:tcPr>
            <w:tcW w:w="780" w:type="dxa"/>
            <w:vAlign w:val="bottom"/>
            <w:tcBorders>
              <w:bottom w:val="single" w:sz="8" w:color="0033A0"/>
            </w:tcBorders>
          </w:tcPr>
          <w:p>
            <w:pPr>
              <w:jc w:val="center"/>
              <w:spacing w:after="0"/>
              <w:rPr>
                <w:sz w:val="20"/>
                <w:szCs w:val="20"/>
                <w:color w:val="auto"/>
              </w:rPr>
            </w:pPr>
            <w:r>
              <w:rPr>
                <w:rFonts w:ascii="Arial" w:cs="Arial" w:eastAsia="Arial" w:hAnsi="Arial"/>
                <w:sz w:val="13"/>
                <w:szCs w:val="13"/>
                <w:b w:val="1"/>
                <w:bCs w:val="1"/>
                <w:color w:val="0033A0"/>
                <w:w w:val="87"/>
              </w:rPr>
              <w:t>(#)</w:t>
            </w:r>
          </w:p>
        </w:tc>
        <w:tc>
          <w:tcPr>
            <w:tcW w:w="700" w:type="dxa"/>
            <w:vAlign w:val="bottom"/>
            <w:tcBorders>
              <w:bottom w:val="single" w:sz="8" w:color="0033A0"/>
            </w:tcBorders>
          </w:tcPr>
          <w:p>
            <w:pPr>
              <w:jc w:val="center"/>
              <w:spacing w:after="0"/>
              <w:rPr>
                <w:sz w:val="20"/>
                <w:szCs w:val="20"/>
                <w:color w:val="auto"/>
              </w:rPr>
            </w:pPr>
            <w:r>
              <w:rPr>
                <w:rFonts w:ascii="Arial" w:cs="Arial" w:eastAsia="Arial" w:hAnsi="Arial"/>
                <w:sz w:val="13"/>
                <w:szCs w:val="13"/>
                <w:b w:val="1"/>
                <w:bCs w:val="1"/>
                <w:color w:val="0033A0"/>
                <w:w w:val="99"/>
              </w:rPr>
              <w:t>($/Sh)</w:t>
            </w:r>
          </w:p>
        </w:tc>
        <w:tc>
          <w:tcPr>
            <w:tcW w:w="780" w:type="dxa"/>
            <w:vAlign w:val="bottom"/>
            <w:tcBorders>
              <w:bottom w:val="single" w:sz="8" w:color="0033A0"/>
            </w:tcBorders>
          </w:tcPr>
          <w:p>
            <w:pPr>
              <w:jc w:val="center"/>
              <w:spacing w:after="0"/>
              <w:rPr>
                <w:sz w:val="20"/>
                <w:szCs w:val="20"/>
                <w:color w:val="auto"/>
              </w:rPr>
            </w:pPr>
            <w:r>
              <w:rPr>
                <w:rFonts w:ascii="Arial" w:cs="Arial" w:eastAsia="Arial" w:hAnsi="Arial"/>
                <w:sz w:val="13"/>
                <w:szCs w:val="13"/>
                <w:b w:val="1"/>
                <w:bCs w:val="1"/>
                <w:color w:val="0033A0"/>
              </w:rPr>
              <w:t>($)</w:t>
            </w: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80" w:type="dxa"/>
            <w:vAlign w:val="bottom"/>
            <w:tcBorders>
              <w:bottom w:val="single" w:sz="8" w:color="E5EAF5"/>
            </w:tcBorders>
            <w:shd w:val="clear" w:color="auto" w:fill="E5EAF5"/>
          </w:tcPr>
          <w:p>
            <w:pPr>
              <w:ind w:left="60"/>
              <w:spacing w:after="0"/>
              <w:rPr>
                <w:sz w:val="20"/>
                <w:szCs w:val="20"/>
                <w:color w:val="auto"/>
              </w:rPr>
            </w:pPr>
            <w:r>
              <w:rPr>
                <w:rFonts w:ascii="Arial" w:cs="Arial" w:eastAsia="Arial" w:hAnsi="Arial"/>
                <w:sz w:val="14"/>
                <w:szCs w:val="14"/>
                <w:color w:val="auto"/>
              </w:rPr>
              <w:t>Douglas A. Pertz</w:t>
            </w:r>
          </w:p>
        </w:tc>
        <w:tc>
          <w:tcPr>
            <w:tcW w:w="680" w:type="dxa"/>
            <w:vAlign w:val="bottom"/>
            <w:tcBorders>
              <w:bottom w:val="single" w:sz="8" w:color="E5EAF5"/>
            </w:tcBorders>
            <w:shd w:val="clear" w:color="auto" w:fill="E5EAF5"/>
          </w:tcPr>
          <w:p>
            <w:pPr>
              <w:jc w:val="center"/>
              <w:spacing w:after="0"/>
              <w:rPr>
                <w:sz w:val="20"/>
                <w:szCs w:val="20"/>
                <w:color w:val="auto"/>
              </w:rPr>
            </w:pPr>
            <w:r>
              <w:rPr>
                <w:rFonts w:ascii="Arial" w:cs="Arial" w:eastAsia="Arial" w:hAnsi="Arial"/>
                <w:sz w:val="14"/>
                <w:szCs w:val="14"/>
                <w:color w:val="auto"/>
                <w:w w:val="97"/>
              </w:rPr>
              <w:t>EIP</w:t>
            </w:r>
          </w:p>
        </w:tc>
        <w:tc>
          <w:tcPr>
            <w:tcW w:w="900" w:type="dxa"/>
            <w:vAlign w:val="bottom"/>
            <w:tcBorders>
              <w:bottom w:val="single" w:sz="8" w:color="E5EAF5"/>
            </w:tcBorders>
            <w:shd w:val="clear" w:color="auto" w:fill="E5EAF5"/>
          </w:tcPr>
          <w:p>
            <w:pPr>
              <w:spacing w:after="0"/>
              <w:rPr>
                <w:sz w:val="15"/>
                <w:szCs w:val="15"/>
                <w:color w:val="auto"/>
              </w:rPr>
            </w:pPr>
          </w:p>
        </w:tc>
        <w:tc>
          <w:tcPr>
            <w:tcW w:w="780" w:type="dxa"/>
            <w:vAlign w:val="bottom"/>
            <w:tcBorders>
              <w:bottom w:val="single" w:sz="8" w:color="E5EAF5"/>
            </w:tcBorders>
            <w:shd w:val="clear" w:color="auto" w:fill="E5EAF5"/>
          </w:tcPr>
          <w:p>
            <w:pPr>
              <w:jc w:val="right"/>
              <w:ind w:right="14"/>
              <w:spacing w:after="0"/>
              <w:rPr>
                <w:sz w:val="20"/>
                <w:szCs w:val="20"/>
                <w:color w:val="auto"/>
              </w:rPr>
            </w:pPr>
            <w:r>
              <w:rPr>
                <w:rFonts w:ascii="Arial" w:cs="Arial" w:eastAsia="Arial" w:hAnsi="Arial"/>
                <w:sz w:val="14"/>
                <w:szCs w:val="14"/>
                <w:color w:val="auto"/>
              </w:rPr>
              <w:t>612,500</w:t>
            </w:r>
          </w:p>
        </w:tc>
        <w:tc>
          <w:tcPr>
            <w:tcW w:w="760" w:type="dxa"/>
            <w:vAlign w:val="bottom"/>
            <w:tcBorders>
              <w:bottom w:val="single" w:sz="8" w:color="E5EAF5"/>
            </w:tcBorders>
            <w:shd w:val="clear" w:color="auto" w:fill="E5EAF5"/>
          </w:tcPr>
          <w:p>
            <w:pPr>
              <w:jc w:val="right"/>
              <w:ind w:right="14"/>
              <w:spacing w:after="0"/>
              <w:rPr>
                <w:sz w:val="20"/>
                <w:szCs w:val="20"/>
                <w:color w:val="auto"/>
              </w:rPr>
            </w:pPr>
            <w:r>
              <w:rPr>
                <w:rFonts w:ascii="Arial" w:cs="Arial" w:eastAsia="Arial" w:hAnsi="Arial"/>
                <w:sz w:val="14"/>
                <w:szCs w:val="14"/>
                <w:color w:val="auto"/>
              </w:rPr>
              <w:t>1,225,000</w:t>
            </w:r>
          </w:p>
        </w:tc>
        <w:tc>
          <w:tcPr>
            <w:tcW w:w="760" w:type="dxa"/>
            <w:vAlign w:val="bottom"/>
            <w:tcBorders>
              <w:bottom w:val="single" w:sz="8" w:color="E5EAF5"/>
            </w:tcBorders>
            <w:shd w:val="clear" w:color="auto" w:fill="E5EAF5"/>
          </w:tcPr>
          <w:p>
            <w:pPr>
              <w:jc w:val="right"/>
              <w:spacing w:after="0"/>
              <w:rPr>
                <w:sz w:val="20"/>
                <w:szCs w:val="20"/>
                <w:color w:val="auto"/>
              </w:rPr>
            </w:pPr>
            <w:r>
              <w:rPr>
                <w:rFonts w:ascii="Arial" w:cs="Arial" w:eastAsia="Arial" w:hAnsi="Arial"/>
                <w:sz w:val="14"/>
                <w:szCs w:val="14"/>
                <w:color w:val="auto"/>
              </w:rPr>
              <w:t>2,450,000</w:t>
            </w:r>
          </w:p>
        </w:tc>
        <w:tc>
          <w:tcPr>
            <w:tcW w:w="760" w:type="dxa"/>
            <w:vAlign w:val="bottom"/>
            <w:tcBorders>
              <w:bottom w:val="single" w:sz="8" w:color="E5EAF5"/>
            </w:tcBorders>
            <w:shd w:val="clear" w:color="auto" w:fill="E5EAF5"/>
          </w:tcPr>
          <w:p>
            <w:pPr>
              <w:spacing w:after="0"/>
              <w:rPr>
                <w:sz w:val="15"/>
                <w:szCs w:val="15"/>
                <w:color w:val="auto"/>
              </w:rPr>
            </w:pPr>
          </w:p>
        </w:tc>
        <w:tc>
          <w:tcPr>
            <w:tcW w:w="620" w:type="dxa"/>
            <w:vAlign w:val="bottom"/>
            <w:tcBorders>
              <w:bottom w:val="single" w:sz="8" w:color="E5EAF5"/>
            </w:tcBorders>
            <w:shd w:val="clear" w:color="auto" w:fill="E5EAF5"/>
          </w:tcPr>
          <w:p>
            <w:pPr>
              <w:spacing w:after="0"/>
              <w:rPr>
                <w:sz w:val="15"/>
                <w:szCs w:val="15"/>
                <w:color w:val="auto"/>
              </w:rPr>
            </w:pPr>
          </w:p>
        </w:tc>
        <w:tc>
          <w:tcPr>
            <w:tcW w:w="640" w:type="dxa"/>
            <w:vAlign w:val="bottom"/>
            <w:tcBorders>
              <w:bottom w:val="single" w:sz="8" w:color="E5EAF5"/>
            </w:tcBorders>
            <w:shd w:val="clear" w:color="auto" w:fill="E5EAF5"/>
          </w:tcPr>
          <w:p>
            <w:pPr>
              <w:spacing w:after="0"/>
              <w:rPr>
                <w:sz w:val="15"/>
                <w:szCs w:val="15"/>
                <w:color w:val="auto"/>
              </w:rPr>
            </w:pPr>
          </w:p>
        </w:tc>
        <w:tc>
          <w:tcPr>
            <w:tcW w:w="780" w:type="dxa"/>
            <w:vAlign w:val="bottom"/>
            <w:tcBorders>
              <w:bottom w:val="single" w:sz="8" w:color="E5EAF5"/>
            </w:tcBorders>
            <w:shd w:val="clear" w:color="auto" w:fill="E5EAF5"/>
          </w:tcPr>
          <w:p>
            <w:pPr>
              <w:spacing w:after="0"/>
              <w:rPr>
                <w:sz w:val="15"/>
                <w:szCs w:val="15"/>
                <w:color w:val="auto"/>
              </w:rPr>
            </w:pPr>
          </w:p>
        </w:tc>
        <w:tc>
          <w:tcPr>
            <w:tcW w:w="780" w:type="dxa"/>
            <w:vAlign w:val="bottom"/>
            <w:tcBorders>
              <w:bottom w:val="single" w:sz="8" w:color="E5EAF5"/>
            </w:tcBorders>
            <w:shd w:val="clear" w:color="auto" w:fill="E5EAF5"/>
          </w:tcPr>
          <w:p>
            <w:pPr>
              <w:spacing w:after="0"/>
              <w:rPr>
                <w:sz w:val="15"/>
                <w:szCs w:val="15"/>
                <w:color w:val="auto"/>
              </w:rPr>
            </w:pPr>
          </w:p>
        </w:tc>
        <w:tc>
          <w:tcPr>
            <w:tcW w:w="700" w:type="dxa"/>
            <w:vAlign w:val="bottom"/>
            <w:tcBorders>
              <w:bottom w:val="single" w:sz="8" w:color="E5EAF5"/>
            </w:tcBorders>
            <w:shd w:val="clear" w:color="auto" w:fill="E5EAF5"/>
          </w:tcPr>
          <w:p>
            <w:pPr>
              <w:spacing w:after="0"/>
              <w:rPr>
                <w:sz w:val="15"/>
                <w:szCs w:val="15"/>
                <w:color w:val="auto"/>
              </w:rPr>
            </w:pPr>
          </w:p>
        </w:tc>
        <w:tc>
          <w:tcPr>
            <w:tcW w:w="780" w:type="dxa"/>
            <w:vAlign w:val="bottom"/>
            <w:tcBorders>
              <w:bottom w:val="single" w:sz="8" w:color="E5EAF5"/>
            </w:tcBorders>
            <w:shd w:val="clear" w:color="auto" w:fill="E5EAF5"/>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5"/>
              </w:rPr>
              <w:t>TSR PSU</w:t>
            </w:r>
          </w:p>
        </w:tc>
        <w:tc>
          <w:tcPr>
            <w:tcW w:w="900" w:type="dxa"/>
            <w:vAlign w:val="bottom"/>
          </w:tcPr>
          <w:p>
            <w:pPr>
              <w:jc w:val="center"/>
              <w:spacing w:after="0"/>
              <w:rPr>
                <w:sz w:val="20"/>
                <w:szCs w:val="20"/>
                <w:color w:val="auto"/>
              </w:rPr>
            </w:pPr>
            <w:r>
              <w:rPr>
                <w:rFonts w:ascii="Arial" w:cs="Arial" w:eastAsia="Arial" w:hAnsi="Arial"/>
                <w:sz w:val="14"/>
                <w:szCs w:val="14"/>
                <w:color w:val="auto"/>
                <w:w w:val="96"/>
              </w:rPr>
              <w:t>2/22/2018</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jc w:val="right"/>
              <w:ind w:right="14"/>
              <w:spacing w:after="0"/>
              <w:rPr>
                <w:sz w:val="20"/>
                <w:szCs w:val="20"/>
                <w:color w:val="auto"/>
              </w:rPr>
            </w:pPr>
            <w:r>
              <w:rPr>
                <w:rFonts w:ascii="Arial" w:cs="Arial" w:eastAsia="Arial" w:hAnsi="Arial"/>
                <w:sz w:val="14"/>
                <w:szCs w:val="14"/>
                <w:color w:val="auto"/>
              </w:rPr>
              <w:t>5,929</w:t>
            </w:r>
          </w:p>
        </w:tc>
        <w:tc>
          <w:tcPr>
            <w:tcW w:w="620" w:type="dxa"/>
            <w:vAlign w:val="bottom"/>
          </w:tcPr>
          <w:p>
            <w:pPr>
              <w:jc w:val="right"/>
              <w:ind w:right="53"/>
              <w:spacing w:after="0"/>
              <w:rPr>
                <w:sz w:val="20"/>
                <w:szCs w:val="20"/>
                <w:color w:val="auto"/>
              </w:rPr>
            </w:pPr>
            <w:r>
              <w:rPr>
                <w:rFonts w:ascii="Arial" w:cs="Arial" w:eastAsia="Arial" w:hAnsi="Arial"/>
                <w:sz w:val="14"/>
                <w:szCs w:val="14"/>
                <w:color w:val="auto"/>
              </w:rPr>
              <w:t>23,719</w:t>
            </w:r>
          </w:p>
        </w:tc>
        <w:tc>
          <w:tcPr>
            <w:tcW w:w="640" w:type="dxa"/>
            <w:vAlign w:val="bottom"/>
          </w:tcPr>
          <w:p>
            <w:pPr>
              <w:jc w:val="right"/>
              <w:spacing w:after="0"/>
              <w:rPr>
                <w:sz w:val="20"/>
                <w:szCs w:val="20"/>
                <w:color w:val="auto"/>
              </w:rPr>
            </w:pPr>
            <w:r>
              <w:rPr>
                <w:rFonts w:ascii="Arial" w:cs="Arial" w:eastAsia="Arial" w:hAnsi="Arial"/>
                <w:sz w:val="14"/>
                <w:szCs w:val="14"/>
                <w:color w:val="auto"/>
              </w:rPr>
              <w:t>47,438</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jc w:val="right"/>
              <w:ind w:right="34"/>
              <w:spacing w:after="0"/>
              <w:rPr>
                <w:sz w:val="20"/>
                <w:szCs w:val="20"/>
                <w:color w:val="auto"/>
              </w:rPr>
            </w:pPr>
            <w:r>
              <w:rPr>
                <w:rFonts w:ascii="Arial" w:cs="Arial" w:eastAsia="Arial" w:hAnsi="Arial"/>
                <w:sz w:val="14"/>
                <w:szCs w:val="14"/>
                <w:color w:val="auto"/>
              </w:rPr>
              <w:t>1,874,987</w:t>
            </w:r>
          </w:p>
        </w:tc>
        <w:tc>
          <w:tcPr>
            <w:tcW w:w="0" w:type="dxa"/>
            <w:vAlign w:val="bottom"/>
          </w:tcPr>
          <w:p>
            <w:pPr>
              <w:spacing w:after="0"/>
              <w:rPr>
                <w:sz w:val="1"/>
                <w:szCs w:val="1"/>
                <w:color w:val="auto"/>
              </w:rPr>
            </w:pPr>
          </w:p>
        </w:tc>
      </w:tr>
      <w:tr>
        <w:trPr>
          <w:trHeight w:val="162"/>
        </w:trPr>
        <w:tc>
          <w:tcPr>
            <w:tcW w:w="2080" w:type="dxa"/>
            <w:vAlign w:val="bottom"/>
            <w:tcBorders>
              <w:bottom w:val="single" w:sz="8" w:color="E5EAF5"/>
            </w:tcBorders>
            <w:shd w:val="clear" w:color="auto" w:fill="E5EAF5"/>
          </w:tcPr>
          <w:p>
            <w:pPr>
              <w:spacing w:after="0"/>
              <w:rPr>
                <w:sz w:val="14"/>
                <w:szCs w:val="14"/>
                <w:color w:val="auto"/>
              </w:rPr>
            </w:pPr>
          </w:p>
        </w:tc>
        <w:tc>
          <w:tcPr>
            <w:tcW w:w="680" w:type="dxa"/>
            <w:vAlign w:val="bottom"/>
            <w:tcBorders>
              <w:bottom w:val="single" w:sz="8" w:color="E5EAF5"/>
            </w:tcBorders>
            <w:shd w:val="clear" w:color="auto" w:fill="E5EAF5"/>
          </w:tcPr>
          <w:p>
            <w:pPr>
              <w:jc w:val="center"/>
              <w:ind w:left="13"/>
              <w:spacing w:after="0" w:line="155" w:lineRule="exact"/>
              <w:rPr>
                <w:sz w:val="20"/>
                <w:szCs w:val="20"/>
                <w:color w:val="auto"/>
              </w:rPr>
            </w:pPr>
            <w:r>
              <w:rPr>
                <w:rFonts w:ascii="Arial" w:cs="Arial" w:eastAsia="Arial" w:hAnsi="Arial"/>
                <w:sz w:val="14"/>
                <w:szCs w:val="14"/>
                <w:color w:val="auto"/>
                <w:w w:val="96"/>
              </w:rPr>
              <w:t>Option</w:t>
            </w:r>
          </w:p>
        </w:tc>
        <w:tc>
          <w:tcPr>
            <w:tcW w:w="900" w:type="dxa"/>
            <w:vAlign w:val="bottom"/>
            <w:tcBorders>
              <w:bottom w:val="single" w:sz="8" w:color="E5EAF5"/>
            </w:tcBorders>
            <w:shd w:val="clear" w:color="auto" w:fill="E5EAF5"/>
          </w:tcPr>
          <w:p>
            <w:pPr>
              <w:jc w:val="center"/>
              <w:spacing w:after="0" w:line="155" w:lineRule="exact"/>
              <w:rPr>
                <w:sz w:val="20"/>
                <w:szCs w:val="20"/>
                <w:color w:val="auto"/>
              </w:rPr>
            </w:pPr>
            <w:r>
              <w:rPr>
                <w:rFonts w:ascii="Arial" w:cs="Arial" w:eastAsia="Arial" w:hAnsi="Arial"/>
                <w:sz w:val="14"/>
                <w:szCs w:val="14"/>
                <w:color w:val="auto"/>
                <w:w w:val="96"/>
              </w:rPr>
              <w:t>2/22/2018</w:t>
            </w:r>
          </w:p>
        </w:tc>
        <w:tc>
          <w:tcPr>
            <w:tcW w:w="780" w:type="dxa"/>
            <w:vAlign w:val="bottom"/>
            <w:tcBorders>
              <w:bottom w:val="single" w:sz="8" w:color="E5EAF5"/>
            </w:tcBorders>
            <w:shd w:val="clear" w:color="auto" w:fill="E5EAF5"/>
          </w:tcPr>
          <w:p>
            <w:pPr>
              <w:spacing w:after="0"/>
              <w:rPr>
                <w:sz w:val="14"/>
                <w:szCs w:val="14"/>
                <w:color w:val="auto"/>
              </w:rPr>
            </w:pPr>
          </w:p>
        </w:tc>
        <w:tc>
          <w:tcPr>
            <w:tcW w:w="760" w:type="dxa"/>
            <w:vAlign w:val="bottom"/>
            <w:tcBorders>
              <w:bottom w:val="single" w:sz="8" w:color="E5EAF5"/>
            </w:tcBorders>
            <w:shd w:val="clear" w:color="auto" w:fill="E5EAF5"/>
          </w:tcPr>
          <w:p>
            <w:pPr>
              <w:spacing w:after="0"/>
              <w:rPr>
                <w:sz w:val="14"/>
                <w:szCs w:val="14"/>
                <w:color w:val="auto"/>
              </w:rPr>
            </w:pPr>
          </w:p>
        </w:tc>
        <w:tc>
          <w:tcPr>
            <w:tcW w:w="760" w:type="dxa"/>
            <w:vAlign w:val="bottom"/>
            <w:tcBorders>
              <w:bottom w:val="single" w:sz="8" w:color="E5EAF5"/>
            </w:tcBorders>
            <w:shd w:val="clear" w:color="auto" w:fill="E5EAF5"/>
          </w:tcPr>
          <w:p>
            <w:pPr>
              <w:spacing w:after="0"/>
              <w:rPr>
                <w:sz w:val="14"/>
                <w:szCs w:val="14"/>
                <w:color w:val="auto"/>
              </w:rPr>
            </w:pPr>
          </w:p>
        </w:tc>
        <w:tc>
          <w:tcPr>
            <w:tcW w:w="760" w:type="dxa"/>
            <w:vAlign w:val="bottom"/>
            <w:tcBorders>
              <w:bottom w:val="single" w:sz="8" w:color="E5EAF5"/>
            </w:tcBorders>
            <w:shd w:val="clear" w:color="auto" w:fill="E5EAF5"/>
          </w:tcPr>
          <w:p>
            <w:pPr>
              <w:spacing w:after="0"/>
              <w:rPr>
                <w:sz w:val="14"/>
                <w:szCs w:val="14"/>
                <w:color w:val="auto"/>
              </w:rPr>
            </w:pPr>
          </w:p>
        </w:tc>
        <w:tc>
          <w:tcPr>
            <w:tcW w:w="620" w:type="dxa"/>
            <w:vAlign w:val="bottom"/>
            <w:tcBorders>
              <w:bottom w:val="single" w:sz="8" w:color="E5EAF5"/>
            </w:tcBorders>
            <w:shd w:val="clear" w:color="auto" w:fill="E5EAF5"/>
          </w:tcPr>
          <w:p>
            <w:pPr>
              <w:spacing w:after="0"/>
              <w:rPr>
                <w:sz w:val="14"/>
                <w:szCs w:val="14"/>
                <w:color w:val="auto"/>
              </w:rPr>
            </w:pPr>
          </w:p>
        </w:tc>
        <w:tc>
          <w:tcPr>
            <w:tcW w:w="640" w:type="dxa"/>
            <w:vAlign w:val="bottom"/>
            <w:tcBorders>
              <w:bottom w:val="single" w:sz="8" w:color="E5EAF5"/>
            </w:tcBorders>
            <w:shd w:val="clear" w:color="auto" w:fill="E5EAF5"/>
          </w:tcPr>
          <w:p>
            <w:pPr>
              <w:spacing w:after="0"/>
              <w:rPr>
                <w:sz w:val="14"/>
                <w:szCs w:val="14"/>
                <w:color w:val="auto"/>
              </w:rPr>
            </w:pPr>
          </w:p>
        </w:tc>
        <w:tc>
          <w:tcPr>
            <w:tcW w:w="780" w:type="dxa"/>
            <w:vAlign w:val="bottom"/>
            <w:tcBorders>
              <w:bottom w:val="single" w:sz="8" w:color="E5EAF5"/>
            </w:tcBorders>
            <w:shd w:val="clear" w:color="auto" w:fill="E5EAF5"/>
          </w:tcPr>
          <w:p>
            <w:pPr>
              <w:spacing w:after="0"/>
              <w:rPr>
                <w:sz w:val="14"/>
                <w:szCs w:val="14"/>
                <w:color w:val="auto"/>
              </w:rPr>
            </w:pPr>
          </w:p>
        </w:tc>
        <w:tc>
          <w:tcPr>
            <w:tcW w:w="780" w:type="dxa"/>
            <w:vAlign w:val="bottom"/>
            <w:tcBorders>
              <w:bottom w:val="single" w:sz="8" w:color="E5EAF5"/>
            </w:tcBorders>
            <w:shd w:val="clear" w:color="auto" w:fill="E5EAF5"/>
          </w:tcPr>
          <w:p>
            <w:pPr>
              <w:jc w:val="right"/>
              <w:spacing w:after="0" w:line="155" w:lineRule="exact"/>
              <w:rPr>
                <w:sz w:val="20"/>
                <w:szCs w:val="20"/>
                <w:color w:val="auto"/>
              </w:rPr>
            </w:pPr>
            <w:r>
              <w:rPr>
                <w:rFonts w:ascii="Arial" w:cs="Arial" w:eastAsia="Arial" w:hAnsi="Arial"/>
                <w:sz w:val="14"/>
                <w:szCs w:val="14"/>
                <w:color w:val="auto"/>
              </w:rPr>
              <w:t>184,668</w:t>
            </w:r>
          </w:p>
        </w:tc>
        <w:tc>
          <w:tcPr>
            <w:tcW w:w="700" w:type="dxa"/>
            <w:vAlign w:val="bottom"/>
            <w:tcBorders>
              <w:bottom w:val="single" w:sz="8" w:color="E5EAF5"/>
            </w:tcBorders>
            <w:shd w:val="clear" w:color="auto" w:fill="E5EAF5"/>
          </w:tcPr>
          <w:p>
            <w:pPr>
              <w:jc w:val="right"/>
              <w:spacing w:after="0" w:line="155" w:lineRule="exact"/>
              <w:rPr>
                <w:sz w:val="20"/>
                <w:szCs w:val="20"/>
                <w:color w:val="auto"/>
              </w:rPr>
            </w:pPr>
            <w:r>
              <w:rPr>
                <w:rFonts w:ascii="Arial" w:cs="Arial" w:eastAsia="Arial" w:hAnsi="Arial"/>
                <w:sz w:val="14"/>
                <w:szCs w:val="14"/>
                <w:color w:val="auto"/>
              </w:rPr>
              <w:t>73.45</w:t>
            </w:r>
          </w:p>
        </w:tc>
        <w:tc>
          <w:tcPr>
            <w:tcW w:w="780" w:type="dxa"/>
            <w:vAlign w:val="bottom"/>
            <w:tcBorders>
              <w:bottom w:val="single" w:sz="8" w:color="E5EAF5"/>
            </w:tcBorders>
            <w:shd w:val="clear" w:color="auto" w:fill="E5EAF5"/>
          </w:tcPr>
          <w:p>
            <w:pPr>
              <w:jc w:val="right"/>
              <w:ind w:right="34"/>
              <w:spacing w:after="0" w:line="155" w:lineRule="exact"/>
              <w:rPr>
                <w:sz w:val="20"/>
                <w:szCs w:val="20"/>
                <w:color w:val="auto"/>
              </w:rPr>
            </w:pPr>
            <w:r>
              <w:rPr>
                <w:rFonts w:ascii="Arial" w:cs="Arial" w:eastAsia="Arial" w:hAnsi="Arial"/>
                <w:sz w:val="14"/>
                <w:szCs w:val="14"/>
                <w:color w:val="auto"/>
              </w:rPr>
              <w:t>2,812,494</w:t>
            </w:r>
          </w:p>
        </w:tc>
        <w:tc>
          <w:tcPr>
            <w:tcW w:w="0" w:type="dxa"/>
            <w:vAlign w:val="bottom"/>
          </w:tcPr>
          <w:p>
            <w:pPr>
              <w:spacing w:after="0"/>
              <w:rPr>
                <w:sz w:val="1"/>
                <w:szCs w:val="1"/>
                <w:color w:val="auto"/>
              </w:rPr>
            </w:pPr>
          </w:p>
        </w:tc>
      </w:tr>
      <w:tr>
        <w:trPr>
          <w:trHeight w:val="169"/>
        </w:trPr>
        <w:tc>
          <w:tcPr>
            <w:tcW w:w="2080" w:type="dxa"/>
            <w:vAlign w:val="bottom"/>
          </w:tcPr>
          <w:p>
            <w:pPr>
              <w:spacing w:after="0"/>
              <w:rPr>
                <w:sz w:val="14"/>
                <w:szCs w:val="14"/>
                <w:color w:val="auto"/>
              </w:rPr>
            </w:pPr>
          </w:p>
        </w:tc>
        <w:tc>
          <w:tcPr>
            <w:tcW w:w="680" w:type="dxa"/>
            <w:vAlign w:val="bottom"/>
          </w:tcPr>
          <w:p>
            <w:pPr>
              <w:jc w:val="center"/>
              <w:ind w:left="13"/>
              <w:spacing w:after="0"/>
              <w:rPr>
                <w:sz w:val="20"/>
                <w:szCs w:val="20"/>
                <w:color w:val="auto"/>
              </w:rPr>
            </w:pPr>
            <w:r>
              <w:rPr>
                <w:rFonts w:ascii="Arial" w:cs="Arial" w:eastAsia="Arial" w:hAnsi="Arial"/>
                <w:sz w:val="14"/>
                <w:szCs w:val="14"/>
                <w:color w:val="auto"/>
                <w:w w:val="96"/>
              </w:rPr>
              <w:t>Option</w:t>
            </w:r>
          </w:p>
        </w:tc>
        <w:tc>
          <w:tcPr>
            <w:tcW w:w="900" w:type="dxa"/>
            <w:vAlign w:val="bottom"/>
          </w:tcPr>
          <w:p>
            <w:pPr>
              <w:jc w:val="center"/>
              <w:spacing w:after="0"/>
              <w:rPr>
                <w:sz w:val="20"/>
                <w:szCs w:val="20"/>
                <w:color w:val="auto"/>
              </w:rPr>
            </w:pPr>
            <w:r>
              <w:rPr>
                <w:rFonts w:ascii="Arial" w:cs="Arial" w:eastAsia="Arial" w:hAnsi="Arial"/>
                <w:sz w:val="14"/>
                <w:szCs w:val="14"/>
                <w:color w:val="auto"/>
                <w:w w:val="96"/>
              </w:rPr>
              <w:t>2/22/2018</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156,947</w:t>
            </w:r>
          </w:p>
        </w:tc>
        <w:tc>
          <w:tcPr>
            <w:tcW w:w="700" w:type="dxa"/>
            <w:vAlign w:val="bottom"/>
          </w:tcPr>
          <w:p>
            <w:pPr>
              <w:jc w:val="right"/>
              <w:spacing w:after="0"/>
              <w:rPr>
                <w:sz w:val="20"/>
                <w:szCs w:val="20"/>
                <w:color w:val="auto"/>
              </w:rPr>
            </w:pPr>
            <w:r>
              <w:rPr>
                <w:rFonts w:ascii="Arial" w:cs="Arial" w:eastAsia="Arial" w:hAnsi="Arial"/>
                <w:sz w:val="14"/>
                <w:szCs w:val="14"/>
                <w:color w:val="auto"/>
              </w:rPr>
              <w:t>73.45</w:t>
            </w:r>
          </w:p>
        </w:tc>
        <w:tc>
          <w:tcPr>
            <w:tcW w:w="780" w:type="dxa"/>
            <w:vAlign w:val="bottom"/>
          </w:tcPr>
          <w:p>
            <w:pPr>
              <w:jc w:val="right"/>
              <w:ind w:right="34"/>
              <w:spacing w:after="0"/>
              <w:rPr>
                <w:sz w:val="20"/>
                <w:szCs w:val="20"/>
                <w:color w:val="auto"/>
              </w:rPr>
            </w:pPr>
            <w:r>
              <w:rPr>
                <w:rFonts w:ascii="Arial" w:cs="Arial" w:eastAsia="Arial" w:hAnsi="Arial"/>
                <w:sz w:val="14"/>
                <w:szCs w:val="14"/>
                <w:color w:val="auto"/>
              </w:rPr>
              <w:t>2,812,490</w:t>
            </w:r>
          </w:p>
        </w:tc>
        <w:tc>
          <w:tcPr>
            <w:tcW w:w="0" w:type="dxa"/>
            <w:vAlign w:val="bottom"/>
          </w:tcPr>
          <w:p>
            <w:pPr>
              <w:spacing w:after="0"/>
              <w:rPr>
                <w:sz w:val="1"/>
                <w:szCs w:val="1"/>
                <w:color w:val="auto"/>
              </w:rPr>
            </w:pPr>
          </w:p>
        </w:tc>
      </w:tr>
      <w:tr>
        <w:trPr>
          <w:trHeight w:val="162"/>
        </w:trPr>
        <w:tc>
          <w:tcPr>
            <w:tcW w:w="2080" w:type="dxa"/>
            <w:vAlign w:val="bottom"/>
            <w:tcBorders>
              <w:bottom w:val="single" w:sz="8" w:color="E5EAF5"/>
            </w:tcBorders>
            <w:shd w:val="clear" w:color="auto" w:fill="E5EAF5"/>
          </w:tcPr>
          <w:p>
            <w:pPr>
              <w:ind w:left="60"/>
              <w:spacing w:after="0" w:line="155" w:lineRule="exact"/>
              <w:rPr>
                <w:sz w:val="20"/>
                <w:szCs w:val="20"/>
                <w:color w:val="auto"/>
              </w:rPr>
            </w:pPr>
            <w:r>
              <w:rPr>
                <w:rFonts w:ascii="Arial" w:cs="Arial" w:eastAsia="Arial" w:hAnsi="Arial"/>
                <w:sz w:val="14"/>
                <w:szCs w:val="14"/>
                <w:color w:val="auto"/>
              </w:rPr>
              <w:t>Ronald J. Domanico</w:t>
            </w:r>
          </w:p>
        </w:tc>
        <w:tc>
          <w:tcPr>
            <w:tcW w:w="680" w:type="dxa"/>
            <w:vAlign w:val="bottom"/>
            <w:tcBorders>
              <w:bottom w:val="single" w:sz="8" w:color="E5EAF5"/>
            </w:tcBorders>
            <w:shd w:val="clear" w:color="auto" w:fill="E5EAF5"/>
          </w:tcPr>
          <w:p>
            <w:pPr>
              <w:jc w:val="center"/>
              <w:spacing w:after="0" w:line="155" w:lineRule="exact"/>
              <w:rPr>
                <w:sz w:val="20"/>
                <w:szCs w:val="20"/>
                <w:color w:val="auto"/>
              </w:rPr>
            </w:pPr>
            <w:r>
              <w:rPr>
                <w:rFonts w:ascii="Arial" w:cs="Arial" w:eastAsia="Arial" w:hAnsi="Arial"/>
                <w:sz w:val="14"/>
                <w:szCs w:val="14"/>
                <w:color w:val="auto"/>
                <w:w w:val="97"/>
              </w:rPr>
              <w:t>EIP</w:t>
            </w:r>
          </w:p>
        </w:tc>
        <w:tc>
          <w:tcPr>
            <w:tcW w:w="900" w:type="dxa"/>
            <w:vAlign w:val="bottom"/>
            <w:tcBorders>
              <w:bottom w:val="single" w:sz="8" w:color="E5EAF5"/>
            </w:tcBorders>
            <w:shd w:val="clear" w:color="auto" w:fill="E5EAF5"/>
          </w:tcPr>
          <w:p>
            <w:pPr>
              <w:spacing w:after="0"/>
              <w:rPr>
                <w:sz w:val="14"/>
                <w:szCs w:val="14"/>
                <w:color w:val="auto"/>
              </w:rPr>
            </w:pPr>
          </w:p>
        </w:tc>
        <w:tc>
          <w:tcPr>
            <w:tcW w:w="780" w:type="dxa"/>
            <w:vAlign w:val="bottom"/>
            <w:tcBorders>
              <w:bottom w:val="single" w:sz="8" w:color="E5EAF5"/>
            </w:tcBorders>
            <w:shd w:val="clear" w:color="auto" w:fill="E5EAF5"/>
          </w:tcPr>
          <w:p>
            <w:pPr>
              <w:jc w:val="right"/>
              <w:ind w:right="14"/>
              <w:spacing w:after="0" w:line="155" w:lineRule="exact"/>
              <w:rPr>
                <w:sz w:val="20"/>
                <w:szCs w:val="20"/>
                <w:color w:val="auto"/>
              </w:rPr>
            </w:pPr>
            <w:r>
              <w:rPr>
                <w:rFonts w:ascii="Arial" w:cs="Arial" w:eastAsia="Arial" w:hAnsi="Arial"/>
                <w:sz w:val="14"/>
                <w:szCs w:val="14"/>
                <w:color w:val="auto"/>
              </w:rPr>
              <w:t>255,000</w:t>
            </w:r>
          </w:p>
        </w:tc>
        <w:tc>
          <w:tcPr>
            <w:tcW w:w="760" w:type="dxa"/>
            <w:vAlign w:val="bottom"/>
            <w:tcBorders>
              <w:bottom w:val="single" w:sz="8" w:color="E5EAF5"/>
            </w:tcBorders>
            <w:shd w:val="clear" w:color="auto" w:fill="E5EAF5"/>
          </w:tcPr>
          <w:p>
            <w:pPr>
              <w:jc w:val="right"/>
              <w:ind w:right="14"/>
              <w:spacing w:after="0" w:line="155" w:lineRule="exact"/>
              <w:rPr>
                <w:sz w:val="20"/>
                <w:szCs w:val="20"/>
                <w:color w:val="auto"/>
              </w:rPr>
            </w:pPr>
            <w:r>
              <w:rPr>
                <w:rFonts w:ascii="Arial" w:cs="Arial" w:eastAsia="Arial" w:hAnsi="Arial"/>
                <w:sz w:val="14"/>
                <w:szCs w:val="14"/>
                <w:color w:val="auto"/>
              </w:rPr>
              <w:t>510,000</w:t>
            </w:r>
          </w:p>
        </w:tc>
        <w:tc>
          <w:tcPr>
            <w:tcW w:w="760" w:type="dxa"/>
            <w:vAlign w:val="bottom"/>
            <w:tcBorders>
              <w:bottom w:val="single" w:sz="8" w:color="E5EAF5"/>
            </w:tcBorders>
            <w:shd w:val="clear" w:color="auto" w:fill="E5EAF5"/>
          </w:tcPr>
          <w:p>
            <w:pPr>
              <w:jc w:val="right"/>
              <w:spacing w:after="0" w:line="155" w:lineRule="exact"/>
              <w:rPr>
                <w:sz w:val="20"/>
                <w:szCs w:val="20"/>
                <w:color w:val="auto"/>
              </w:rPr>
            </w:pPr>
            <w:r>
              <w:rPr>
                <w:rFonts w:ascii="Arial" w:cs="Arial" w:eastAsia="Arial" w:hAnsi="Arial"/>
                <w:sz w:val="14"/>
                <w:szCs w:val="14"/>
                <w:color w:val="auto"/>
              </w:rPr>
              <w:t>1,020,000</w:t>
            </w:r>
          </w:p>
        </w:tc>
        <w:tc>
          <w:tcPr>
            <w:tcW w:w="760" w:type="dxa"/>
            <w:vAlign w:val="bottom"/>
            <w:tcBorders>
              <w:bottom w:val="single" w:sz="8" w:color="E5EAF5"/>
            </w:tcBorders>
            <w:shd w:val="clear" w:color="auto" w:fill="E5EAF5"/>
          </w:tcPr>
          <w:p>
            <w:pPr>
              <w:spacing w:after="0"/>
              <w:rPr>
                <w:sz w:val="14"/>
                <w:szCs w:val="14"/>
                <w:color w:val="auto"/>
              </w:rPr>
            </w:pPr>
          </w:p>
        </w:tc>
        <w:tc>
          <w:tcPr>
            <w:tcW w:w="620" w:type="dxa"/>
            <w:vAlign w:val="bottom"/>
            <w:tcBorders>
              <w:bottom w:val="single" w:sz="8" w:color="E5EAF5"/>
            </w:tcBorders>
            <w:shd w:val="clear" w:color="auto" w:fill="E5EAF5"/>
          </w:tcPr>
          <w:p>
            <w:pPr>
              <w:spacing w:after="0"/>
              <w:rPr>
                <w:sz w:val="14"/>
                <w:szCs w:val="14"/>
                <w:color w:val="auto"/>
              </w:rPr>
            </w:pPr>
          </w:p>
        </w:tc>
        <w:tc>
          <w:tcPr>
            <w:tcW w:w="640" w:type="dxa"/>
            <w:vAlign w:val="bottom"/>
            <w:tcBorders>
              <w:bottom w:val="single" w:sz="8" w:color="E5EAF5"/>
            </w:tcBorders>
            <w:shd w:val="clear" w:color="auto" w:fill="E5EAF5"/>
          </w:tcPr>
          <w:p>
            <w:pPr>
              <w:spacing w:after="0"/>
              <w:rPr>
                <w:sz w:val="14"/>
                <w:szCs w:val="14"/>
                <w:color w:val="auto"/>
              </w:rPr>
            </w:pPr>
          </w:p>
        </w:tc>
        <w:tc>
          <w:tcPr>
            <w:tcW w:w="780" w:type="dxa"/>
            <w:vAlign w:val="bottom"/>
            <w:tcBorders>
              <w:bottom w:val="single" w:sz="8" w:color="E5EAF5"/>
            </w:tcBorders>
            <w:shd w:val="clear" w:color="auto" w:fill="E5EAF5"/>
          </w:tcPr>
          <w:p>
            <w:pPr>
              <w:spacing w:after="0"/>
              <w:rPr>
                <w:sz w:val="14"/>
                <w:szCs w:val="14"/>
                <w:color w:val="auto"/>
              </w:rPr>
            </w:pPr>
          </w:p>
        </w:tc>
        <w:tc>
          <w:tcPr>
            <w:tcW w:w="780" w:type="dxa"/>
            <w:vAlign w:val="bottom"/>
            <w:tcBorders>
              <w:bottom w:val="single" w:sz="8" w:color="E5EAF5"/>
            </w:tcBorders>
            <w:shd w:val="clear" w:color="auto" w:fill="E5EAF5"/>
          </w:tcPr>
          <w:p>
            <w:pPr>
              <w:spacing w:after="0"/>
              <w:rPr>
                <w:sz w:val="14"/>
                <w:szCs w:val="14"/>
                <w:color w:val="auto"/>
              </w:rPr>
            </w:pPr>
          </w:p>
        </w:tc>
        <w:tc>
          <w:tcPr>
            <w:tcW w:w="700" w:type="dxa"/>
            <w:vAlign w:val="bottom"/>
            <w:tcBorders>
              <w:bottom w:val="single" w:sz="8" w:color="E5EAF5"/>
            </w:tcBorders>
            <w:shd w:val="clear" w:color="auto" w:fill="E5EAF5"/>
          </w:tcPr>
          <w:p>
            <w:pPr>
              <w:spacing w:after="0"/>
              <w:rPr>
                <w:sz w:val="14"/>
                <w:szCs w:val="14"/>
                <w:color w:val="auto"/>
              </w:rPr>
            </w:pPr>
          </w:p>
        </w:tc>
        <w:tc>
          <w:tcPr>
            <w:tcW w:w="780" w:type="dxa"/>
            <w:vAlign w:val="bottom"/>
            <w:tcBorders>
              <w:bottom w:val="single" w:sz="8" w:color="E5EAF5"/>
            </w:tcBorders>
            <w:shd w:val="clear" w:color="auto" w:fill="E5EAF5"/>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5"/>
              </w:rPr>
              <w:t>IM PSU</w:t>
            </w:r>
          </w:p>
        </w:tc>
        <w:tc>
          <w:tcPr>
            <w:tcW w:w="900" w:type="dxa"/>
            <w:vAlign w:val="bottom"/>
          </w:tcPr>
          <w:p>
            <w:pPr>
              <w:jc w:val="center"/>
              <w:spacing w:after="0"/>
              <w:rPr>
                <w:sz w:val="20"/>
                <w:szCs w:val="20"/>
                <w:color w:val="auto"/>
              </w:rPr>
            </w:pPr>
            <w:r>
              <w:rPr>
                <w:rFonts w:ascii="Arial" w:cs="Arial" w:eastAsia="Arial" w:hAnsi="Arial"/>
                <w:sz w:val="14"/>
                <w:szCs w:val="14"/>
                <w:color w:val="auto"/>
                <w:w w:val="96"/>
              </w:rPr>
              <w:t>2/22/2018</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jc w:val="right"/>
              <w:ind w:right="14"/>
              <w:spacing w:after="0"/>
              <w:rPr>
                <w:sz w:val="20"/>
                <w:szCs w:val="20"/>
                <w:color w:val="auto"/>
              </w:rPr>
            </w:pPr>
            <w:r>
              <w:rPr>
                <w:rFonts w:ascii="Arial" w:cs="Arial" w:eastAsia="Arial" w:hAnsi="Arial"/>
                <w:sz w:val="14"/>
                <w:szCs w:val="14"/>
                <w:color w:val="auto"/>
              </w:rPr>
              <w:t>2,178</w:t>
            </w:r>
          </w:p>
        </w:tc>
        <w:tc>
          <w:tcPr>
            <w:tcW w:w="620" w:type="dxa"/>
            <w:vAlign w:val="bottom"/>
          </w:tcPr>
          <w:p>
            <w:pPr>
              <w:jc w:val="right"/>
              <w:ind w:right="53"/>
              <w:spacing w:after="0"/>
              <w:rPr>
                <w:sz w:val="20"/>
                <w:szCs w:val="20"/>
                <w:color w:val="auto"/>
              </w:rPr>
            </w:pPr>
            <w:r>
              <w:rPr>
                <w:rFonts w:ascii="Arial" w:cs="Arial" w:eastAsia="Arial" w:hAnsi="Arial"/>
                <w:sz w:val="14"/>
                <w:szCs w:val="14"/>
                <w:color w:val="auto"/>
              </w:rPr>
              <w:t>4,357</w:t>
            </w:r>
          </w:p>
        </w:tc>
        <w:tc>
          <w:tcPr>
            <w:tcW w:w="640" w:type="dxa"/>
            <w:vAlign w:val="bottom"/>
          </w:tcPr>
          <w:p>
            <w:pPr>
              <w:jc w:val="right"/>
              <w:spacing w:after="0"/>
              <w:rPr>
                <w:sz w:val="20"/>
                <w:szCs w:val="20"/>
                <w:color w:val="auto"/>
              </w:rPr>
            </w:pPr>
            <w:r>
              <w:rPr>
                <w:rFonts w:ascii="Arial" w:cs="Arial" w:eastAsia="Arial" w:hAnsi="Arial"/>
                <w:sz w:val="14"/>
                <w:szCs w:val="14"/>
                <w:color w:val="auto"/>
              </w:rPr>
              <w:t>8,714</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jc w:val="right"/>
              <w:ind w:right="34"/>
              <w:spacing w:after="0"/>
              <w:rPr>
                <w:sz w:val="20"/>
                <w:szCs w:val="20"/>
                <w:color w:val="auto"/>
              </w:rPr>
            </w:pPr>
            <w:r>
              <w:rPr>
                <w:rFonts w:ascii="Arial" w:cs="Arial" w:eastAsia="Arial" w:hAnsi="Arial"/>
                <w:sz w:val="14"/>
                <w:szCs w:val="14"/>
                <w:color w:val="auto"/>
              </w:rPr>
              <w:t>312,440</w:t>
            </w:r>
          </w:p>
        </w:tc>
        <w:tc>
          <w:tcPr>
            <w:tcW w:w="0" w:type="dxa"/>
            <w:vAlign w:val="bottom"/>
          </w:tcPr>
          <w:p>
            <w:pPr>
              <w:spacing w:after="0"/>
              <w:rPr>
                <w:sz w:val="1"/>
                <w:szCs w:val="1"/>
                <w:color w:val="auto"/>
              </w:rPr>
            </w:pPr>
          </w:p>
        </w:tc>
      </w:tr>
      <w:tr>
        <w:trPr>
          <w:trHeight w:val="162"/>
        </w:trPr>
        <w:tc>
          <w:tcPr>
            <w:tcW w:w="2080" w:type="dxa"/>
            <w:vAlign w:val="bottom"/>
            <w:tcBorders>
              <w:bottom w:val="single" w:sz="8" w:color="E5EAF5"/>
            </w:tcBorders>
            <w:shd w:val="clear" w:color="auto" w:fill="E5EAF5"/>
          </w:tcPr>
          <w:p>
            <w:pPr>
              <w:spacing w:after="0"/>
              <w:rPr>
                <w:sz w:val="14"/>
                <w:szCs w:val="14"/>
                <w:color w:val="auto"/>
              </w:rPr>
            </w:pPr>
          </w:p>
        </w:tc>
        <w:tc>
          <w:tcPr>
            <w:tcW w:w="680" w:type="dxa"/>
            <w:vAlign w:val="bottom"/>
            <w:tcBorders>
              <w:bottom w:val="single" w:sz="8" w:color="E5EAF5"/>
            </w:tcBorders>
            <w:shd w:val="clear" w:color="auto" w:fill="E5EAF5"/>
          </w:tcPr>
          <w:p>
            <w:pPr>
              <w:jc w:val="center"/>
              <w:spacing w:after="0" w:line="155" w:lineRule="exact"/>
              <w:rPr>
                <w:sz w:val="20"/>
                <w:szCs w:val="20"/>
                <w:color w:val="auto"/>
              </w:rPr>
            </w:pPr>
            <w:r>
              <w:rPr>
                <w:rFonts w:ascii="Arial" w:cs="Arial" w:eastAsia="Arial" w:hAnsi="Arial"/>
                <w:sz w:val="14"/>
                <w:szCs w:val="14"/>
                <w:color w:val="auto"/>
                <w:w w:val="95"/>
              </w:rPr>
              <w:t>TSR PSU</w:t>
            </w:r>
          </w:p>
        </w:tc>
        <w:tc>
          <w:tcPr>
            <w:tcW w:w="900" w:type="dxa"/>
            <w:vAlign w:val="bottom"/>
            <w:tcBorders>
              <w:bottom w:val="single" w:sz="8" w:color="E5EAF5"/>
            </w:tcBorders>
            <w:shd w:val="clear" w:color="auto" w:fill="E5EAF5"/>
          </w:tcPr>
          <w:p>
            <w:pPr>
              <w:jc w:val="center"/>
              <w:spacing w:after="0" w:line="155" w:lineRule="exact"/>
              <w:rPr>
                <w:sz w:val="20"/>
                <w:szCs w:val="20"/>
                <w:color w:val="auto"/>
              </w:rPr>
            </w:pPr>
            <w:r>
              <w:rPr>
                <w:rFonts w:ascii="Arial" w:cs="Arial" w:eastAsia="Arial" w:hAnsi="Arial"/>
                <w:sz w:val="14"/>
                <w:szCs w:val="14"/>
                <w:color w:val="auto"/>
                <w:w w:val="96"/>
              </w:rPr>
              <w:t>2/22/2018</w:t>
            </w:r>
          </w:p>
        </w:tc>
        <w:tc>
          <w:tcPr>
            <w:tcW w:w="780" w:type="dxa"/>
            <w:vAlign w:val="bottom"/>
            <w:tcBorders>
              <w:bottom w:val="single" w:sz="8" w:color="E5EAF5"/>
            </w:tcBorders>
            <w:shd w:val="clear" w:color="auto" w:fill="E5EAF5"/>
          </w:tcPr>
          <w:p>
            <w:pPr>
              <w:spacing w:after="0"/>
              <w:rPr>
                <w:sz w:val="14"/>
                <w:szCs w:val="14"/>
                <w:color w:val="auto"/>
              </w:rPr>
            </w:pPr>
          </w:p>
        </w:tc>
        <w:tc>
          <w:tcPr>
            <w:tcW w:w="760" w:type="dxa"/>
            <w:vAlign w:val="bottom"/>
            <w:tcBorders>
              <w:bottom w:val="single" w:sz="8" w:color="E5EAF5"/>
            </w:tcBorders>
            <w:shd w:val="clear" w:color="auto" w:fill="E5EAF5"/>
          </w:tcPr>
          <w:p>
            <w:pPr>
              <w:spacing w:after="0"/>
              <w:rPr>
                <w:sz w:val="14"/>
                <w:szCs w:val="14"/>
                <w:color w:val="auto"/>
              </w:rPr>
            </w:pPr>
          </w:p>
        </w:tc>
        <w:tc>
          <w:tcPr>
            <w:tcW w:w="760" w:type="dxa"/>
            <w:vAlign w:val="bottom"/>
            <w:tcBorders>
              <w:bottom w:val="single" w:sz="8" w:color="E5EAF5"/>
            </w:tcBorders>
            <w:shd w:val="clear" w:color="auto" w:fill="E5EAF5"/>
          </w:tcPr>
          <w:p>
            <w:pPr>
              <w:spacing w:after="0"/>
              <w:rPr>
                <w:sz w:val="14"/>
                <w:szCs w:val="14"/>
                <w:color w:val="auto"/>
              </w:rPr>
            </w:pPr>
          </w:p>
        </w:tc>
        <w:tc>
          <w:tcPr>
            <w:tcW w:w="760" w:type="dxa"/>
            <w:vAlign w:val="bottom"/>
            <w:tcBorders>
              <w:bottom w:val="single" w:sz="8" w:color="E5EAF5"/>
            </w:tcBorders>
            <w:shd w:val="clear" w:color="auto" w:fill="E5EAF5"/>
          </w:tcPr>
          <w:p>
            <w:pPr>
              <w:jc w:val="right"/>
              <w:ind w:right="14"/>
              <w:spacing w:after="0" w:line="155" w:lineRule="exact"/>
              <w:rPr>
                <w:sz w:val="20"/>
                <w:szCs w:val="20"/>
                <w:color w:val="auto"/>
              </w:rPr>
            </w:pPr>
            <w:r>
              <w:rPr>
                <w:rFonts w:ascii="Arial" w:cs="Arial" w:eastAsia="Arial" w:hAnsi="Arial"/>
                <w:sz w:val="14"/>
                <w:szCs w:val="14"/>
                <w:color w:val="auto"/>
              </w:rPr>
              <w:t>988</w:t>
            </w:r>
          </w:p>
        </w:tc>
        <w:tc>
          <w:tcPr>
            <w:tcW w:w="620" w:type="dxa"/>
            <w:vAlign w:val="bottom"/>
            <w:tcBorders>
              <w:bottom w:val="single" w:sz="8" w:color="E5EAF5"/>
            </w:tcBorders>
            <w:shd w:val="clear" w:color="auto" w:fill="E5EAF5"/>
          </w:tcPr>
          <w:p>
            <w:pPr>
              <w:jc w:val="right"/>
              <w:ind w:right="53"/>
              <w:spacing w:after="0" w:line="155" w:lineRule="exact"/>
              <w:rPr>
                <w:sz w:val="20"/>
                <w:szCs w:val="20"/>
                <w:color w:val="auto"/>
              </w:rPr>
            </w:pPr>
            <w:r>
              <w:rPr>
                <w:rFonts w:ascii="Arial" w:cs="Arial" w:eastAsia="Arial" w:hAnsi="Arial"/>
                <w:sz w:val="14"/>
                <w:szCs w:val="14"/>
                <w:color w:val="auto"/>
              </w:rPr>
              <w:t>3,953</w:t>
            </w:r>
          </w:p>
        </w:tc>
        <w:tc>
          <w:tcPr>
            <w:tcW w:w="640" w:type="dxa"/>
            <w:vAlign w:val="bottom"/>
            <w:tcBorders>
              <w:bottom w:val="single" w:sz="8" w:color="E5EAF5"/>
            </w:tcBorders>
            <w:shd w:val="clear" w:color="auto" w:fill="E5EAF5"/>
          </w:tcPr>
          <w:p>
            <w:pPr>
              <w:jc w:val="right"/>
              <w:spacing w:after="0" w:line="155" w:lineRule="exact"/>
              <w:rPr>
                <w:sz w:val="20"/>
                <w:szCs w:val="20"/>
                <w:color w:val="auto"/>
              </w:rPr>
            </w:pPr>
            <w:r>
              <w:rPr>
                <w:rFonts w:ascii="Arial" w:cs="Arial" w:eastAsia="Arial" w:hAnsi="Arial"/>
                <w:sz w:val="14"/>
                <w:szCs w:val="14"/>
                <w:color w:val="auto"/>
              </w:rPr>
              <w:t>7,906</w:t>
            </w:r>
          </w:p>
        </w:tc>
        <w:tc>
          <w:tcPr>
            <w:tcW w:w="780" w:type="dxa"/>
            <w:vAlign w:val="bottom"/>
            <w:tcBorders>
              <w:bottom w:val="single" w:sz="8" w:color="E5EAF5"/>
            </w:tcBorders>
            <w:shd w:val="clear" w:color="auto" w:fill="E5EAF5"/>
          </w:tcPr>
          <w:p>
            <w:pPr>
              <w:spacing w:after="0"/>
              <w:rPr>
                <w:sz w:val="14"/>
                <w:szCs w:val="14"/>
                <w:color w:val="auto"/>
              </w:rPr>
            </w:pPr>
          </w:p>
        </w:tc>
        <w:tc>
          <w:tcPr>
            <w:tcW w:w="780" w:type="dxa"/>
            <w:vAlign w:val="bottom"/>
            <w:tcBorders>
              <w:bottom w:val="single" w:sz="8" w:color="E5EAF5"/>
            </w:tcBorders>
            <w:shd w:val="clear" w:color="auto" w:fill="E5EAF5"/>
          </w:tcPr>
          <w:p>
            <w:pPr>
              <w:spacing w:after="0"/>
              <w:rPr>
                <w:sz w:val="14"/>
                <w:szCs w:val="14"/>
                <w:color w:val="auto"/>
              </w:rPr>
            </w:pPr>
          </w:p>
        </w:tc>
        <w:tc>
          <w:tcPr>
            <w:tcW w:w="700" w:type="dxa"/>
            <w:vAlign w:val="bottom"/>
            <w:tcBorders>
              <w:bottom w:val="single" w:sz="8" w:color="E5EAF5"/>
            </w:tcBorders>
            <w:shd w:val="clear" w:color="auto" w:fill="E5EAF5"/>
          </w:tcPr>
          <w:p>
            <w:pPr>
              <w:spacing w:after="0"/>
              <w:rPr>
                <w:sz w:val="14"/>
                <w:szCs w:val="14"/>
                <w:color w:val="auto"/>
              </w:rPr>
            </w:pPr>
          </w:p>
        </w:tc>
        <w:tc>
          <w:tcPr>
            <w:tcW w:w="780" w:type="dxa"/>
            <w:vAlign w:val="bottom"/>
            <w:tcBorders>
              <w:bottom w:val="single" w:sz="8" w:color="E5EAF5"/>
            </w:tcBorders>
            <w:shd w:val="clear" w:color="auto" w:fill="E5EAF5"/>
          </w:tcPr>
          <w:p>
            <w:pPr>
              <w:jc w:val="right"/>
              <w:ind w:right="34"/>
              <w:spacing w:after="0" w:line="155" w:lineRule="exact"/>
              <w:rPr>
                <w:sz w:val="20"/>
                <w:szCs w:val="20"/>
                <w:color w:val="auto"/>
              </w:rPr>
            </w:pPr>
            <w:r>
              <w:rPr>
                <w:rFonts w:ascii="Arial" w:cs="Arial" w:eastAsia="Arial" w:hAnsi="Arial"/>
                <w:sz w:val="14"/>
                <w:szCs w:val="14"/>
                <w:color w:val="auto"/>
              </w:rPr>
              <w:t>312,485</w:t>
            </w:r>
          </w:p>
        </w:tc>
        <w:tc>
          <w:tcPr>
            <w:tcW w:w="0" w:type="dxa"/>
            <w:vAlign w:val="bottom"/>
          </w:tcPr>
          <w:p>
            <w:pPr>
              <w:spacing w:after="0"/>
              <w:rPr>
                <w:sz w:val="1"/>
                <w:szCs w:val="1"/>
                <w:color w:val="auto"/>
              </w:rPr>
            </w:pPr>
          </w:p>
        </w:tc>
      </w:tr>
      <w:tr>
        <w:trPr>
          <w:trHeight w:val="169"/>
        </w:trPr>
        <w:tc>
          <w:tcPr>
            <w:tcW w:w="2080" w:type="dxa"/>
            <w:vAlign w:val="bottom"/>
          </w:tcPr>
          <w:p>
            <w:pPr>
              <w:spacing w:after="0"/>
              <w:rPr>
                <w:sz w:val="14"/>
                <w:szCs w:val="14"/>
                <w:color w:val="auto"/>
              </w:rPr>
            </w:pPr>
          </w:p>
        </w:tc>
        <w:tc>
          <w:tcPr>
            <w:tcW w:w="680" w:type="dxa"/>
            <w:vAlign w:val="bottom"/>
          </w:tcPr>
          <w:p>
            <w:pPr>
              <w:jc w:val="center"/>
              <w:ind w:left="13"/>
              <w:spacing w:after="0"/>
              <w:rPr>
                <w:sz w:val="20"/>
                <w:szCs w:val="20"/>
                <w:color w:val="auto"/>
              </w:rPr>
            </w:pPr>
            <w:r>
              <w:rPr>
                <w:rFonts w:ascii="Arial" w:cs="Arial" w:eastAsia="Arial" w:hAnsi="Arial"/>
                <w:sz w:val="14"/>
                <w:szCs w:val="14"/>
                <w:color w:val="auto"/>
                <w:w w:val="94"/>
              </w:rPr>
              <w:t>RSU</w:t>
            </w:r>
          </w:p>
        </w:tc>
        <w:tc>
          <w:tcPr>
            <w:tcW w:w="900" w:type="dxa"/>
            <w:vAlign w:val="bottom"/>
          </w:tcPr>
          <w:p>
            <w:pPr>
              <w:jc w:val="center"/>
              <w:spacing w:after="0"/>
              <w:rPr>
                <w:sz w:val="20"/>
                <w:szCs w:val="20"/>
                <w:color w:val="auto"/>
              </w:rPr>
            </w:pPr>
            <w:r>
              <w:rPr>
                <w:rFonts w:ascii="Arial" w:cs="Arial" w:eastAsia="Arial" w:hAnsi="Arial"/>
                <w:sz w:val="14"/>
                <w:szCs w:val="14"/>
                <w:color w:val="auto"/>
                <w:w w:val="96"/>
              </w:rPr>
              <w:t>2/22/2018</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4,323</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jc w:val="right"/>
              <w:ind w:right="34"/>
              <w:spacing w:after="0"/>
              <w:rPr>
                <w:sz w:val="20"/>
                <w:szCs w:val="20"/>
                <w:color w:val="auto"/>
              </w:rPr>
            </w:pPr>
            <w:r>
              <w:rPr>
                <w:rFonts w:ascii="Arial" w:cs="Arial" w:eastAsia="Arial" w:hAnsi="Arial"/>
                <w:sz w:val="14"/>
                <w:szCs w:val="14"/>
                <w:color w:val="auto"/>
              </w:rPr>
              <w:t>312,481</w:t>
            </w:r>
          </w:p>
        </w:tc>
        <w:tc>
          <w:tcPr>
            <w:tcW w:w="0" w:type="dxa"/>
            <w:vAlign w:val="bottom"/>
          </w:tcPr>
          <w:p>
            <w:pPr>
              <w:spacing w:after="0"/>
              <w:rPr>
                <w:sz w:val="1"/>
                <w:szCs w:val="1"/>
                <w:color w:val="auto"/>
              </w:rPr>
            </w:pPr>
          </w:p>
        </w:tc>
      </w:tr>
      <w:tr>
        <w:trPr>
          <w:trHeight w:val="162"/>
        </w:trPr>
        <w:tc>
          <w:tcPr>
            <w:tcW w:w="2080" w:type="dxa"/>
            <w:vAlign w:val="bottom"/>
            <w:tcBorders>
              <w:bottom w:val="single" w:sz="8" w:color="E5EAF5"/>
            </w:tcBorders>
            <w:shd w:val="clear" w:color="auto" w:fill="E5EAF5"/>
          </w:tcPr>
          <w:p>
            <w:pPr>
              <w:spacing w:after="0"/>
              <w:rPr>
                <w:sz w:val="14"/>
                <w:szCs w:val="14"/>
                <w:color w:val="auto"/>
              </w:rPr>
            </w:pPr>
          </w:p>
        </w:tc>
        <w:tc>
          <w:tcPr>
            <w:tcW w:w="680" w:type="dxa"/>
            <w:vAlign w:val="bottom"/>
            <w:tcBorders>
              <w:bottom w:val="single" w:sz="8" w:color="E5EAF5"/>
            </w:tcBorders>
            <w:shd w:val="clear" w:color="auto" w:fill="E5EAF5"/>
          </w:tcPr>
          <w:p>
            <w:pPr>
              <w:jc w:val="center"/>
              <w:ind w:left="13"/>
              <w:spacing w:after="0" w:line="155" w:lineRule="exact"/>
              <w:rPr>
                <w:sz w:val="20"/>
                <w:szCs w:val="20"/>
                <w:color w:val="auto"/>
              </w:rPr>
            </w:pPr>
            <w:r>
              <w:rPr>
                <w:rFonts w:ascii="Arial" w:cs="Arial" w:eastAsia="Arial" w:hAnsi="Arial"/>
                <w:sz w:val="14"/>
                <w:szCs w:val="14"/>
                <w:color w:val="auto"/>
                <w:w w:val="96"/>
              </w:rPr>
              <w:t>Option</w:t>
            </w:r>
          </w:p>
        </w:tc>
        <w:tc>
          <w:tcPr>
            <w:tcW w:w="900" w:type="dxa"/>
            <w:vAlign w:val="bottom"/>
            <w:tcBorders>
              <w:bottom w:val="single" w:sz="8" w:color="E5EAF5"/>
            </w:tcBorders>
            <w:shd w:val="clear" w:color="auto" w:fill="E5EAF5"/>
          </w:tcPr>
          <w:p>
            <w:pPr>
              <w:jc w:val="center"/>
              <w:spacing w:after="0" w:line="155" w:lineRule="exact"/>
              <w:rPr>
                <w:sz w:val="20"/>
                <w:szCs w:val="20"/>
                <w:color w:val="auto"/>
              </w:rPr>
            </w:pPr>
            <w:r>
              <w:rPr>
                <w:rFonts w:ascii="Arial" w:cs="Arial" w:eastAsia="Arial" w:hAnsi="Arial"/>
                <w:sz w:val="14"/>
                <w:szCs w:val="14"/>
                <w:color w:val="auto"/>
                <w:w w:val="96"/>
              </w:rPr>
              <w:t>2/22/2018</w:t>
            </w:r>
          </w:p>
        </w:tc>
        <w:tc>
          <w:tcPr>
            <w:tcW w:w="780" w:type="dxa"/>
            <w:vAlign w:val="bottom"/>
            <w:tcBorders>
              <w:bottom w:val="single" w:sz="8" w:color="E5EAF5"/>
            </w:tcBorders>
            <w:shd w:val="clear" w:color="auto" w:fill="E5EAF5"/>
          </w:tcPr>
          <w:p>
            <w:pPr>
              <w:spacing w:after="0"/>
              <w:rPr>
                <w:sz w:val="14"/>
                <w:szCs w:val="14"/>
                <w:color w:val="auto"/>
              </w:rPr>
            </w:pPr>
          </w:p>
        </w:tc>
        <w:tc>
          <w:tcPr>
            <w:tcW w:w="760" w:type="dxa"/>
            <w:vAlign w:val="bottom"/>
            <w:tcBorders>
              <w:bottom w:val="single" w:sz="8" w:color="E5EAF5"/>
            </w:tcBorders>
            <w:shd w:val="clear" w:color="auto" w:fill="E5EAF5"/>
          </w:tcPr>
          <w:p>
            <w:pPr>
              <w:spacing w:after="0"/>
              <w:rPr>
                <w:sz w:val="14"/>
                <w:szCs w:val="14"/>
                <w:color w:val="auto"/>
              </w:rPr>
            </w:pPr>
          </w:p>
        </w:tc>
        <w:tc>
          <w:tcPr>
            <w:tcW w:w="760" w:type="dxa"/>
            <w:vAlign w:val="bottom"/>
            <w:tcBorders>
              <w:bottom w:val="single" w:sz="8" w:color="E5EAF5"/>
            </w:tcBorders>
            <w:shd w:val="clear" w:color="auto" w:fill="E5EAF5"/>
          </w:tcPr>
          <w:p>
            <w:pPr>
              <w:spacing w:after="0"/>
              <w:rPr>
                <w:sz w:val="14"/>
                <w:szCs w:val="14"/>
                <w:color w:val="auto"/>
              </w:rPr>
            </w:pPr>
          </w:p>
        </w:tc>
        <w:tc>
          <w:tcPr>
            <w:tcW w:w="760" w:type="dxa"/>
            <w:vAlign w:val="bottom"/>
            <w:tcBorders>
              <w:bottom w:val="single" w:sz="8" w:color="E5EAF5"/>
            </w:tcBorders>
            <w:shd w:val="clear" w:color="auto" w:fill="E5EAF5"/>
          </w:tcPr>
          <w:p>
            <w:pPr>
              <w:spacing w:after="0"/>
              <w:rPr>
                <w:sz w:val="14"/>
                <w:szCs w:val="14"/>
                <w:color w:val="auto"/>
              </w:rPr>
            </w:pPr>
          </w:p>
        </w:tc>
        <w:tc>
          <w:tcPr>
            <w:tcW w:w="620" w:type="dxa"/>
            <w:vAlign w:val="bottom"/>
            <w:tcBorders>
              <w:bottom w:val="single" w:sz="8" w:color="E5EAF5"/>
            </w:tcBorders>
            <w:shd w:val="clear" w:color="auto" w:fill="E5EAF5"/>
          </w:tcPr>
          <w:p>
            <w:pPr>
              <w:spacing w:after="0"/>
              <w:rPr>
                <w:sz w:val="14"/>
                <w:szCs w:val="14"/>
                <w:color w:val="auto"/>
              </w:rPr>
            </w:pPr>
          </w:p>
        </w:tc>
        <w:tc>
          <w:tcPr>
            <w:tcW w:w="640" w:type="dxa"/>
            <w:vAlign w:val="bottom"/>
            <w:tcBorders>
              <w:bottom w:val="single" w:sz="8" w:color="E5EAF5"/>
            </w:tcBorders>
            <w:shd w:val="clear" w:color="auto" w:fill="E5EAF5"/>
          </w:tcPr>
          <w:p>
            <w:pPr>
              <w:spacing w:after="0"/>
              <w:rPr>
                <w:sz w:val="14"/>
                <w:szCs w:val="14"/>
                <w:color w:val="auto"/>
              </w:rPr>
            </w:pPr>
          </w:p>
        </w:tc>
        <w:tc>
          <w:tcPr>
            <w:tcW w:w="780" w:type="dxa"/>
            <w:vAlign w:val="bottom"/>
            <w:tcBorders>
              <w:bottom w:val="single" w:sz="8" w:color="E5EAF5"/>
            </w:tcBorders>
            <w:shd w:val="clear" w:color="auto" w:fill="E5EAF5"/>
          </w:tcPr>
          <w:p>
            <w:pPr>
              <w:spacing w:after="0"/>
              <w:rPr>
                <w:sz w:val="14"/>
                <w:szCs w:val="14"/>
                <w:color w:val="auto"/>
              </w:rPr>
            </w:pPr>
          </w:p>
        </w:tc>
        <w:tc>
          <w:tcPr>
            <w:tcW w:w="780" w:type="dxa"/>
            <w:vAlign w:val="bottom"/>
            <w:tcBorders>
              <w:bottom w:val="single" w:sz="8" w:color="E5EAF5"/>
            </w:tcBorders>
            <w:shd w:val="clear" w:color="auto" w:fill="E5EAF5"/>
          </w:tcPr>
          <w:p>
            <w:pPr>
              <w:jc w:val="right"/>
              <w:spacing w:after="0" w:line="155" w:lineRule="exact"/>
              <w:rPr>
                <w:sz w:val="20"/>
                <w:szCs w:val="20"/>
                <w:color w:val="auto"/>
              </w:rPr>
            </w:pPr>
            <w:r>
              <w:rPr>
                <w:rFonts w:ascii="Arial" w:cs="Arial" w:eastAsia="Arial" w:hAnsi="Arial"/>
                <w:sz w:val="14"/>
                <w:szCs w:val="14"/>
                <w:color w:val="auto"/>
              </w:rPr>
              <w:t>17,438</w:t>
            </w:r>
          </w:p>
        </w:tc>
        <w:tc>
          <w:tcPr>
            <w:tcW w:w="700" w:type="dxa"/>
            <w:vAlign w:val="bottom"/>
            <w:tcBorders>
              <w:bottom w:val="single" w:sz="8" w:color="E5EAF5"/>
            </w:tcBorders>
            <w:shd w:val="clear" w:color="auto" w:fill="E5EAF5"/>
          </w:tcPr>
          <w:p>
            <w:pPr>
              <w:jc w:val="right"/>
              <w:spacing w:after="0" w:line="155" w:lineRule="exact"/>
              <w:rPr>
                <w:sz w:val="20"/>
                <w:szCs w:val="20"/>
                <w:color w:val="auto"/>
              </w:rPr>
            </w:pPr>
            <w:r>
              <w:rPr>
                <w:rFonts w:ascii="Arial" w:cs="Arial" w:eastAsia="Arial" w:hAnsi="Arial"/>
                <w:sz w:val="14"/>
                <w:szCs w:val="14"/>
                <w:color w:val="auto"/>
              </w:rPr>
              <w:t>73.45</w:t>
            </w:r>
          </w:p>
        </w:tc>
        <w:tc>
          <w:tcPr>
            <w:tcW w:w="780" w:type="dxa"/>
            <w:vAlign w:val="bottom"/>
            <w:tcBorders>
              <w:bottom w:val="single" w:sz="8" w:color="E5EAF5"/>
            </w:tcBorders>
            <w:shd w:val="clear" w:color="auto" w:fill="E5EAF5"/>
          </w:tcPr>
          <w:p>
            <w:pPr>
              <w:jc w:val="right"/>
              <w:ind w:right="34"/>
              <w:spacing w:after="0" w:line="155" w:lineRule="exact"/>
              <w:rPr>
                <w:sz w:val="20"/>
                <w:szCs w:val="20"/>
                <w:color w:val="auto"/>
              </w:rPr>
            </w:pPr>
            <w:r>
              <w:rPr>
                <w:rFonts w:ascii="Arial" w:cs="Arial" w:eastAsia="Arial" w:hAnsi="Arial"/>
                <w:sz w:val="14"/>
                <w:szCs w:val="14"/>
                <w:color w:val="auto"/>
              </w:rPr>
              <w:t>312,489</w:t>
            </w:r>
          </w:p>
        </w:tc>
        <w:tc>
          <w:tcPr>
            <w:tcW w:w="0" w:type="dxa"/>
            <w:vAlign w:val="bottom"/>
          </w:tcPr>
          <w:p>
            <w:pPr>
              <w:spacing w:after="0"/>
              <w:rPr>
                <w:sz w:val="1"/>
                <w:szCs w:val="1"/>
                <w:color w:val="auto"/>
              </w:rPr>
            </w:pPr>
          </w:p>
        </w:tc>
      </w:tr>
      <w:tr>
        <w:trPr>
          <w:trHeight w:val="169"/>
        </w:trPr>
        <w:tc>
          <w:tcPr>
            <w:tcW w:w="2080" w:type="dxa"/>
            <w:vAlign w:val="bottom"/>
          </w:tcPr>
          <w:p>
            <w:pPr>
              <w:ind w:left="60"/>
              <w:spacing w:after="0"/>
              <w:rPr>
                <w:sz w:val="20"/>
                <w:szCs w:val="20"/>
                <w:color w:val="auto"/>
              </w:rPr>
            </w:pPr>
            <w:r>
              <w:rPr>
                <w:rFonts w:ascii="Arial" w:cs="Arial" w:eastAsia="Arial" w:hAnsi="Arial"/>
                <w:sz w:val="14"/>
                <w:szCs w:val="14"/>
                <w:color w:val="auto"/>
              </w:rPr>
              <w:t>Michael F. Beech</w:t>
            </w:r>
          </w:p>
        </w:tc>
        <w:tc>
          <w:tcPr>
            <w:tcW w:w="680" w:type="dxa"/>
            <w:vAlign w:val="bottom"/>
          </w:tcPr>
          <w:p>
            <w:pPr>
              <w:jc w:val="center"/>
              <w:spacing w:after="0"/>
              <w:rPr>
                <w:sz w:val="20"/>
                <w:szCs w:val="20"/>
                <w:color w:val="auto"/>
              </w:rPr>
            </w:pPr>
            <w:r>
              <w:rPr>
                <w:rFonts w:ascii="Arial" w:cs="Arial" w:eastAsia="Arial" w:hAnsi="Arial"/>
                <w:sz w:val="14"/>
                <w:szCs w:val="14"/>
                <w:color w:val="auto"/>
                <w:w w:val="97"/>
              </w:rPr>
              <w:t>EIP</w:t>
            </w:r>
          </w:p>
        </w:tc>
        <w:tc>
          <w:tcPr>
            <w:tcW w:w="900" w:type="dxa"/>
            <w:vAlign w:val="bottom"/>
          </w:tcPr>
          <w:p>
            <w:pPr>
              <w:spacing w:after="0"/>
              <w:rPr>
                <w:sz w:val="14"/>
                <w:szCs w:val="14"/>
                <w:color w:val="auto"/>
              </w:rPr>
            </w:pPr>
          </w:p>
        </w:tc>
        <w:tc>
          <w:tcPr>
            <w:tcW w:w="780" w:type="dxa"/>
            <w:vAlign w:val="bottom"/>
          </w:tcPr>
          <w:p>
            <w:pPr>
              <w:jc w:val="right"/>
              <w:ind w:right="14"/>
              <w:spacing w:after="0"/>
              <w:rPr>
                <w:sz w:val="20"/>
                <w:szCs w:val="20"/>
                <w:color w:val="auto"/>
              </w:rPr>
            </w:pPr>
            <w:r>
              <w:rPr>
                <w:rFonts w:ascii="Arial" w:cs="Arial" w:eastAsia="Arial" w:hAnsi="Arial"/>
                <w:sz w:val="14"/>
                <w:szCs w:val="14"/>
                <w:color w:val="auto"/>
              </w:rPr>
              <w:t>160,550</w:t>
            </w:r>
          </w:p>
        </w:tc>
        <w:tc>
          <w:tcPr>
            <w:tcW w:w="760" w:type="dxa"/>
            <w:vAlign w:val="bottom"/>
          </w:tcPr>
          <w:p>
            <w:pPr>
              <w:jc w:val="right"/>
              <w:ind w:right="14"/>
              <w:spacing w:after="0"/>
              <w:rPr>
                <w:sz w:val="20"/>
                <w:szCs w:val="20"/>
                <w:color w:val="auto"/>
              </w:rPr>
            </w:pPr>
            <w:r>
              <w:rPr>
                <w:rFonts w:ascii="Arial" w:cs="Arial" w:eastAsia="Arial" w:hAnsi="Arial"/>
                <w:sz w:val="14"/>
                <w:szCs w:val="14"/>
                <w:color w:val="auto"/>
              </w:rPr>
              <w:t>321,100</w:t>
            </w:r>
          </w:p>
        </w:tc>
        <w:tc>
          <w:tcPr>
            <w:tcW w:w="760" w:type="dxa"/>
            <w:vAlign w:val="bottom"/>
          </w:tcPr>
          <w:p>
            <w:pPr>
              <w:jc w:val="right"/>
              <w:spacing w:after="0"/>
              <w:rPr>
                <w:sz w:val="20"/>
                <w:szCs w:val="20"/>
                <w:color w:val="auto"/>
              </w:rPr>
            </w:pPr>
            <w:r>
              <w:rPr>
                <w:rFonts w:ascii="Arial" w:cs="Arial" w:eastAsia="Arial" w:hAnsi="Arial"/>
                <w:sz w:val="14"/>
                <w:szCs w:val="14"/>
                <w:color w:val="auto"/>
              </w:rPr>
              <w:t>642,200</w:t>
            </w: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tcBorders>
              <w:bottom w:val="single" w:sz="8" w:color="E5EAF5"/>
            </w:tcBorders>
            <w:shd w:val="clear" w:color="auto" w:fill="E5EAF5"/>
          </w:tcPr>
          <w:p>
            <w:pPr>
              <w:spacing w:after="0"/>
              <w:rPr>
                <w:sz w:val="14"/>
                <w:szCs w:val="14"/>
                <w:color w:val="auto"/>
              </w:rPr>
            </w:pPr>
          </w:p>
        </w:tc>
        <w:tc>
          <w:tcPr>
            <w:tcW w:w="680" w:type="dxa"/>
            <w:vAlign w:val="bottom"/>
            <w:tcBorders>
              <w:bottom w:val="single" w:sz="8" w:color="E5EAF5"/>
            </w:tcBorders>
            <w:shd w:val="clear" w:color="auto" w:fill="E5EAF5"/>
          </w:tcPr>
          <w:p>
            <w:pPr>
              <w:jc w:val="center"/>
              <w:spacing w:after="0" w:line="155" w:lineRule="exact"/>
              <w:rPr>
                <w:sz w:val="20"/>
                <w:szCs w:val="20"/>
                <w:color w:val="auto"/>
              </w:rPr>
            </w:pPr>
            <w:r>
              <w:rPr>
                <w:rFonts w:ascii="Arial" w:cs="Arial" w:eastAsia="Arial" w:hAnsi="Arial"/>
                <w:sz w:val="14"/>
                <w:szCs w:val="14"/>
                <w:color w:val="auto"/>
                <w:w w:val="95"/>
              </w:rPr>
              <w:t>IM PSU</w:t>
            </w:r>
          </w:p>
        </w:tc>
        <w:tc>
          <w:tcPr>
            <w:tcW w:w="900" w:type="dxa"/>
            <w:vAlign w:val="bottom"/>
            <w:tcBorders>
              <w:bottom w:val="single" w:sz="8" w:color="E5EAF5"/>
            </w:tcBorders>
            <w:shd w:val="clear" w:color="auto" w:fill="E5EAF5"/>
          </w:tcPr>
          <w:p>
            <w:pPr>
              <w:jc w:val="center"/>
              <w:spacing w:after="0" w:line="155" w:lineRule="exact"/>
              <w:rPr>
                <w:sz w:val="20"/>
                <w:szCs w:val="20"/>
                <w:color w:val="auto"/>
              </w:rPr>
            </w:pPr>
            <w:r>
              <w:rPr>
                <w:rFonts w:ascii="Arial" w:cs="Arial" w:eastAsia="Arial" w:hAnsi="Arial"/>
                <w:sz w:val="14"/>
                <w:szCs w:val="14"/>
                <w:color w:val="auto"/>
                <w:w w:val="96"/>
              </w:rPr>
              <w:t>2/22/2018</w:t>
            </w:r>
          </w:p>
        </w:tc>
        <w:tc>
          <w:tcPr>
            <w:tcW w:w="780" w:type="dxa"/>
            <w:vAlign w:val="bottom"/>
            <w:tcBorders>
              <w:bottom w:val="single" w:sz="8" w:color="E5EAF5"/>
            </w:tcBorders>
            <w:shd w:val="clear" w:color="auto" w:fill="E5EAF5"/>
          </w:tcPr>
          <w:p>
            <w:pPr>
              <w:spacing w:after="0"/>
              <w:rPr>
                <w:sz w:val="14"/>
                <w:szCs w:val="14"/>
                <w:color w:val="auto"/>
              </w:rPr>
            </w:pPr>
          </w:p>
        </w:tc>
        <w:tc>
          <w:tcPr>
            <w:tcW w:w="760" w:type="dxa"/>
            <w:vAlign w:val="bottom"/>
            <w:tcBorders>
              <w:bottom w:val="single" w:sz="8" w:color="E5EAF5"/>
            </w:tcBorders>
            <w:shd w:val="clear" w:color="auto" w:fill="E5EAF5"/>
          </w:tcPr>
          <w:p>
            <w:pPr>
              <w:spacing w:after="0"/>
              <w:rPr>
                <w:sz w:val="14"/>
                <w:szCs w:val="14"/>
                <w:color w:val="auto"/>
              </w:rPr>
            </w:pPr>
          </w:p>
        </w:tc>
        <w:tc>
          <w:tcPr>
            <w:tcW w:w="760" w:type="dxa"/>
            <w:vAlign w:val="bottom"/>
            <w:tcBorders>
              <w:bottom w:val="single" w:sz="8" w:color="E5EAF5"/>
            </w:tcBorders>
            <w:shd w:val="clear" w:color="auto" w:fill="E5EAF5"/>
          </w:tcPr>
          <w:p>
            <w:pPr>
              <w:spacing w:after="0"/>
              <w:rPr>
                <w:sz w:val="14"/>
                <w:szCs w:val="14"/>
                <w:color w:val="auto"/>
              </w:rPr>
            </w:pPr>
          </w:p>
        </w:tc>
        <w:tc>
          <w:tcPr>
            <w:tcW w:w="760" w:type="dxa"/>
            <w:vAlign w:val="bottom"/>
            <w:tcBorders>
              <w:bottom w:val="single" w:sz="8" w:color="E5EAF5"/>
            </w:tcBorders>
            <w:shd w:val="clear" w:color="auto" w:fill="E5EAF5"/>
          </w:tcPr>
          <w:p>
            <w:pPr>
              <w:jc w:val="right"/>
              <w:ind w:right="14"/>
              <w:spacing w:after="0" w:line="155" w:lineRule="exact"/>
              <w:rPr>
                <w:sz w:val="20"/>
                <w:szCs w:val="20"/>
                <w:color w:val="auto"/>
              </w:rPr>
            </w:pPr>
            <w:r>
              <w:rPr>
                <w:rFonts w:ascii="Arial" w:cs="Arial" w:eastAsia="Arial" w:hAnsi="Arial"/>
                <w:sz w:val="14"/>
                <w:szCs w:val="14"/>
                <w:color w:val="auto"/>
              </w:rPr>
              <w:t>1,045</w:t>
            </w:r>
          </w:p>
        </w:tc>
        <w:tc>
          <w:tcPr>
            <w:tcW w:w="620" w:type="dxa"/>
            <w:vAlign w:val="bottom"/>
            <w:tcBorders>
              <w:bottom w:val="single" w:sz="8" w:color="E5EAF5"/>
            </w:tcBorders>
            <w:shd w:val="clear" w:color="auto" w:fill="E5EAF5"/>
          </w:tcPr>
          <w:p>
            <w:pPr>
              <w:jc w:val="right"/>
              <w:ind w:right="53"/>
              <w:spacing w:after="0" w:line="155" w:lineRule="exact"/>
              <w:rPr>
                <w:sz w:val="20"/>
                <w:szCs w:val="20"/>
                <w:color w:val="auto"/>
              </w:rPr>
            </w:pPr>
            <w:r>
              <w:rPr>
                <w:rFonts w:ascii="Arial" w:cs="Arial" w:eastAsia="Arial" w:hAnsi="Arial"/>
                <w:sz w:val="14"/>
                <w:szCs w:val="14"/>
                <w:color w:val="auto"/>
              </w:rPr>
              <w:t>2,091</w:t>
            </w:r>
          </w:p>
        </w:tc>
        <w:tc>
          <w:tcPr>
            <w:tcW w:w="640" w:type="dxa"/>
            <w:vAlign w:val="bottom"/>
            <w:tcBorders>
              <w:bottom w:val="single" w:sz="8" w:color="E5EAF5"/>
            </w:tcBorders>
            <w:shd w:val="clear" w:color="auto" w:fill="E5EAF5"/>
          </w:tcPr>
          <w:p>
            <w:pPr>
              <w:jc w:val="right"/>
              <w:spacing w:after="0" w:line="155" w:lineRule="exact"/>
              <w:rPr>
                <w:sz w:val="20"/>
                <w:szCs w:val="20"/>
                <w:color w:val="auto"/>
              </w:rPr>
            </w:pPr>
            <w:r>
              <w:rPr>
                <w:rFonts w:ascii="Arial" w:cs="Arial" w:eastAsia="Arial" w:hAnsi="Arial"/>
                <w:sz w:val="14"/>
                <w:szCs w:val="14"/>
                <w:color w:val="auto"/>
              </w:rPr>
              <w:t>4,182</w:t>
            </w:r>
          </w:p>
        </w:tc>
        <w:tc>
          <w:tcPr>
            <w:tcW w:w="780" w:type="dxa"/>
            <w:vAlign w:val="bottom"/>
            <w:tcBorders>
              <w:bottom w:val="single" w:sz="8" w:color="E5EAF5"/>
            </w:tcBorders>
            <w:shd w:val="clear" w:color="auto" w:fill="E5EAF5"/>
          </w:tcPr>
          <w:p>
            <w:pPr>
              <w:spacing w:after="0"/>
              <w:rPr>
                <w:sz w:val="14"/>
                <w:szCs w:val="14"/>
                <w:color w:val="auto"/>
              </w:rPr>
            </w:pPr>
          </w:p>
        </w:tc>
        <w:tc>
          <w:tcPr>
            <w:tcW w:w="780" w:type="dxa"/>
            <w:vAlign w:val="bottom"/>
            <w:tcBorders>
              <w:bottom w:val="single" w:sz="8" w:color="E5EAF5"/>
            </w:tcBorders>
            <w:shd w:val="clear" w:color="auto" w:fill="E5EAF5"/>
          </w:tcPr>
          <w:p>
            <w:pPr>
              <w:spacing w:after="0"/>
              <w:rPr>
                <w:sz w:val="14"/>
                <w:szCs w:val="14"/>
                <w:color w:val="auto"/>
              </w:rPr>
            </w:pPr>
          </w:p>
        </w:tc>
        <w:tc>
          <w:tcPr>
            <w:tcW w:w="700" w:type="dxa"/>
            <w:vAlign w:val="bottom"/>
            <w:tcBorders>
              <w:bottom w:val="single" w:sz="8" w:color="E5EAF5"/>
            </w:tcBorders>
            <w:shd w:val="clear" w:color="auto" w:fill="E5EAF5"/>
          </w:tcPr>
          <w:p>
            <w:pPr>
              <w:spacing w:after="0"/>
              <w:rPr>
                <w:sz w:val="14"/>
                <w:szCs w:val="14"/>
                <w:color w:val="auto"/>
              </w:rPr>
            </w:pPr>
          </w:p>
        </w:tc>
        <w:tc>
          <w:tcPr>
            <w:tcW w:w="780" w:type="dxa"/>
            <w:vAlign w:val="bottom"/>
            <w:tcBorders>
              <w:bottom w:val="single" w:sz="8" w:color="E5EAF5"/>
            </w:tcBorders>
            <w:shd w:val="clear" w:color="auto" w:fill="E5EAF5"/>
          </w:tcPr>
          <w:p>
            <w:pPr>
              <w:jc w:val="right"/>
              <w:ind w:right="34"/>
              <w:spacing w:after="0" w:line="155" w:lineRule="exact"/>
              <w:rPr>
                <w:sz w:val="20"/>
                <w:szCs w:val="20"/>
                <w:color w:val="auto"/>
              </w:rPr>
            </w:pPr>
            <w:r>
              <w:rPr>
                <w:rFonts w:ascii="Arial" w:cs="Arial" w:eastAsia="Arial" w:hAnsi="Arial"/>
                <w:sz w:val="14"/>
                <w:szCs w:val="14"/>
                <w:color w:val="auto"/>
              </w:rPr>
              <w:t>149,946</w:t>
            </w:r>
          </w:p>
        </w:tc>
        <w:tc>
          <w:tcPr>
            <w:tcW w:w="0" w:type="dxa"/>
            <w:vAlign w:val="bottom"/>
          </w:tcPr>
          <w:p>
            <w:pPr>
              <w:spacing w:after="0"/>
              <w:rPr>
                <w:sz w:val="1"/>
                <w:szCs w:val="1"/>
                <w:color w:val="auto"/>
              </w:rPr>
            </w:pPr>
          </w:p>
        </w:tc>
      </w:tr>
      <w:tr>
        <w:trPr>
          <w:trHeight w:val="169"/>
        </w:trPr>
        <w:tc>
          <w:tcPr>
            <w:tcW w:w="20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5"/>
              </w:rPr>
              <w:t>TSR PSU</w:t>
            </w:r>
          </w:p>
        </w:tc>
        <w:tc>
          <w:tcPr>
            <w:tcW w:w="900" w:type="dxa"/>
            <w:vAlign w:val="bottom"/>
          </w:tcPr>
          <w:p>
            <w:pPr>
              <w:jc w:val="center"/>
              <w:spacing w:after="0"/>
              <w:rPr>
                <w:sz w:val="20"/>
                <w:szCs w:val="20"/>
                <w:color w:val="auto"/>
              </w:rPr>
            </w:pPr>
            <w:r>
              <w:rPr>
                <w:rFonts w:ascii="Arial" w:cs="Arial" w:eastAsia="Arial" w:hAnsi="Arial"/>
                <w:sz w:val="14"/>
                <w:szCs w:val="14"/>
                <w:color w:val="auto"/>
                <w:w w:val="96"/>
              </w:rPr>
              <w:t>2/22/2018</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jc w:val="right"/>
              <w:ind w:right="14"/>
              <w:spacing w:after="0"/>
              <w:rPr>
                <w:sz w:val="20"/>
                <w:szCs w:val="20"/>
                <w:color w:val="auto"/>
              </w:rPr>
            </w:pPr>
            <w:r>
              <w:rPr>
                <w:rFonts w:ascii="Arial" w:cs="Arial" w:eastAsia="Arial" w:hAnsi="Arial"/>
                <w:sz w:val="14"/>
                <w:szCs w:val="14"/>
                <w:color w:val="auto"/>
              </w:rPr>
              <w:t>474</w:t>
            </w:r>
          </w:p>
        </w:tc>
        <w:tc>
          <w:tcPr>
            <w:tcW w:w="620" w:type="dxa"/>
            <w:vAlign w:val="bottom"/>
          </w:tcPr>
          <w:p>
            <w:pPr>
              <w:jc w:val="right"/>
              <w:ind w:right="53"/>
              <w:spacing w:after="0"/>
              <w:rPr>
                <w:sz w:val="20"/>
                <w:szCs w:val="20"/>
                <w:color w:val="auto"/>
              </w:rPr>
            </w:pPr>
            <w:r>
              <w:rPr>
                <w:rFonts w:ascii="Arial" w:cs="Arial" w:eastAsia="Arial" w:hAnsi="Arial"/>
                <w:sz w:val="14"/>
                <w:szCs w:val="14"/>
                <w:color w:val="auto"/>
              </w:rPr>
              <w:t>1,897</w:t>
            </w:r>
          </w:p>
        </w:tc>
        <w:tc>
          <w:tcPr>
            <w:tcW w:w="640" w:type="dxa"/>
            <w:vAlign w:val="bottom"/>
          </w:tcPr>
          <w:p>
            <w:pPr>
              <w:jc w:val="right"/>
              <w:spacing w:after="0"/>
              <w:rPr>
                <w:sz w:val="20"/>
                <w:szCs w:val="20"/>
                <w:color w:val="auto"/>
              </w:rPr>
            </w:pPr>
            <w:r>
              <w:rPr>
                <w:rFonts w:ascii="Arial" w:cs="Arial" w:eastAsia="Arial" w:hAnsi="Arial"/>
                <w:sz w:val="14"/>
                <w:szCs w:val="14"/>
                <w:color w:val="auto"/>
              </w:rPr>
              <w:t>3,794</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jc w:val="right"/>
              <w:ind w:right="34"/>
              <w:spacing w:after="0"/>
              <w:rPr>
                <w:sz w:val="20"/>
                <w:szCs w:val="20"/>
                <w:color w:val="auto"/>
              </w:rPr>
            </w:pPr>
            <w:r>
              <w:rPr>
                <w:rFonts w:ascii="Arial" w:cs="Arial" w:eastAsia="Arial" w:hAnsi="Arial"/>
                <w:sz w:val="14"/>
                <w:szCs w:val="14"/>
                <w:color w:val="auto"/>
              </w:rPr>
              <w:t>149,958</w:t>
            </w:r>
          </w:p>
        </w:tc>
        <w:tc>
          <w:tcPr>
            <w:tcW w:w="0" w:type="dxa"/>
            <w:vAlign w:val="bottom"/>
          </w:tcPr>
          <w:p>
            <w:pPr>
              <w:spacing w:after="0"/>
              <w:rPr>
                <w:sz w:val="1"/>
                <w:szCs w:val="1"/>
                <w:color w:val="auto"/>
              </w:rPr>
            </w:pPr>
          </w:p>
        </w:tc>
      </w:tr>
      <w:tr>
        <w:trPr>
          <w:trHeight w:val="162"/>
        </w:trPr>
        <w:tc>
          <w:tcPr>
            <w:tcW w:w="2080" w:type="dxa"/>
            <w:vAlign w:val="bottom"/>
            <w:tcBorders>
              <w:bottom w:val="single" w:sz="8" w:color="E5EAF5"/>
            </w:tcBorders>
            <w:shd w:val="clear" w:color="auto" w:fill="E5EAF5"/>
          </w:tcPr>
          <w:p>
            <w:pPr>
              <w:spacing w:after="0"/>
              <w:rPr>
                <w:sz w:val="14"/>
                <w:szCs w:val="14"/>
                <w:color w:val="auto"/>
              </w:rPr>
            </w:pPr>
          </w:p>
        </w:tc>
        <w:tc>
          <w:tcPr>
            <w:tcW w:w="680" w:type="dxa"/>
            <w:vAlign w:val="bottom"/>
            <w:tcBorders>
              <w:bottom w:val="single" w:sz="8" w:color="E5EAF5"/>
            </w:tcBorders>
            <w:shd w:val="clear" w:color="auto" w:fill="E5EAF5"/>
          </w:tcPr>
          <w:p>
            <w:pPr>
              <w:jc w:val="center"/>
              <w:ind w:left="13"/>
              <w:spacing w:after="0" w:line="155" w:lineRule="exact"/>
              <w:rPr>
                <w:sz w:val="20"/>
                <w:szCs w:val="20"/>
                <w:color w:val="auto"/>
              </w:rPr>
            </w:pPr>
            <w:r>
              <w:rPr>
                <w:rFonts w:ascii="Arial" w:cs="Arial" w:eastAsia="Arial" w:hAnsi="Arial"/>
                <w:sz w:val="14"/>
                <w:szCs w:val="14"/>
                <w:color w:val="auto"/>
                <w:w w:val="94"/>
              </w:rPr>
              <w:t>RSU</w:t>
            </w:r>
          </w:p>
        </w:tc>
        <w:tc>
          <w:tcPr>
            <w:tcW w:w="900" w:type="dxa"/>
            <w:vAlign w:val="bottom"/>
            <w:tcBorders>
              <w:bottom w:val="single" w:sz="8" w:color="E5EAF5"/>
            </w:tcBorders>
            <w:shd w:val="clear" w:color="auto" w:fill="E5EAF5"/>
          </w:tcPr>
          <w:p>
            <w:pPr>
              <w:jc w:val="center"/>
              <w:spacing w:after="0" w:line="155" w:lineRule="exact"/>
              <w:rPr>
                <w:sz w:val="20"/>
                <w:szCs w:val="20"/>
                <w:color w:val="auto"/>
              </w:rPr>
            </w:pPr>
            <w:r>
              <w:rPr>
                <w:rFonts w:ascii="Arial" w:cs="Arial" w:eastAsia="Arial" w:hAnsi="Arial"/>
                <w:sz w:val="14"/>
                <w:szCs w:val="14"/>
                <w:color w:val="auto"/>
                <w:w w:val="96"/>
              </w:rPr>
              <w:t>2/22/2018</w:t>
            </w:r>
          </w:p>
        </w:tc>
        <w:tc>
          <w:tcPr>
            <w:tcW w:w="780" w:type="dxa"/>
            <w:vAlign w:val="bottom"/>
            <w:tcBorders>
              <w:bottom w:val="single" w:sz="8" w:color="E5EAF5"/>
            </w:tcBorders>
            <w:shd w:val="clear" w:color="auto" w:fill="E5EAF5"/>
          </w:tcPr>
          <w:p>
            <w:pPr>
              <w:spacing w:after="0"/>
              <w:rPr>
                <w:sz w:val="14"/>
                <w:szCs w:val="14"/>
                <w:color w:val="auto"/>
              </w:rPr>
            </w:pPr>
          </w:p>
        </w:tc>
        <w:tc>
          <w:tcPr>
            <w:tcW w:w="760" w:type="dxa"/>
            <w:vAlign w:val="bottom"/>
            <w:tcBorders>
              <w:bottom w:val="single" w:sz="8" w:color="E5EAF5"/>
            </w:tcBorders>
            <w:shd w:val="clear" w:color="auto" w:fill="E5EAF5"/>
          </w:tcPr>
          <w:p>
            <w:pPr>
              <w:spacing w:after="0"/>
              <w:rPr>
                <w:sz w:val="14"/>
                <w:szCs w:val="14"/>
                <w:color w:val="auto"/>
              </w:rPr>
            </w:pPr>
          </w:p>
        </w:tc>
        <w:tc>
          <w:tcPr>
            <w:tcW w:w="760" w:type="dxa"/>
            <w:vAlign w:val="bottom"/>
            <w:tcBorders>
              <w:bottom w:val="single" w:sz="8" w:color="E5EAF5"/>
            </w:tcBorders>
            <w:shd w:val="clear" w:color="auto" w:fill="E5EAF5"/>
          </w:tcPr>
          <w:p>
            <w:pPr>
              <w:spacing w:after="0"/>
              <w:rPr>
                <w:sz w:val="14"/>
                <w:szCs w:val="14"/>
                <w:color w:val="auto"/>
              </w:rPr>
            </w:pPr>
          </w:p>
        </w:tc>
        <w:tc>
          <w:tcPr>
            <w:tcW w:w="760" w:type="dxa"/>
            <w:vAlign w:val="bottom"/>
            <w:tcBorders>
              <w:bottom w:val="single" w:sz="8" w:color="E5EAF5"/>
            </w:tcBorders>
            <w:shd w:val="clear" w:color="auto" w:fill="E5EAF5"/>
          </w:tcPr>
          <w:p>
            <w:pPr>
              <w:spacing w:after="0"/>
              <w:rPr>
                <w:sz w:val="14"/>
                <w:szCs w:val="14"/>
                <w:color w:val="auto"/>
              </w:rPr>
            </w:pPr>
          </w:p>
        </w:tc>
        <w:tc>
          <w:tcPr>
            <w:tcW w:w="620" w:type="dxa"/>
            <w:vAlign w:val="bottom"/>
            <w:tcBorders>
              <w:bottom w:val="single" w:sz="8" w:color="E5EAF5"/>
            </w:tcBorders>
            <w:shd w:val="clear" w:color="auto" w:fill="E5EAF5"/>
          </w:tcPr>
          <w:p>
            <w:pPr>
              <w:spacing w:after="0"/>
              <w:rPr>
                <w:sz w:val="14"/>
                <w:szCs w:val="14"/>
                <w:color w:val="auto"/>
              </w:rPr>
            </w:pPr>
          </w:p>
        </w:tc>
        <w:tc>
          <w:tcPr>
            <w:tcW w:w="640" w:type="dxa"/>
            <w:vAlign w:val="bottom"/>
            <w:tcBorders>
              <w:bottom w:val="single" w:sz="8" w:color="E5EAF5"/>
            </w:tcBorders>
            <w:shd w:val="clear" w:color="auto" w:fill="E5EAF5"/>
          </w:tcPr>
          <w:p>
            <w:pPr>
              <w:spacing w:after="0"/>
              <w:rPr>
                <w:sz w:val="14"/>
                <w:szCs w:val="14"/>
                <w:color w:val="auto"/>
              </w:rPr>
            </w:pPr>
          </w:p>
        </w:tc>
        <w:tc>
          <w:tcPr>
            <w:tcW w:w="780" w:type="dxa"/>
            <w:vAlign w:val="bottom"/>
            <w:tcBorders>
              <w:bottom w:val="single" w:sz="8" w:color="E5EAF5"/>
            </w:tcBorders>
            <w:shd w:val="clear" w:color="auto" w:fill="E5EAF5"/>
          </w:tcPr>
          <w:p>
            <w:pPr>
              <w:jc w:val="right"/>
              <w:spacing w:after="0" w:line="155" w:lineRule="exact"/>
              <w:rPr>
                <w:sz w:val="20"/>
                <w:szCs w:val="20"/>
                <w:color w:val="auto"/>
              </w:rPr>
            </w:pPr>
            <w:r>
              <w:rPr>
                <w:rFonts w:ascii="Arial" w:cs="Arial" w:eastAsia="Arial" w:hAnsi="Arial"/>
                <w:sz w:val="14"/>
                <w:szCs w:val="14"/>
                <w:color w:val="auto"/>
              </w:rPr>
              <w:t>2,075</w:t>
            </w:r>
          </w:p>
        </w:tc>
        <w:tc>
          <w:tcPr>
            <w:tcW w:w="780" w:type="dxa"/>
            <w:vAlign w:val="bottom"/>
            <w:tcBorders>
              <w:bottom w:val="single" w:sz="8" w:color="E5EAF5"/>
            </w:tcBorders>
            <w:shd w:val="clear" w:color="auto" w:fill="E5EAF5"/>
          </w:tcPr>
          <w:p>
            <w:pPr>
              <w:spacing w:after="0"/>
              <w:rPr>
                <w:sz w:val="14"/>
                <w:szCs w:val="14"/>
                <w:color w:val="auto"/>
              </w:rPr>
            </w:pPr>
          </w:p>
        </w:tc>
        <w:tc>
          <w:tcPr>
            <w:tcW w:w="700" w:type="dxa"/>
            <w:vAlign w:val="bottom"/>
            <w:tcBorders>
              <w:bottom w:val="single" w:sz="8" w:color="E5EAF5"/>
            </w:tcBorders>
            <w:shd w:val="clear" w:color="auto" w:fill="E5EAF5"/>
          </w:tcPr>
          <w:p>
            <w:pPr>
              <w:spacing w:after="0"/>
              <w:rPr>
                <w:sz w:val="14"/>
                <w:szCs w:val="14"/>
                <w:color w:val="auto"/>
              </w:rPr>
            </w:pPr>
          </w:p>
        </w:tc>
        <w:tc>
          <w:tcPr>
            <w:tcW w:w="780" w:type="dxa"/>
            <w:vAlign w:val="bottom"/>
            <w:tcBorders>
              <w:bottom w:val="single" w:sz="8" w:color="E5EAF5"/>
            </w:tcBorders>
            <w:shd w:val="clear" w:color="auto" w:fill="E5EAF5"/>
          </w:tcPr>
          <w:p>
            <w:pPr>
              <w:jc w:val="right"/>
              <w:ind w:right="34"/>
              <w:spacing w:after="0" w:line="155" w:lineRule="exact"/>
              <w:rPr>
                <w:sz w:val="20"/>
                <w:szCs w:val="20"/>
                <w:color w:val="auto"/>
              </w:rPr>
            </w:pPr>
            <w:r>
              <w:rPr>
                <w:rFonts w:ascii="Arial" w:cs="Arial" w:eastAsia="Arial" w:hAnsi="Arial"/>
                <w:sz w:val="14"/>
                <w:szCs w:val="14"/>
                <w:color w:val="auto"/>
              </w:rPr>
              <w:t>149,988</w:t>
            </w:r>
          </w:p>
        </w:tc>
        <w:tc>
          <w:tcPr>
            <w:tcW w:w="0" w:type="dxa"/>
            <w:vAlign w:val="bottom"/>
          </w:tcPr>
          <w:p>
            <w:pPr>
              <w:spacing w:after="0"/>
              <w:rPr>
                <w:sz w:val="1"/>
                <w:szCs w:val="1"/>
                <w:color w:val="auto"/>
              </w:rPr>
            </w:pPr>
          </w:p>
        </w:tc>
      </w:tr>
      <w:tr>
        <w:trPr>
          <w:trHeight w:val="169"/>
        </w:trPr>
        <w:tc>
          <w:tcPr>
            <w:tcW w:w="2080" w:type="dxa"/>
            <w:vAlign w:val="bottom"/>
          </w:tcPr>
          <w:p>
            <w:pPr>
              <w:spacing w:after="0"/>
              <w:rPr>
                <w:sz w:val="14"/>
                <w:szCs w:val="14"/>
                <w:color w:val="auto"/>
              </w:rPr>
            </w:pPr>
          </w:p>
        </w:tc>
        <w:tc>
          <w:tcPr>
            <w:tcW w:w="680" w:type="dxa"/>
            <w:vAlign w:val="bottom"/>
          </w:tcPr>
          <w:p>
            <w:pPr>
              <w:jc w:val="center"/>
              <w:ind w:left="13"/>
              <w:spacing w:after="0"/>
              <w:rPr>
                <w:sz w:val="20"/>
                <w:szCs w:val="20"/>
                <w:color w:val="auto"/>
              </w:rPr>
            </w:pPr>
            <w:r>
              <w:rPr>
                <w:rFonts w:ascii="Arial" w:cs="Arial" w:eastAsia="Arial" w:hAnsi="Arial"/>
                <w:sz w:val="14"/>
                <w:szCs w:val="14"/>
                <w:color w:val="auto"/>
                <w:w w:val="96"/>
              </w:rPr>
              <w:t>Option</w:t>
            </w:r>
          </w:p>
        </w:tc>
        <w:tc>
          <w:tcPr>
            <w:tcW w:w="900" w:type="dxa"/>
            <w:vAlign w:val="bottom"/>
          </w:tcPr>
          <w:p>
            <w:pPr>
              <w:jc w:val="center"/>
              <w:spacing w:after="0"/>
              <w:rPr>
                <w:sz w:val="20"/>
                <w:szCs w:val="20"/>
                <w:color w:val="auto"/>
              </w:rPr>
            </w:pPr>
            <w:r>
              <w:rPr>
                <w:rFonts w:ascii="Arial" w:cs="Arial" w:eastAsia="Arial" w:hAnsi="Arial"/>
                <w:sz w:val="14"/>
                <w:szCs w:val="14"/>
                <w:color w:val="auto"/>
                <w:w w:val="96"/>
              </w:rPr>
              <w:t>2/22/2018</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8,370</w:t>
            </w:r>
          </w:p>
        </w:tc>
        <w:tc>
          <w:tcPr>
            <w:tcW w:w="700" w:type="dxa"/>
            <w:vAlign w:val="bottom"/>
          </w:tcPr>
          <w:p>
            <w:pPr>
              <w:jc w:val="right"/>
              <w:spacing w:after="0"/>
              <w:rPr>
                <w:sz w:val="20"/>
                <w:szCs w:val="20"/>
                <w:color w:val="auto"/>
              </w:rPr>
            </w:pPr>
            <w:r>
              <w:rPr>
                <w:rFonts w:ascii="Arial" w:cs="Arial" w:eastAsia="Arial" w:hAnsi="Arial"/>
                <w:sz w:val="14"/>
                <w:szCs w:val="14"/>
                <w:color w:val="auto"/>
              </w:rPr>
              <w:t>73.45</w:t>
            </w:r>
          </w:p>
        </w:tc>
        <w:tc>
          <w:tcPr>
            <w:tcW w:w="780" w:type="dxa"/>
            <w:vAlign w:val="bottom"/>
          </w:tcPr>
          <w:p>
            <w:pPr>
              <w:jc w:val="right"/>
              <w:ind w:right="34"/>
              <w:spacing w:after="0"/>
              <w:rPr>
                <w:sz w:val="20"/>
                <w:szCs w:val="20"/>
                <w:color w:val="auto"/>
              </w:rPr>
            </w:pPr>
            <w:r>
              <w:rPr>
                <w:rFonts w:ascii="Arial" w:cs="Arial" w:eastAsia="Arial" w:hAnsi="Arial"/>
                <w:sz w:val="14"/>
                <w:szCs w:val="14"/>
                <w:color w:val="auto"/>
              </w:rPr>
              <w:t>149,990</w:t>
            </w:r>
          </w:p>
        </w:tc>
        <w:tc>
          <w:tcPr>
            <w:tcW w:w="0" w:type="dxa"/>
            <w:vAlign w:val="bottom"/>
          </w:tcPr>
          <w:p>
            <w:pPr>
              <w:spacing w:after="0"/>
              <w:rPr>
                <w:sz w:val="1"/>
                <w:szCs w:val="1"/>
                <w:color w:val="auto"/>
              </w:rPr>
            </w:pPr>
          </w:p>
        </w:tc>
      </w:tr>
      <w:tr>
        <w:trPr>
          <w:trHeight w:val="162"/>
        </w:trPr>
        <w:tc>
          <w:tcPr>
            <w:tcW w:w="2080" w:type="dxa"/>
            <w:vAlign w:val="bottom"/>
            <w:tcBorders>
              <w:bottom w:val="single" w:sz="8" w:color="E5EAF5"/>
            </w:tcBorders>
            <w:shd w:val="clear" w:color="auto" w:fill="E5EAF5"/>
          </w:tcPr>
          <w:p>
            <w:pPr>
              <w:ind w:left="60"/>
              <w:spacing w:after="0" w:line="155" w:lineRule="exact"/>
              <w:rPr>
                <w:sz w:val="20"/>
                <w:szCs w:val="20"/>
                <w:color w:val="auto"/>
              </w:rPr>
            </w:pPr>
            <w:r>
              <w:rPr>
                <w:rFonts w:ascii="Arial" w:cs="Arial" w:eastAsia="Arial" w:hAnsi="Arial"/>
                <w:sz w:val="14"/>
                <w:szCs w:val="14"/>
                <w:color w:val="auto"/>
              </w:rPr>
              <w:t>McAlister C. Marshall, II</w:t>
            </w:r>
          </w:p>
        </w:tc>
        <w:tc>
          <w:tcPr>
            <w:tcW w:w="680" w:type="dxa"/>
            <w:vAlign w:val="bottom"/>
            <w:tcBorders>
              <w:bottom w:val="single" w:sz="8" w:color="E5EAF5"/>
            </w:tcBorders>
            <w:shd w:val="clear" w:color="auto" w:fill="E5EAF5"/>
          </w:tcPr>
          <w:p>
            <w:pPr>
              <w:jc w:val="center"/>
              <w:spacing w:after="0" w:line="155" w:lineRule="exact"/>
              <w:rPr>
                <w:sz w:val="20"/>
                <w:szCs w:val="20"/>
                <w:color w:val="auto"/>
              </w:rPr>
            </w:pPr>
            <w:r>
              <w:rPr>
                <w:rFonts w:ascii="Arial" w:cs="Arial" w:eastAsia="Arial" w:hAnsi="Arial"/>
                <w:sz w:val="14"/>
                <w:szCs w:val="14"/>
                <w:color w:val="auto"/>
                <w:w w:val="97"/>
              </w:rPr>
              <w:t>EIP</w:t>
            </w:r>
          </w:p>
        </w:tc>
        <w:tc>
          <w:tcPr>
            <w:tcW w:w="900" w:type="dxa"/>
            <w:vAlign w:val="bottom"/>
            <w:tcBorders>
              <w:bottom w:val="single" w:sz="8" w:color="E5EAF5"/>
            </w:tcBorders>
            <w:shd w:val="clear" w:color="auto" w:fill="E5EAF5"/>
          </w:tcPr>
          <w:p>
            <w:pPr>
              <w:spacing w:after="0"/>
              <w:rPr>
                <w:sz w:val="14"/>
                <w:szCs w:val="14"/>
                <w:color w:val="auto"/>
              </w:rPr>
            </w:pPr>
          </w:p>
        </w:tc>
        <w:tc>
          <w:tcPr>
            <w:tcW w:w="780" w:type="dxa"/>
            <w:vAlign w:val="bottom"/>
            <w:tcBorders>
              <w:bottom w:val="single" w:sz="8" w:color="E5EAF5"/>
            </w:tcBorders>
            <w:shd w:val="clear" w:color="auto" w:fill="E5EAF5"/>
          </w:tcPr>
          <w:p>
            <w:pPr>
              <w:jc w:val="right"/>
              <w:ind w:right="14"/>
              <w:spacing w:after="0" w:line="155" w:lineRule="exact"/>
              <w:rPr>
                <w:sz w:val="20"/>
                <w:szCs w:val="20"/>
                <w:color w:val="auto"/>
              </w:rPr>
            </w:pPr>
            <w:r>
              <w:rPr>
                <w:rFonts w:ascii="Arial" w:cs="Arial" w:eastAsia="Arial" w:hAnsi="Arial"/>
                <w:sz w:val="14"/>
                <w:szCs w:val="14"/>
                <w:color w:val="auto"/>
              </w:rPr>
              <w:t>165,750</w:t>
            </w:r>
          </w:p>
        </w:tc>
        <w:tc>
          <w:tcPr>
            <w:tcW w:w="760" w:type="dxa"/>
            <w:vAlign w:val="bottom"/>
            <w:tcBorders>
              <w:bottom w:val="single" w:sz="8" w:color="E5EAF5"/>
            </w:tcBorders>
            <w:shd w:val="clear" w:color="auto" w:fill="E5EAF5"/>
          </w:tcPr>
          <w:p>
            <w:pPr>
              <w:jc w:val="right"/>
              <w:ind w:right="14"/>
              <w:spacing w:after="0" w:line="155" w:lineRule="exact"/>
              <w:rPr>
                <w:sz w:val="20"/>
                <w:szCs w:val="20"/>
                <w:color w:val="auto"/>
              </w:rPr>
            </w:pPr>
            <w:r>
              <w:rPr>
                <w:rFonts w:ascii="Arial" w:cs="Arial" w:eastAsia="Arial" w:hAnsi="Arial"/>
                <w:sz w:val="14"/>
                <w:szCs w:val="14"/>
                <w:color w:val="auto"/>
              </w:rPr>
              <w:t>331,500</w:t>
            </w:r>
          </w:p>
        </w:tc>
        <w:tc>
          <w:tcPr>
            <w:tcW w:w="760" w:type="dxa"/>
            <w:vAlign w:val="bottom"/>
            <w:tcBorders>
              <w:bottom w:val="single" w:sz="8" w:color="E5EAF5"/>
            </w:tcBorders>
            <w:shd w:val="clear" w:color="auto" w:fill="E5EAF5"/>
          </w:tcPr>
          <w:p>
            <w:pPr>
              <w:jc w:val="right"/>
              <w:spacing w:after="0" w:line="155" w:lineRule="exact"/>
              <w:rPr>
                <w:sz w:val="20"/>
                <w:szCs w:val="20"/>
                <w:color w:val="auto"/>
              </w:rPr>
            </w:pPr>
            <w:r>
              <w:rPr>
                <w:rFonts w:ascii="Arial" w:cs="Arial" w:eastAsia="Arial" w:hAnsi="Arial"/>
                <w:sz w:val="14"/>
                <w:szCs w:val="14"/>
                <w:color w:val="auto"/>
              </w:rPr>
              <w:t>663,000</w:t>
            </w:r>
          </w:p>
        </w:tc>
        <w:tc>
          <w:tcPr>
            <w:tcW w:w="760" w:type="dxa"/>
            <w:vAlign w:val="bottom"/>
            <w:tcBorders>
              <w:bottom w:val="single" w:sz="8" w:color="E5EAF5"/>
            </w:tcBorders>
            <w:shd w:val="clear" w:color="auto" w:fill="E5EAF5"/>
          </w:tcPr>
          <w:p>
            <w:pPr>
              <w:spacing w:after="0"/>
              <w:rPr>
                <w:sz w:val="14"/>
                <w:szCs w:val="14"/>
                <w:color w:val="auto"/>
              </w:rPr>
            </w:pPr>
          </w:p>
        </w:tc>
        <w:tc>
          <w:tcPr>
            <w:tcW w:w="620" w:type="dxa"/>
            <w:vAlign w:val="bottom"/>
            <w:tcBorders>
              <w:bottom w:val="single" w:sz="8" w:color="E5EAF5"/>
            </w:tcBorders>
            <w:shd w:val="clear" w:color="auto" w:fill="E5EAF5"/>
          </w:tcPr>
          <w:p>
            <w:pPr>
              <w:spacing w:after="0"/>
              <w:rPr>
                <w:sz w:val="14"/>
                <w:szCs w:val="14"/>
                <w:color w:val="auto"/>
              </w:rPr>
            </w:pPr>
          </w:p>
        </w:tc>
        <w:tc>
          <w:tcPr>
            <w:tcW w:w="640" w:type="dxa"/>
            <w:vAlign w:val="bottom"/>
            <w:tcBorders>
              <w:bottom w:val="single" w:sz="8" w:color="E5EAF5"/>
            </w:tcBorders>
            <w:shd w:val="clear" w:color="auto" w:fill="E5EAF5"/>
          </w:tcPr>
          <w:p>
            <w:pPr>
              <w:spacing w:after="0"/>
              <w:rPr>
                <w:sz w:val="14"/>
                <w:szCs w:val="14"/>
                <w:color w:val="auto"/>
              </w:rPr>
            </w:pPr>
          </w:p>
        </w:tc>
        <w:tc>
          <w:tcPr>
            <w:tcW w:w="780" w:type="dxa"/>
            <w:vAlign w:val="bottom"/>
            <w:tcBorders>
              <w:bottom w:val="single" w:sz="8" w:color="E5EAF5"/>
            </w:tcBorders>
            <w:shd w:val="clear" w:color="auto" w:fill="E5EAF5"/>
          </w:tcPr>
          <w:p>
            <w:pPr>
              <w:spacing w:after="0"/>
              <w:rPr>
                <w:sz w:val="14"/>
                <w:szCs w:val="14"/>
                <w:color w:val="auto"/>
              </w:rPr>
            </w:pPr>
          </w:p>
        </w:tc>
        <w:tc>
          <w:tcPr>
            <w:tcW w:w="780" w:type="dxa"/>
            <w:vAlign w:val="bottom"/>
            <w:tcBorders>
              <w:bottom w:val="single" w:sz="8" w:color="E5EAF5"/>
            </w:tcBorders>
            <w:shd w:val="clear" w:color="auto" w:fill="E5EAF5"/>
          </w:tcPr>
          <w:p>
            <w:pPr>
              <w:spacing w:after="0"/>
              <w:rPr>
                <w:sz w:val="14"/>
                <w:szCs w:val="14"/>
                <w:color w:val="auto"/>
              </w:rPr>
            </w:pPr>
          </w:p>
        </w:tc>
        <w:tc>
          <w:tcPr>
            <w:tcW w:w="700" w:type="dxa"/>
            <w:vAlign w:val="bottom"/>
            <w:tcBorders>
              <w:bottom w:val="single" w:sz="8" w:color="E5EAF5"/>
            </w:tcBorders>
            <w:shd w:val="clear" w:color="auto" w:fill="E5EAF5"/>
          </w:tcPr>
          <w:p>
            <w:pPr>
              <w:spacing w:after="0"/>
              <w:rPr>
                <w:sz w:val="14"/>
                <w:szCs w:val="14"/>
                <w:color w:val="auto"/>
              </w:rPr>
            </w:pPr>
          </w:p>
        </w:tc>
        <w:tc>
          <w:tcPr>
            <w:tcW w:w="780" w:type="dxa"/>
            <w:vAlign w:val="bottom"/>
            <w:tcBorders>
              <w:bottom w:val="single" w:sz="8" w:color="E5EAF5"/>
            </w:tcBorders>
            <w:shd w:val="clear" w:color="auto" w:fill="E5EAF5"/>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5"/>
              </w:rPr>
              <w:t>IM PSU</w:t>
            </w:r>
          </w:p>
        </w:tc>
        <w:tc>
          <w:tcPr>
            <w:tcW w:w="900" w:type="dxa"/>
            <w:vAlign w:val="bottom"/>
          </w:tcPr>
          <w:p>
            <w:pPr>
              <w:jc w:val="center"/>
              <w:ind w:left="13"/>
              <w:spacing w:after="0"/>
              <w:rPr>
                <w:sz w:val="20"/>
                <w:szCs w:val="20"/>
                <w:color w:val="auto"/>
              </w:rPr>
            </w:pPr>
            <w:r>
              <w:rPr>
                <w:rFonts w:ascii="Arial" w:cs="Arial" w:eastAsia="Arial" w:hAnsi="Arial"/>
                <w:sz w:val="14"/>
                <w:szCs w:val="14"/>
                <w:color w:val="auto"/>
                <w:w w:val="97"/>
              </w:rPr>
              <w:t>2/22/2018</w:t>
            </w:r>
            <w:r>
              <w:rPr>
                <w:rFonts w:ascii="Arial" w:cs="Arial" w:eastAsia="Arial" w:hAnsi="Arial"/>
                <w:sz w:val="11"/>
                <w:szCs w:val="11"/>
                <w:color w:val="auto"/>
                <w:w w:val="97"/>
              </w:rPr>
              <w:t>(7)</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jc w:val="right"/>
              <w:ind w:right="14"/>
              <w:spacing w:after="0"/>
              <w:rPr>
                <w:sz w:val="20"/>
                <w:szCs w:val="20"/>
                <w:color w:val="auto"/>
              </w:rPr>
            </w:pPr>
            <w:r>
              <w:rPr>
                <w:rFonts w:ascii="Arial" w:cs="Arial" w:eastAsia="Arial" w:hAnsi="Arial"/>
                <w:sz w:val="14"/>
                <w:szCs w:val="14"/>
                <w:color w:val="auto"/>
              </w:rPr>
              <w:t>1,307</w:t>
            </w:r>
          </w:p>
        </w:tc>
        <w:tc>
          <w:tcPr>
            <w:tcW w:w="620" w:type="dxa"/>
            <w:vAlign w:val="bottom"/>
          </w:tcPr>
          <w:p>
            <w:pPr>
              <w:jc w:val="right"/>
              <w:ind w:right="53"/>
              <w:spacing w:after="0"/>
              <w:rPr>
                <w:sz w:val="20"/>
                <w:szCs w:val="20"/>
                <w:color w:val="auto"/>
              </w:rPr>
            </w:pPr>
            <w:r>
              <w:rPr>
                <w:rFonts w:ascii="Arial" w:cs="Arial" w:eastAsia="Arial" w:hAnsi="Arial"/>
                <w:sz w:val="14"/>
                <w:szCs w:val="14"/>
                <w:color w:val="auto"/>
              </w:rPr>
              <w:t>2,614</w:t>
            </w:r>
          </w:p>
        </w:tc>
        <w:tc>
          <w:tcPr>
            <w:tcW w:w="640" w:type="dxa"/>
            <w:vAlign w:val="bottom"/>
          </w:tcPr>
          <w:p>
            <w:pPr>
              <w:jc w:val="right"/>
              <w:spacing w:after="0"/>
              <w:rPr>
                <w:sz w:val="20"/>
                <w:szCs w:val="20"/>
                <w:color w:val="auto"/>
              </w:rPr>
            </w:pPr>
            <w:r>
              <w:rPr>
                <w:rFonts w:ascii="Arial" w:cs="Arial" w:eastAsia="Arial" w:hAnsi="Arial"/>
                <w:sz w:val="14"/>
                <w:szCs w:val="14"/>
                <w:color w:val="auto"/>
              </w:rPr>
              <w:t>5,228</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jc w:val="right"/>
              <w:ind w:right="34"/>
              <w:spacing w:after="0"/>
              <w:rPr>
                <w:sz w:val="20"/>
                <w:szCs w:val="20"/>
                <w:color w:val="auto"/>
              </w:rPr>
            </w:pPr>
            <w:r>
              <w:rPr>
                <w:rFonts w:ascii="Arial" w:cs="Arial" w:eastAsia="Arial" w:hAnsi="Arial"/>
                <w:sz w:val="14"/>
                <w:szCs w:val="14"/>
                <w:color w:val="auto"/>
              </w:rPr>
              <w:t>187,450</w:t>
            </w:r>
          </w:p>
        </w:tc>
        <w:tc>
          <w:tcPr>
            <w:tcW w:w="0" w:type="dxa"/>
            <w:vAlign w:val="bottom"/>
          </w:tcPr>
          <w:p>
            <w:pPr>
              <w:spacing w:after="0"/>
              <w:rPr>
                <w:sz w:val="1"/>
                <w:szCs w:val="1"/>
                <w:color w:val="auto"/>
              </w:rPr>
            </w:pPr>
          </w:p>
        </w:tc>
      </w:tr>
      <w:tr>
        <w:trPr>
          <w:trHeight w:val="162"/>
        </w:trPr>
        <w:tc>
          <w:tcPr>
            <w:tcW w:w="2080" w:type="dxa"/>
            <w:vAlign w:val="bottom"/>
            <w:tcBorders>
              <w:bottom w:val="single" w:sz="8" w:color="E5EAF5"/>
            </w:tcBorders>
            <w:shd w:val="clear" w:color="auto" w:fill="E5EAF5"/>
          </w:tcPr>
          <w:p>
            <w:pPr>
              <w:spacing w:after="0"/>
              <w:rPr>
                <w:sz w:val="14"/>
                <w:szCs w:val="14"/>
                <w:color w:val="auto"/>
              </w:rPr>
            </w:pPr>
          </w:p>
        </w:tc>
        <w:tc>
          <w:tcPr>
            <w:tcW w:w="680" w:type="dxa"/>
            <w:vAlign w:val="bottom"/>
            <w:tcBorders>
              <w:bottom w:val="single" w:sz="8" w:color="E5EAF5"/>
            </w:tcBorders>
            <w:shd w:val="clear" w:color="auto" w:fill="E5EAF5"/>
          </w:tcPr>
          <w:p>
            <w:pPr>
              <w:jc w:val="center"/>
              <w:spacing w:after="0" w:line="155" w:lineRule="exact"/>
              <w:rPr>
                <w:sz w:val="20"/>
                <w:szCs w:val="20"/>
                <w:color w:val="auto"/>
              </w:rPr>
            </w:pPr>
            <w:r>
              <w:rPr>
                <w:rFonts w:ascii="Arial" w:cs="Arial" w:eastAsia="Arial" w:hAnsi="Arial"/>
                <w:sz w:val="14"/>
                <w:szCs w:val="14"/>
                <w:color w:val="auto"/>
                <w:w w:val="95"/>
              </w:rPr>
              <w:t>TSR PSU</w:t>
            </w:r>
          </w:p>
        </w:tc>
        <w:tc>
          <w:tcPr>
            <w:tcW w:w="900" w:type="dxa"/>
            <w:vAlign w:val="bottom"/>
            <w:tcBorders>
              <w:bottom w:val="single" w:sz="8" w:color="E5EAF5"/>
            </w:tcBorders>
            <w:shd w:val="clear" w:color="auto" w:fill="E5EAF5"/>
          </w:tcPr>
          <w:p>
            <w:pPr>
              <w:jc w:val="center"/>
              <w:ind w:left="13"/>
              <w:spacing w:after="0" w:line="155" w:lineRule="exact"/>
              <w:rPr>
                <w:sz w:val="20"/>
                <w:szCs w:val="20"/>
                <w:color w:val="auto"/>
              </w:rPr>
            </w:pPr>
            <w:r>
              <w:rPr>
                <w:rFonts w:ascii="Arial" w:cs="Arial" w:eastAsia="Arial" w:hAnsi="Arial"/>
                <w:sz w:val="14"/>
                <w:szCs w:val="14"/>
                <w:color w:val="auto"/>
                <w:w w:val="97"/>
              </w:rPr>
              <w:t>2/22/2018</w:t>
            </w:r>
            <w:r>
              <w:rPr>
                <w:rFonts w:ascii="Arial" w:cs="Arial" w:eastAsia="Arial" w:hAnsi="Arial"/>
                <w:sz w:val="11"/>
                <w:szCs w:val="11"/>
                <w:color w:val="auto"/>
                <w:w w:val="97"/>
              </w:rPr>
              <w:t>(7)</w:t>
            </w:r>
          </w:p>
        </w:tc>
        <w:tc>
          <w:tcPr>
            <w:tcW w:w="780" w:type="dxa"/>
            <w:vAlign w:val="bottom"/>
            <w:tcBorders>
              <w:bottom w:val="single" w:sz="8" w:color="E5EAF5"/>
            </w:tcBorders>
            <w:shd w:val="clear" w:color="auto" w:fill="E5EAF5"/>
          </w:tcPr>
          <w:p>
            <w:pPr>
              <w:spacing w:after="0"/>
              <w:rPr>
                <w:sz w:val="14"/>
                <w:szCs w:val="14"/>
                <w:color w:val="auto"/>
              </w:rPr>
            </w:pPr>
          </w:p>
        </w:tc>
        <w:tc>
          <w:tcPr>
            <w:tcW w:w="760" w:type="dxa"/>
            <w:vAlign w:val="bottom"/>
            <w:tcBorders>
              <w:bottom w:val="single" w:sz="8" w:color="E5EAF5"/>
            </w:tcBorders>
            <w:shd w:val="clear" w:color="auto" w:fill="E5EAF5"/>
          </w:tcPr>
          <w:p>
            <w:pPr>
              <w:spacing w:after="0"/>
              <w:rPr>
                <w:sz w:val="14"/>
                <w:szCs w:val="14"/>
                <w:color w:val="auto"/>
              </w:rPr>
            </w:pPr>
          </w:p>
        </w:tc>
        <w:tc>
          <w:tcPr>
            <w:tcW w:w="760" w:type="dxa"/>
            <w:vAlign w:val="bottom"/>
            <w:tcBorders>
              <w:bottom w:val="single" w:sz="8" w:color="E5EAF5"/>
            </w:tcBorders>
            <w:shd w:val="clear" w:color="auto" w:fill="E5EAF5"/>
          </w:tcPr>
          <w:p>
            <w:pPr>
              <w:spacing w:after="0"/>
              <w:rPr>
                <w:sz w:val="14"/>
                <w:szCs w:val="14"/>
                <w:color w:val="auto"/>
              </w:rPr>
            </w:pPr>
          </w:p>
        </w:tc>
        <w:tc>
          <w:tcPr>
            <w:tcW w:w="760" w:type="dxa"/>
            <w:vAlign w:val="bottom"/>
            <w:tcBorders>
              <w:bottom w:val="single" w:sz="8" w:color="E5EAF5"/>
            </w:tcBorders>
            <w:shd w:val="clear" w:color="auto" w:fill="E5EAF5"/>
          </w:tcPr>
          <w:p>
            <w:pPr>
              <w:jc w:val="right"/>
              <w:ind w:right="14"/>
              <w:spacing w:after="0" w:line="155" w:lineRule="exact"/>
              <w:rPr>
                <w:sz w:val="20"/>
                <w:szCs w:val="20"/>
                <w:color w:val="auto"/>
              </w:rPr>
            </w:pPr>
            <w:r>
              <w:rPr>
                <w:rFonts w:ascii="Arial" w:cs="Arial" w:eastAsia="Arial" w:hAnsi="Arial"/>
                <w:sz w:val="14"/>
                <w:szCs w:val="14"/>
                <w:color w:val="auto"/>
              </w:rPr>
              <w:t>592</w:t>
            </w:r>
          </w:p>
        </w:tc>
        <w:tc>
          <w:tcPr>
            <w:tcW w:w="620" w:type="dxa"/>
            <w:vAlign w:val="bottom"/>
            <w:tcBorders>
              <w:bottom w:val="single" w:sz="8" w:color="E5EAF5"/>
            </w:tcBorders>
            <w:shd w:val="clear" w:color="auto" w:fill="E5EAF5"/>
          </w:tcPr>
          <w:p>
            <w:pPr>
              <w:jc w:val="right"/>
              <w:ind w:right="53"/>
              <w:spacing w:after="0" w:line="155" w:lineRule="exact"/>
              <w:rPr>
                <w:sz w:val="20"/>
                <w:szCs w:val="20"/>
                <w:color w:val="auto"/>
              </w:rPr>
            </w:pPr>
            <w:r>
              <w:rPr>
                <w:rFonts w:ascii="Arial" w:cs="Arial" w:eastAsia="Arial" w:hAnsi="Arial"/>
                <w:sz w:val="14"/>
                <w:szCs w:val="14"/>
                <w:color w:val="auto"/>
              </w:rPr>
              <w:t>2,371</w:t>
            </w:r>
          </w:p>
        </w:tc>
        <w:tc>
          <w:tcPr>
            <w:tcW w:w="640" w:type="dxa"/>
            <w:vAlign w:val="bottom"/>
            <w:tcBorders>
              <w:bottom w:val="single" w:sz="8" w:color="E5EAF5"/>
            </w:tcBorders>
            <w:shd w:val="clear" w:color="auto" w:fill="E5EAF5"/>
          </w:tcPr>
          <w:p>
            <w:pPr>
              <w:jc w:val="right"/>
              <w:spacing w:after="0" w:line="155" w:lineRule="exact"/>
              <w:rPr>
                <w:sz w:val="20"/>
                <w:szCs w:val="20"/>
                <w:color w:val="auto"/>
              </w:rPr>
            </w:pPr>
            <w:r>
              <w:rPr>
                <w:rFonts w:ascii="Arial" w:cs="Arial" w:eastAsia="Arial" w:hAnsi="Arial"/>
                <w:sz w:val="14"/>
                <w:szCs w:val="14"/>
                <w:color w:val="auto"/>
              </w:rPr>
              <w:t>4,742</w:t>
            </w:r>
          </w:p>
        </w:tc>
        <w:tc>
          <w:tcPr>
            <w:tcW w:w="780" w:type="dxa"/>
            <w:vAlign w:val="bottom"/>
            <w:tcBorders>
              <w:bottom w:val="single" w:sz="8" w:color="E5EAF5"/>
            </w:tcBorders>
            <w:shd w:val="clear" w:color="auto" w:fill="E5EAF5"/>
          </w:tcPr>
          <w:p>
            <w:pPr>
              <w:spacing w:after="0"/>
              <w:rPr>
                <w:sz w:val="14"/>
                <w:szCs w:val="14"/>
                <w:color w:val="auto"/>
              </w:rPr>
            </w:pPr>
          </w:p>
        </w:tc>
        <w:tc>
          <w:tcPr>
            <w:tcW w:w="780" w:type="dxa"/>
            <w:vAlign w:val="bottom"/>
            <w:tcBorders>
              <w:bottom w:val="single" w:sz="8" w:color="E5EAF5"/>
            </w:tcBorders>
            <w:shd w:val="clear" w:color="auto" w:fill="E5EAF5"/>
          </w:tcPr>
          <w:p>
            <w:pPr>
              <w:spacing w:after="0"/>
              <w:rPr>
                <w:sz w:val="14"/>
                <w:szCs w:val="14"/>
                <w:color w:val="auto"/>
              </w:rPr>
            </w:pPr>
          </w:p>
        </w:tc>
        <w:tc>
          <w:tcPr>
            <w:tcW w:w="700" w:type="dxa"/>
            <w:vAlign w:val="bottom"/>
            <w:tcBorders>
              <w:bottom w:val="single" w:sz="8" w:color="E5EAF5"/>
            </w:tcBorders>
            <w:shd w:val="clear" w:color="auto" w:fill="E5EAF5"/>
          </w:tcPr>
          <w:p>
            <w:pPr>
              <w:spacing w:after="0"/>
              <w:rPr>
                <w:sz w:val="14"/>
                <w:szCs w:val="14"/>
                <w:color w:val="auto"/>
              </w:rPr>
            </w:pPr>
          </w:p>
        </w:tc>
        <w:tc>
          <w:tcPr>
            <w:tcW w:w="780" w:type="dxa"/>
            <w:vAlign w:val="bottom"/>
            <w:tcBorders>
              <w:bottom w:val="single" w:sz="8" w:color="E5EAF5"/>
            </w:tcBorders>
            <w:shd w:val="clear" w:color="auto" w:fill="E5EAF5"/>
          </w:tcPr>
          <w:p>
            <w:pPr>
              <w:jc w:val="right"/>
              <w:ind w:right="34"/>
              <w:spacing w:after="0" w:line="155" w:lineRule="exact"/>
              <w:rPr>
                <w:sz w:val="20"/>
                <w:szCs w:val="20"/>
                <w:color w:val="auto"/>
              </w:rPr>
            </w:pPr>
            <w:r>
              <w:rPr>
                <w:rFonts w:ascii="Arial" w:cs="Arial" w:eastAsia="Arial" w:hAnsi="Arial"/>
                <w:sz w:val="14"/>
                <w:szCs w:val="14"/>
                <w:color w:val="auto"/>
              </w:rPr>
              <w:t>187,428</w:t>
            </w:r>
          </w:p>
        </w:tc>
        <w:tc>
          <w:tcPr>
            <w:tcW w:w="0" w:type="dxa"/>
            <w:vAlign w:val="bottom"/>
          </w:tcPr>
          <w:p>
            <w:pPr>
              <w:spacing w:after="0"/>
              <w:rPr>
                <w:sz w:val="1"/>
                <w:szCs w:val="1"/>
                <w:color w:val="auto"/>
              </w:rPr>
            </w:pPr>
          </w:p>
        </w:tc>
      </w:tr>
      <w:tr>
        <w:trPr>
          <w:trHeight w:val="169"/>
        </w:trPr>
        <w:tc>
          <w:tcPr>
            <w:tcW w:w="2080" w:type="dxa"/>
            <w:vAlign w:val="bottom"/>
          </w:tcPr>
          <w:p>
            <w:pPr>
              <w:spacing w:after="0"/>
              <w:rPr>
                <w:sz w:val="14"/>
                <w:szCs w:val="14"/>
                <w:color w:val="auto"/>
              </w:rPr>
            </w:pPr>
          </w:p>
        </w:tc>
        <w:tc>
          <w:tcPr>
            <w:tcW w:w="680" w:type="dxa"/>
            <w:vAlign w:val="bottom"/>
          </w:tcPr>
          <w:p>
            <w:pPr>
              <w:jc w:val="center"/>
              <w:ind w:left="13"/>
              <w:spacing w:after="0"/>
              <w:rPr>
                <w:sz w:val="20"/>
                <w:szCs w:val="20"/>
                <w:color w:val="auto"/>
              </w:rPr>
            </w:pPr>
            <w:r>
              <w:rPr>
                <w:rFonts w:ascii="Arial" w:cs="Arial" w:eastAsia="Arial" w:hAnsi="Arial"/>
                <w:sz w:val="14"/>
                <w:szCs w:val="14"/>
                <w:color w:val="auto"/>
                <w:w w:val="94"/>
              </w:rPr>
              <w:t>RSU</w:t>
            </w:r>
          </w:p>
        </w:tc>
        <w:tc>
          <w:tcPr>
            <w:tcW w:w="900" w:type="dxa"/>
            <w:vAlign w:val="bottom"/>
          </w:tcPr>
          <w:p>
            <w:pPr>
              <w:jc w:val="center"/>
              <w:ind w:left="13"/>
              <w:spacing w:after="0"/>
              <w:rPr>
                <w:sz w:val="20"/>
                <w:szCs w:val="20"/>
                <w:color w:val="auto"/>
              </w:rPr>
            </w:pPr>
            <w:r>
              <w:rPr>
                <w:rFonts w:ascii="Arial" w:cs="Arial" w:eastAsia="Arial" w:hAnsi="Arial"/>
                <w:sz w:val="14"/>
                <w:szCs w:val="14"/>
                <w:color w:val="auto"/>
                <w:w w:val="97"/>
              </w:rPr>
              <w:t>2/22/2018</w:t>
            </w:r>
            <w:r>
              <w:rPr>
                <w:rFonts w:ascii="Arial" w:cs="Arial" w:eastAsia="Arial" w:hAnsi="Arial"/>
                <w:sz w:val="11"/>
                <w:szCs w:val="11"/>
                <w:color w:val="auto"/>
                <w:w w:val="97"/>
              </w:rPr>
              <w:t>(7)</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2,593</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jc w:val="right"/>
              <w:ind w:right="34"/>
              <w:spacing w:after="0"/>
              <w:rPr>
                <w:sz w:val="20"/>
                <w:szCs w:val="20"/>
                <w:color w:val="auto"/>
              </w:rPr>
            </w:pPr>
            <w:r>
              <w:rPr>
                <w:rFonts w:ascii="Arial" w:cs="Arial" w:eastAsia="Arial" w:hAnsi="Arial"/>
                <w:sz w:val="14"/>
                <w:szCs w:val="14"/>
                <w:color w:val="auto"/>
              </w:rPr>
              <w:t>187,431</w:t>
            </w:r>
          </w:p>
        </w:tc>
        <w:tc>
          <w:tcPr>
            <w:tcW w:w="0" w:type="dxa"/>
            <w:vAlign w:val="bottom"/>
          </w:tcPr>
          <w:p>
            <w:pPr>
              <w:spacing w:after="0"/>
              <w:rPr>
                <w:sz w:val="1"/>
                <w:szCs w:val="1"/>
                <w:color w:val="auto"/>
              </w:rPr>
            </w:pPr>
          </w:p>
        </w:tc>
      </w:tr>
      <w:tr>
        <w:trPr>
          <w:trHeight w:val="162"/>
        </w:trPr>
        <w:tc>
          <w:tcPr>
            <w:tcW w:w="2080" w:type="dxa"/>
            <w:vAlign w:val="bottom"/>
            <w:tcBorders>
              <w:bottom w:val="single" w:sz="8" w:color="E5EAF5"/>
            </w:tcBorders>
            <w:shd w:val="clear" w:color="auto" w:fill="E5EAF5"/>
          </w:tcPr>
          <w:p>
            <w:pPr>
              <w:spacing w:after="0"/>
              <w:rPr>
                <w:sz w:val="14"/>
                <w:szCs w:val="14"/>
                <w:color w:val="auto"/>
              </w:rPr>
            </w:pPr>
          </w:p>
        </w:tc>
        <w:tc>
          <w:tcPr>
            <w:tcW w:w="680" w:type="dxa"/>
            <w:vAlign w:val="bottom"/>
            <w:tcBorders>
              <w:bottom w:val="single" w:sz="8" w:color="E5EAF5"/>
            </w:tcBorders>
            <w:shd w:val="clear" w:color="auto" w:fill="E5EAF5"/>
          </w:tcPr>
          <w:p>
            <w:pPr>
              <w:jc w:val="center"/>
              <w:ind w:left="13"/>
              <w:spacing w:after="0" w:line="155" w:lineRule="exact"/>
              <w:rPr>
                <w:sz w:val="20"/>
                <w:szCs w:val="20"/>
                <w:color w:val="auto"/>
              </w:rPr>
            </w:pPr>
            <w:r>
              <w:rPr>
                <w:rFonts w:ascii="Arial" w:cs="Arial" w:eastAsia="Arial" w:hAnsi="Arial"/>
                <w:sz w:val="14"/>
                <w:szCs w:val="14"/>
                <w:color w:val="auto"/>
                <w:w w:val="96"/>
              </w:rPr>
              <w:t>Option</w:t>
            </w:r>
          </w:p>
        </w:tc>
        <w:tc>
          <w:tcPr>
            <w:tcW w:w="900" w:type="dxa"/>
            <w:vAlign w:val="bottom"/>
            <w:tcBorders>
              <w:bottom w:val="single" w:sz="8" w:color="E5EAF5"/>
            </w:tcBorders>
            <w:shd w:val="clear" w:color="auto" w:fill="E5EAF5"/>
          </w:tcPr>
          <w:p>
            <w:pPr>
              <w:jc w:val="center"/>
              <w:ind w:left="13"/>
              <w:spacing w:after="0" w:line="155" w:lineRule="exact"/>
              <w:rPr>
                <w:sz w:val="20"/>
                <w:szCs w:val="20"/>
                <w:color w:val="auto"/>
              </w:rPr>
            </w:pPr>
            <w:r>
              <w:rPr>
                <w:rFonts w:ascii="Arial" w:cs="Arial" w:eastAsia="Arial" w:hAnsi="Arial"/>
                <w:sz w:val="14"/>
                <w:szCs w:val="14"/>
                <w:color w:val="auto"/>
                <w:w w:val="97"/>
              </w:rPr>
              <w:t>2/22/2018</w:t>
            </w:r>
            <w:r>
              <w:rPr>
                <w:rFonts w:ascii="Arial" w:cs="Arial" w:eastAsia="Arial" w:hAnsi="Arial"/>
                <w:sz w:val="11"/>
                <w:szCs w:val="11"/>
                <w:color w:val="auto"/>
                <w:w w:val="97"/>
              </w:rPr>
              <w:t>(7)</w:t>
            </w:r>
          </w:p>
        </w:tc>
        <w:tc>
          <w:tcPr>
            <w:tcW w:w="780" w:type="dxa"/>
            <w:vAlign w:val="bottom"/>
            <w:tcBorders>
              <w:bottom w:val="single" w:sz="8" w:color="E5EAF5"/>
            </w:tcBorders>
            <w:shd w:val="clear" w:color="auto" w:fill="E5EAF5"/>
          </w:tcPr>
          <w:p>
            <w:pPr>
              <w:spacing w:after="0"/>
              <w:rPr>
                <w:sz w:val="14"/>
                <w:szCs w:val="14"/>
                <w:color w:val="auto"/>
              </w:rPr>
            </w:pPr>
          </w:p>
        </w:tc>
        <w:tc>
          <w:tcPr>
            <w:tcW w:w="760" w:type="dxa"/>
            <w:vAlign w:val="bottom"/>
            <w:tcBorders>
              <w:bottom w:val="single" w:sz="8" w:color="E5EAF5"/>
            </w:tcBorders>
            <w:shd w:val="clear" w:color="auto" w:fill="E5EAF5"/>
          </w:tcPr>
          <w:p>
            <w:pPr>
              <w:spacing w:after="0"/>
              <w:rPr>
                <w:sz w:val="14"/>
                <w:szCs w:val="14"/>
                <w:color w:val="auto"/>
              </w:rPr>
            </w:pPr>
          </w:p>
        </w:tc>
        <w:tc>
          <w:tcPr>
            <w:tcW w:w="760" w:type="dxa"/>
            <w:vAlign w:val="bottom"/>
            <w:tcBorders>
              <w:bottom w:val="single" w:sz="8" w:color="E5EAF5"/>
            </w:tcBorders>
            <w:shd w:val="clear" w:color="auto" w:fill="E5EAF5"/>
          </w:tcPr>
          <w:p>
            <w:pPr>
              <w:spacing w:after="0"/>
              <w:rPr>
                <w:sz w:val="14"/>
                <w:szCs w:val="14"/>
                <w:color w:val="auto"/>
              </w:rPr>
            </w:pPr>
          </w:p>
        </w:tc>
        <w:tc>
          <w:tcPr>
            <w:tcW w:w="760" w:type="dxa"/>
            <w:vAlign w:val="bottom"/>
            <w:tcBorders>
              <w:bottom w:val="single" w:sz="8" w:color="E5EAF5"/>
            </w:tcBorders>
            <w:shd w:val="clear" w:color="auto" w:fill="E5EAF5"/>
          </w:tcPr>
          <w:p>
            <w:pPr>
              <w:spacing w:after="0"/>
              <w:rPr>
                <w:sz w:val="14"/>
                <w:szCs w:val="14"/>
                <w:color w:val="auto"/>
              </w:rPr>
            </w:pPr>
          </w:p>
        </w:tc>
        <w:tc>
          <w:tcPr>
            <w:tcW w:w="620" w:type="dxa"/>
            <w:vAlign w:val="bottom"/>
            <w:tcBorders>
              <w:bottom w:val="single" w:sz="8" w:color="E5EAF5"/>
            </w:tcBorders>
            <w:shd w:val="clear" w:color="auto" w:fill="E5EAF5"/>
          </w:tcPr>
          <w:p>
            <w:pPr>
              <w:spacing w:after="0"/>
              <w:rPr>
                <w:sz w:val="14"/>
                <w:szCs w:val="14"/>
                <w:color w:val="auto"/>
              </w:rPr>
            </w:pPr>
          </w:p>
        </w:tc>
        <w:tc>
          <w:tcPr>
            <w:tcW w:w="640" w:type="dxa"/>
            <w:vAlign w:val="bottom"/>
            <w:tcBorders>
              <w:bottom w:val="single" w:sz="8" w:color="E5EAF5"/>
            </w:tcBorders>
            <w:shd w:val="clear" w:color="auto" w:fill="E5EAF5"/>
          </w:tcPr>
          <w:p>
            <w:pPr>
              <w:spacing w:after="0"/>
              <w:rPr>
                <w:sz w:val="14"/>
                <w:szCs w:val="14"/>
                <w:color w:val="auto"/>
              </w:rPr>
            </w:pPr>
          </w:p>
        </w:tc>
        <w:tc>
          <w:tcPr>
            <w:tcW w:w="780" w:type="dxa"/>
            <w:vAlign w:val="bottom"/>
            <w:tcBorders>
              <w:bottom w:val="single" w:sz="8" w:color="E5EAF5"/>
            </w:tcBorders>
            <w:shd w:val="clear" w:color="auto" w:fill="E5EAF5"/>
          </w:tcPr>
          <w:p>
            <w:pPr>
              <w:spacing w:after="0"/>
              <w:rPr>
                <w:sz w:val="14"/>
                <w:szCs w:val="14"/>
                <w:color w:val="auto"/>
              </w:rPr>
            </w:pPr>
          </w:p>
        </w:tc>
        <w:tc>
          <w:tcPr>
            <w:tcW w:w="780" w:type="dxa"/>
            <w:vAlign w:val="bottom"/>
            <w:tcBorders>
              <w:bottom w:val="single" w:sz="8" w:color="E5EAF5"/>
            </w:tcBorders>
            <w:shd w:val="clear" w:color="auto" w:fill="E5EAF5"/>
          </w:tcPr>
          <w:p>
            <w:pPr>
              <w:jc w:val="right"/>
              <w:spacing w:after="0" w:line="155" w:lineRule="exact"/>
              <w:rPr>
                <w:sz w:val="20"/>
                <w:szCs w:val="20"/>
                <w:color w:val="auto"/>
              </w:rPr>
            </w:pPr>
            <w:r>
              <w:rPr>
                <w:rFonts w:ascii="Arial" w:cs="Arial" w:eastAsia="Arial" w:hAnsi="Arial"/>
                <w:sz w:val="14"/>
                <w:szCs w:val="14"/>
                <w:color w:val="auto"/>
              </w:rPr>
              <w:t>10,463</w:t>
            </w:r>
          </w:p>
        </w:tc>
        <w:tc>
          <w:tcPr>
            <w:tcW w:w="700" w:type="dxa"/>
            <w:vAlign w:val="bottom"/>
            <w:tcBorders>
              <w:bottom w:val="single" w:sz="8" w:color="E5EAF5"/>
            </w:tcBorders>
            <w:shd w:val="clear" w:color="auto" w:fill="E5EAF5"/>
          </w:tcPr>
          <w:p>
            <w:pPr>
              <w:jc w:val="right"/>
              <w:spacing w:after="0" w:line="155" w:lineRule="exact"/>
              <w:rPr>
                <w:sz w:val="20"/>
                <w:szCs w:val="20"/>
                <w:color w:val="auto"/>
              </w:rPr>
            </w:pPr>
            <w:r>
              <w:rPr>
                <w:rFonts w:ascii="Arial" w:cs="Arial" w:eastAsia="Arial" w:hAnsi="Arial"/>
                <w:sz w:val="14"/>
                <w:szCs w:val="14"/>
                <w:color w:val="auto"/>
              </w:rPr>
              <w:t>73.45</w:t>
            </w:r>
          </w:p>
        </w:tc>
        <w:tc>
          <w:tcPr>
            <w:tcW w:w="780" w:type="dxa"/>
            <w:vAlign w:val="bottom"/>
            <w:tcBorders>
              <w:bottom w:val="single" w:sz="8" w:color="E5EAF5"/>
            </w:tcBorders>
            <w:shd w:val="clear" w:color="auto" w:fill="E5EAF5"/>
          </w:tcPr>
          <w:p>
            <w:pPr>
              <w:jc w:val="right"/>
              <w:ind w:right="34"/>
              <w:spacing w:after="0" w:line="155" w:lineRule="exact"/>
              <w:rPr>
                <w:sz w:val="20"/>
                <w:szCs w:val="20"/>
                <w:color w:val="auto"/>
              </w:rPr>
            </w:pPr>
            <w:r>
              <w:rPr>
                <w:rFonts w:ascii="Arial" w:cs="Arial" w:eastAsia="Arial" w:hAnsi="Arial"/>
                <w:sz w:val="14"/>
                <w:szCs w:val="14"/>
                <w:color w:val="auto"/>
              </w:rPr>
              <w:t>187,497</w:t>
            </w:r>
          </w:p>
        </w:tc>
        <w:tc>
          <w:tcPr>
            <w:tcW w:w="0" w:type="dxa"/>
            <w:vAlign w:val="bottom"/>
          </w:tcPr>
          <w:p>
            <w:pPr>
              <w:spacing w:after="0"/>
              <w:rPr>
                <w:sz w:val="1"/>
                <w:szCs w:val="1"/>
                <w:color w:val="auto"/>
              </w:rPr>
            </w:pPr>
          </w:p>
        </w:tc>
      </w:tr>
      <w:tr>
        <w:trPr>
          <w:trHeight w:val="169"/>
        </w:trPr>
        <w:tc>
          <w:tcPr>
            <w:tcW w:w="2080" w:type="dxa"/>
            <w:vAlign w:val="bottom"/>
          </w:tcPr>
          <w:p>
            <w:pPr>
              <w:ind w:left="60"/>
              <w:spacing w:after="0"/>
              <w:rPr>
                <w:sz w:val="20"/>
                <w:szCs w:val="20"/>
                <w:color w:val="auto"/>
              </w:rPr>
            </w:pPr>
            <w:r>
              <w:rPr>
                <w:rFonts w:ascii="Arial" w:cs="Arial" w:eastAsia="Arial" w:hAnsi="Arial"/>
                <w:sz w:val="14"/>
                <w:szCs w:val="14"/>
                <w:color w:val="auto"/>
              </w:rPr>
              <w:t>Amit Zukerman</w:t>
            </w:r>
          </w:p>
        </w:tc>
        <w:tc>
          <w:tcPr>
            <w:tcW w:w="680" w:type="dxa"/>
            <w:vAlign w:val="bottom"/>
          </w:tcPr>
          <w:p>
            <w:pPr>
              <w:jc w:val="center"/>
              <w:spacing w:after="0"/>
              <w:rPr>
                <w:sz w:val="20"/>
                <w:szCs w:val="20"/>
                <w:color w:val="auto"/>
              </w:rPr>
            </w:pPr>
            <w:r>
              <w:rPr>
                <w:rFonts w:ascii="Arial" w:cs="Arial" w:eastAsia="Arial" w:hAnsi="Arial"/>
                <w:sz w:val="14"/>
                <w:szCs w:val="14"/>
                <w:color w:val="auto"/>
                <w:w w:val="97"/>
              </w:rPr>
              <w:t>EIP</w:t>
            </w:r>
          </w:p>
        </w:tc>
        <w:tc>
          <w:tcPr>
            <w:tcW w:w="900" w:type="dxa"/>
            <w:vAlign w:val="bottom"/>
          </w:tcPr>
          <w:p>
            <w:pPr>
              <w:spacing w:after="0"/>
              <w:rPr>
                <w:sz w:val="14"/>
                <w:szCs w:val="14"/>
                <w:color w:val="auto"/>
              </w:rPr>
            </w:pPr>
          </w:p>
        </w:tc>
        <w:tc>
          <w:tcPr>
            <w:tcW w:w="780" w:type="dxa"/>
            <w:vAlign w:val="bottom"/>
          </w:tcPr>
          <w:p>
            <w:pPr>
              <w:jc w:val="right"/>
              <w:ind w:right="14"/>
              <w:spacing w:after="0"/>
              <w:rPr>
                <w:sz w:val="20"/>
                <w:szCs w:val="20"/>
                <w:color w:val="auto"/>
              </w:rPr>
            </w:pPr>
            <w:r>
              <w:rPr>
                <w:rFonts w:ascii="Arial" w:cs="Arial" w:eastAsia="Arial" w:hAnsi="Arial"/>
                <w:sz w:val="14"/>
                <w:szCs w:val="14"/>
                <w:color w:val="auto"/>
              </w:rPr>
              <w:t>276,750</w:t>
            </w:r>
          </w:p>
        </w:tc>
        <w:tc>
          <w:tcPr>
            <w:tcW w:w="760" w:type="dxa"/>
            <w:vAlign w:val="bottom"/>
          </w:tcPr>
          <w:p>
            <w:pPr>
              <w:jc w:val="right"/>
              <w:ind w:right="14"/>
              <w:spacing w:after="0"/>
              <w:rPr>
                <w:sz w:val="20"/>
                <w:szCs w:val="20"/>
                <w:color w:val="auto"/>
              </w:rPr>
            </w:pPr>
            <w:r>
              <w:rPr>
                <w:rFonts w:ascii="Arial" w:cs="Arial" w:eastAsia="Arial" w:hAnsi="Arial"/>
                <w:sz w:val="14"/>
                <w:szCs w:val="14"/>
                <w:color w:val="auto"/>
              </w:rPr>
              <w:t>553,500</w:t>
            </w:r>
          </w:p>
        </w:tc>
        <w:tc>
          <w:tcPr>
            <w:tcW w:w="760" w:type="dxa"/>
            <w:vAlign w:val="bottom"/>
          </w:tcPr>
          <w:p>
            <w:pPr>
              <w:jc w:val="right"/>
              <w:spacing w:after="0"/>
              <w:rPr>
                <w:sz w:val="20"/>
                <w:szCs w:val="20"/>
                <w:color w:val="auto"/>
              </w:rPr>
            </w:pPr>
            <w:r>
              <w:rPr>
                <w:rFonts w:ascii="Arial" w:cs="Arial" w:eastAsia="Arial" w:hAnsi="Arial"/>
                <w:sz w:val="14"/>
                <w:szCs w:val="14"/>
                <w:color w:val="auto"/>
              </w:rPr>
              <w:t>1,107,000</w:t>
            </w: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tcBorders>
              <w:bottom w:val="single" w:sz="8" w:color="E5EAF5"/>
            </w:tcBorders>
            <w:shd w:val="clear" w:color="auto" w:fill="E5EAF5"/>
          </w:tcPr>
          <w:p>
            <w:pPr>
              <w:spacing w:after="0"/>
              <w:rPr>
                <w:sz w:val="14"/>
                <w:szCs w:val="14"/>
                <w:color w:val="auto"/>
              </w:rPr>
            </w:pPr>
          </w:p>
        </w:tc>
        <w:tc>
          <w:tcPr>
            <w:tcW w:w="680" w:type="dxa"/>
            <w:vAlign w:val="bottom"/>
            <w:tcBorders>
              <w:bottom w:val="single" w:sz="8" w:color="E5EAF5"/>
            </w:tcBorders>
            <w:shd w:val="clear" w:color="auto" w:fill="E5EAF5"/>
          </w:tcPr>
          <w:p>
            <w:pPr>
              <w:jc w:val="center"/>
              <w:spacing w:after="0" w:line="155" w:lineRule="exact"/>
              <w:rPr>
                <w:sz w:val="20"/>
                <w:szCs w:val="20"/>
                <w:color w:val="auto"/>
              </w:rPr>
            </w:pPr>
            <w:r>
              <w:rPr>
                <w:rFonts w:ascii="Arial" w:cs="Arial" w:eastAsia="Arial" w:hAnsi="Arial"/>
                <w:sz w:val="14"/>
                <w:szCs w:val="14"/>
                <w:color w:val="auto"/>
                <w:w w:val="95"/>
              </w:rPr>
              <w:t>IM PSU</w:t>
            </w:r>
          </w:p>
        </w:tc>
        <w:tc>
          <w:tcPr>
            <w:tcW w:w="900" w:type="dxa"/>
            <w:vAlign w:val="bottom"/>
            <w:tcBorders>
              <w:bottom w:val="single" w:sz="8" w:color="E5EAF5"/>
            </w:tcBorders>
            <w:shd w:val="clear" w:color="auto" w:fill="E5EAF5"/>
          </w:tcPr>
          <w:p>
            <w:pPr>
              <w:jc w:val="center"/>
              <w:spacing w:after="0" w:line="155" w:lineRule="exact"/>
              <w:rPr>
                <w:sz w:val="20"/>
                <w:szCs w:val="20"/>
                <w:color w:val="auto"/>
              </w:rPr>
            </w:pPr>
            <w:r>
              <w:rPr>
                <w:rFonts w:ascii="Arial" w:cs="Arial" w:eastAsia="Arial" w:hAnsi="Arial"/>
                <w:sz w:val="14"/>
                <w:szCs w:val="14"/>
                <w:color w:val="auto"/>
                <w:w w:val="96"/>
              </w:rPr>
              <w:t>2/22/2018</w:t>
            </w:r>
          </w:p>
        </w:tc>
        <w:tc>
          <w:tcPr>
            <w:tcW w:w="780" w:type="dxa"/>
            <w:vAlign w:val="bottom"/>
            <w:tcBorders>
              <w:bottom w:val="single" w:sz="8" w:color="E5EAF5"/>
            </w:tcBorders>
            <w:shd w:val="clear" w:color="auto" w:fill="E5EAF5"/>
          </w:tcPr>
          <w:p>
            <w:pPr>
              <w:spacing w:after="0"/>
              <w:rPr>
                <w:sz w:val="14"/>
                <w:szCs w:val="14"/>
                <w:color w:val="auto"/>
              </w:rPr>
            </w:pPr>
          </w:p>
        </w:tc>
        <w:tc>
          <w:tcPr>
            <w:tcW w:w="760" w:type="dxa"/>
            <w:vAlign w:val="bottom"/>
            <w:tcBorders>
              <w:bottom w:val="single" w:sz="8" w:color="E5EAF5"/>
            </w:tcBorders>
            <w:shd w:val="clear" w:color="auto" w:fill="E5EAF5"/>
          </w:tcPr>
          <w:p>
            <w:pPr>
              <w:spacing w:after="0"/>
              <w:rPr>
                <w:sz w:val="14"/>
                <w:szCs w:val="14"/>
                <w:color w:val="auto"/>
              </w:rPr>
            </w:pPr>
          </w:p>
        </w:tc>
        <w:tc>
          <w:tcPr>
            <w:tcW w:w="760" w:type="dxa"/>
            <w:vAlign w:val="bottom"/>
            <w:tcBorders>
              <w:bottom w:val="single" w:sz="8" w:color="E5EAF5"/>
            </w:tcBorders>
            <w:shd w:val="clear" w:color="auto" w:fill="E5EAF5"/>
          </w:tcPr>
          <w:p>
            <w:pPr>
              <w:spacing w:after="0"/>
              <w:rPr>
                <w:sz w:val="14"/>
                <w:szCs w:val="14"/>
                <w:color w:val="auto"/>
              </w:rPr>
            </w:pPr>
          </w:p>
        </w:tc>
        <w:tc>
          <w:tcPr>
            <w:tcW w:w="760" w:type="dxa"/>
            <w:vAlign w:val="bottom"/>
            <w:tcBorders>
              <w:bottom w:val="single" w:sz="8" w:color="E5EAF5"/>
            </w:tcBorders>
            <w:shd w:val="clear" w:color="auto" w:fill="E5EAF5"/>
          </w:tcPr>
          <w:p>
            <w:pPr>
              <w:jc w:val="right"/>
              <w:ind w:right="14"/>
              <w:spacing w:after="0" w:line="155" w:lineRule="exact"/>
              <w:rPr>
                <w:sz w:val="20"/>
                <w:szCs w:val="20"/>
                <w:color w:val="auto"/>
              </w:rPr>
            </w:pPr>
            <w:r>
              <w:rPr>
                <w:rFonts w:ascii="Arial" w:cs="Arial" w:eastAsia="Arial" w:hAnsi="Arial"/>
                <w:sz w:val="14"/>
                <w:szCs w:val="14"/>
                <w:color w:val="auto"/>
              </w:rPr>
              <w:t>2,178</w:t>
            </w:r>
          </w:p>
        </w:tc>
        <w:tc>
          <w:tcPr>
            <w:tcW w:w="620" w:type="dxa"/>
            <w:vAlign w:val="bottom"/>
            <w:tcBorders>
              <w:bottom w:val="single" w:sz="8" w:color="E5EAF5"/>
            </w:tcBorders>
            <w:shd w:val="clear" w:color="auto" w:fill="E5EAF5"/>
          </w:tcPr>
          <w:p>
            <w:pPr>
              <w:jc w:val="right"/>
              <w:ind w:right="53"/>
              <w:spacing w:after="0" w:line="155" w:lineRule="exact"/>
              <w:rPr>
                <w:sz w:val="20"/>
                <w:szCs w:val="20"/>
                <w:color w:val="auto"/>
              </w:rPr>
            </w:pPr>
            <w:r>
              <w:rPr>
                <w:rFonts w:ascii="Arial" w:cs="Arial" w:eastAsia="Arial" w:hAnsi="Arial"/>
                <w:sz w:val="14"/>
                <w:szCs w:val="14"/>
                <w:color w:val="auto"/>
              </w:rPr>
              <w:t>4,357</w:t>
            </w:r>
          </w:p>
        </w:tc>
        <w:tc>
          <w:tcPr>
            <w:tcW w:w="640" w:type="dxa"/>
            <w:vAlign w:val="bottom"/>
            <w:tcBorders>
              <w:bottom w:val="single" w:sz="8" w:color="E5EAF5"/>
            </w:tcBorders>
            <w:shd w:val="clear" w:color="auto" w:fill="E5EAF5"/>
          </w:tcPr>
          <w:p>
            <w:pPr>
              <w:jc w:val="right"/>
              <w:spacing w:after="0" w:line="155" w:lineRule="exact"/>
              <w:rPr>
                <w:sz w:val="20"/>
                <w:szCs w:val="20"/>
                <w:color w:val="auto"/>
              </w:rPr>
            </w:pPr>
            <w:r>
              <w:rPr>
                <w:rFonts w:ascii="Arial" w:cs="Arial" w:eastAsia="Arial" w:hAnsi="Arial"/>
                <w:sz w:val="14"/>
                <w:szCs w:val="14"/>
                <w:color w:val="auto"/>
              </w:rPr>
              <w:t>8,714</w:t>
            </w:r>
          </w:p>
        </w:tc>
        <w:tc>
          <w:tcPr>
            <w:tcW w:w="780" w:type="dxa"/>
            <w:vAlign w:val="bottom"/>
            <w:tcBorders>
              <w:bottom w:val="single" w:sz="8" w:color="E5EAF5"/>
            </w:tcBorders>
            <w:shd w:val="clear" w:color="auto" w:fill="E5EAF5"/>
          </w:tcPr>
          <w:p>
            <w:pPr>
              <w:spacing w:after="0"/>
              <w:rPr>
                <w:sz w:val="14"/>
                <w:szCs w:val="14"/>
                <w:color w:val="auto"/>
              </w:rPr>
            </w:pPr>
          </w:p>
        </w:tc>
        <w:tc>
          <w:tcPr>
            <w:tcW w:w="780" w:type="dxa"/>
            <w:vAlign w:val="bottom"/>
            <w:tcBorders>
              <w:bottom w:val="single" w:sz="8" w:color="E5EAF5"/>
            </w:tcBorders>
            <w:shd w:val="clear" w:color="auto" w:fill="E5EAF5"/>
          </w:tcPr>
          <w:p>
            <w:pPr>
              <w:spacing w:after="0"/>
              <w:rPr>
                <w:sz w:val="14"/>
                <w:szCs w:val="14"/>
                <w:color w:val="auto"/>
              </w:rPr>
            </w:pPr>
          </w:p>
        </w:tc>
        <w:tc>
          <w:tcPr>
            <w:tcW w:w="700" w:type="dxa"/>
            <w:vAlign w:val="bottom"/>
            <w:tcBorders>
              <w:bottom w:val="single" w:sz="8" w:color="E5EAF5"/>
            </w:tcBorders>
            <w:shd w:val="clear" w:color="auto" w:fill="E5EAF5"/>
          </w:tcPr>
          <w:p>
            <w:pPr>
              <w:spacing w:after="0"/>
              <w:rPr>
                <w:sz w:val="14"/>
                <w:szCs w:val="14"/>
                <w:color w:val="auto"/>
              </w:rPr>
            </w:pPr>
          </w:p>
        </w:tc>
        <w:tc>
          <w:tcPr>
            <w:tcW w:w="780" w:type="dxa"/>
            <w:vAlign w:val="bottom"/>
            <w:tcBorders>
              <w:bottom w:val="single" w:sz="8" w:color="E5EAF5"/>
            </w:tcBorders>
            <w:shd w:val="clear" w:color="auto" w:fill="E5EAF5"/>
          </w:tcPr>
          <w:p>
            <w:pPr>
              <w:jc w:val="right"/>
              <w:ind w:right="34"/>
              <w:spacing w:after="0" w:line="155" w:lineRule="exact"/>
              <w:rPr>
                <w:sz w:val="20"/>
                <w:szCs w:val="20"/>
                <w:color w:val="auto"/>
              </w:rPr>
            </w:pPr>
            <w:r>
              <w:rPr>
                <w:rFonts w:ascii="Arial" w:cs="Arial" w:eastAsia="Arial" w:hAnsi="Arial"/>
                <w:sz w:val="14"/>
                <w:szCs w:val="14"/>
                <w:color w:val="auto"/>
              </w:rPr>
              <w:t>312,440</w:t>
            </w:r>
          </w:p>
        </w:tc>
        <w:tc>
          <w:tcPr>
            <w:tcW w:w="0" w:type="dxa"/>
            <w:vAlign w:val="bottom"/>
          </w:tcPr>
          <w:p>
            <w:pPr>
              <w:spacing w:after="0"/>
              <w:rPr>
                <w:sz w:val="1"/>
                <w:szCs w:val="1"/>
                <w:color w:val="auto"/>
              </w:rPr>
            </w:pPr>
          </w:p>
        </w:tc>
      </w:tr>
      <w:tr>
        <w:trPr>
          <w:trHeight w:val="169"/>
        </w:trPr>
        <w:tc>
          <w:tcPr>
            <w:tcW w:w="20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5"/>
              </w:rPr>
              <w:t>TSR PSU</w:t>
            </w:r>
          </w:p>
        </w:tc>
        <w:tc>
          <w:tcPr>
            <w:tcW w:w="900" w:type="dxa"/>
            <w:vAlign w:val="bottom"/>
          </w:tcPr>
          <w:p>
            <w:pPr>
              <w:jc w:val="center"/>
              <w:spacing w:after="0"/>
              <w:rPr>
                <w:sz w:val="20"/>
                <w:szCs w:val="20"/>
                <w:color w:val="auto"/>
              </w:rPr>
            </w:pPr>
            <w:r>
              <w:rPr>
                <w:rFonts w:ascii="Arial" w:cs="Arial" w:eastAsia="Arial" w:hAnsi="Arial"/>
                <w:sz w:val="14"/>
                <w:szCs w:val="14"/>
                <w:color w:val="auto"/>
                <w:w w:val="96"/>
              </w:rPr>
              <w:t>2/22/2018</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jc w:val="right"/>
              <w:ind w:right="14"/>
              <w:spacing w:after="0"/>
              <w:rPr>
                <w:sz w:val="20"/>
                <w:szCs w:val="20"/>
                <w:color w:val="auto"/>
              </w:rPr>
            </w:pPr>
            <w:r>
              <w:rPr>
                <w:rFonts w:ascii="Arial" w:cs="Arial" w:eastAsia="Arial" w:hAnsi="Arial"/>
                <w:sz w:val="14"/>
                <w:szCs w:val="14"/>
                <w:color w:val="auto"/>
              </w:rPr>
              <w:t>988</w:t>
            </w:r>
          </w:p>
        </w:tc>
        <w:tc>
          <w:tcPr>
            <w:tcW w:w="620" w:type="dxa"/>
            <w:vAlign w:val="bottom"/>
          </w:tcPr>
          <w:p>
            <w:pPr>
              <w:jc w:val="right"/>
              <w:ind w:right="53"/>
              <w:spacing w:after="0"/>
              <w:rPr>
                <w:sz w:val="20"/>
                <w:szCs w:val="20"/>
                <w:color w:val="auto"/>
              </w:rPr>
            </w:pPr>
            <w:r>
              <w:rPr>
                <w:rFonts w:ascii="Arial" w:cs="Arial" w:eastAsia="Arial" w:hAnsi="Arial"/>
                <w:sz w:val="14"/>
                <w:szCs w:val="14"/>
                <w:color w:val="auto"/>
              </w:rPr>
              <w:t>3,953</w:t>
            </w:r>
          </w:p>
        </w:tc>
        <w:tc>
          <w:tcPr>
            <w:tcW w:w="640" w:type="dxa"/>
            <w:vAlign w:val="bottom"/>
          </w:tcPr>
          <w:p>
            <w:pPr>
              <w:jc w:val="right"/>
              <w:spacing w:after="0"/>
              <w:rPr>
                <w:sz w:val="20"/>
                <w:szCs w:val="20"/>
                <w:color w:val="auto"/>
              </w:rPr>
            </w:pPr>
            <w:r>
              <w:rPr>
                <w:rFonts w:ascii="Arial" w:cs="Arial" w:eastAsia="Arial" w:hAnsi="Arial"/>
                <w:sz w:val="14"/>
                <w:szCs w:val="14"/>
                <w:color w:val="auto"/>
              </w:rPr>
              <w:t>7,906</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jc w:val="right"/>
              <w:ind w:right="34"/>
              <w:spacing w:after="0"/>
              <w:rPr>
                <w:sz w:val="20"/>
                <w:szCs w:val="20"/>
                <w:color w:val="auto"/>
              </w:rPr>
            </w:pPr>
            <w:r>
              <w:rPr>
                <w:rFonts w:ascii="Arial" w:cs="Arial" w:eastAsia="Arial" w:hAnsi="Arial"/>
                <w:sz w:val="14"/>
                <w:szCs w:val="14"/>
                <w:color w:val="auto"/>
              </w:rPr>
              <w:t>312,485</w:t>
            </w:r>
          </w:p>
        </w:tc>
        <w:tc>
          <w:tcPr>
            <w:tcW w:w="0" w:type="dxa"/>
            <w:vAlign w:val="bottom"/>
          </w:tcPr>
          <w:p>
            <w:pPr>
              <w:spacing w:after="0"/>
              <w:rPr>
                <w:sz w:val="1"/>
                <w:szCs w:val="1"/>
                <w:color w:val="auto"/>
              </w:rPr>
            </w:pPr>
          </w:p>
        </w:tc>
      </w:tr>
      <w:tr>
        <w:trPr>
          <w:trHeight w:val="162"/>
        </w:trPr>
        <w:tc>
          <w:tcPr>
            <w:tcW w:w="2080" w:type="dxa"/>
            <w:vAlign w:val="bottom"/>
            <w:tcBorders>
              <w:bottom w:val="single" w:sz="8" w:color="E5EAF5"/>
            </w:tcBorders>
            <w:shd w:val="clear" w:color="auto" w:fill="E5EAF5"/>
          </w:tcPr>
          <w:p>
            <w:pPr>
              <w:spacing w:after="0"/>
              <w:rPr>
                <w:sz w:val="14"/>
                <w:szCs w:val="14"/>
                <w:color w:val="auto"/>
              </w:rPr>
            </w:pPr>
          </w:p>
        </w:tc>
        <w:tc>
          <w:tcPr>
            <w:tcW w:w="680" w:type="dxa"/>
            <w:vAlign w:val="bottom"/>
            <w:tcBorders>
              <w:bottom w:val="single" w:sz="8" w:color="E5EAF5"/>
            </w:tcBorders>
            <w:shd w:val="clear" w:color="auto" w:fill="E5EAF5"/>
          </w:tcPr>
          <w:p>
            <w:pPr>
              <w:jc w:val="center"/>
              <w:ind w:left="13"/>
              <w:spacing w:after="0" w:line="155" w:lineRule="exact"/>
              <w:rPr>
                <w:sz w:val="20"/>
                <w:szCs w:val="20"/>
                <w:color w:val="auto"/>
              </w:rPr>
            </w:pPr>
            <w:r>
              <w:rPr>
                <w:rFonts w:ascii="Arial" w:cs="Arial" w:eastAsia="Arial" w:hAnsi="Arial"/>
                <w:sz w:val="14"/>
                <w:szCs w:val="14"/>
                <w:color w:val="auto"/>
                <w:w w:val="94"/>
              </w:rPr>
              <w:t>RSU</w:t>
            </w:r>
          </w:p>
        </w:tc>
        <w:tc>
          <w:tcPr>
            <w:tcW w:w="900" w:type="dxa"/>
            <w:vAlign w:val="bottom"/>
            <w:tcBorders>
              <w:bottom w:val="single" w:sz="8" w:color="E5EAF5"/>
            </w:tcBorders>
            <w:shd w:val="clear" w:color="auto" w:fill="E5EAF5"/>
          </w:tcPr>
          <w:p>
            <w:pPr>
              <w:jc w:val="center"/>
              <w:spacing w:after="0" w:line="155" w:lineRule="exact"/>
              <w:rPr>
                <w:sz w:val="20"/>
                <w:szCs w:val="20"/>
                <w:color w:val="auto"/>
              </w:rPr>
            </w:pPr>
            <w:r>
              <w:rPr>
                <w:rFonts w:ascii="Arial" w:cs="Arial" w:eastAsia="Arial" w:hAnsi="Arial"/>
                <w:sz w:val="14"/>
                <w:szCs w:val="14"/>
                <w:color w:val="auto"/>
                <w:w w:val="96"/>
              </w:rPr>
              <w:t>2/22/2018</w:t>
            </w:r>
          </w:p>
        </w:tc>
        <w:tc>
          <w:tcPr>
            <w:tcW w:w="780" w:type="dxa"/>
            <w:vAlign w:val="bottom"/>
            <w:tcBorders>
              <w:bottom w:val="single" w:sz="8" w:color="E5EAF5"/>
            </w:tcBorders>
            <w:shd w:val="clear" w:color="auto" w:fill="E5EAF5"/>
          </w:tcPr>
          <w:p>
            <w:pPr>
              <w:spacing w:after="0"/>
              <w:rPr>
                <w:sz w:val="14"/>
                <w:szCs w:val="14"/>
                <w:color w:val="auto"/>
              </w:rPr>
            </w:pPr>
          </w:p>
        </w:tc>
        <w:tc>
          <w:tcPr>
            <w:tcW w:w="760" w:type="dxa"/>
            <w:vAlign w:val="bottom"/>
            <w:tcBorders>
              <w:bottom w:val="single" w:sz="8" w:color="E5EAF5"/>
            </w:tcBorders>
            <w:shd w:val="clear" w:color="auto" w:fill="E5EAF5"/>
          </w:tcPr>
          <w:p>
            <w:pPr>
              <w:spacing w:after="0"/>
              <w:rPr>
                <w:sz w:val="14"/>
                <w:szCs w:val="14"/>
                <w:color w:val="auto"/>
              </w:rPr>
            </w:pPr>
          </w:p>
        </w:tc>
        <w:tc>
          <w:tcPr>
            <w:tcW w:w="760" w:type="dxa"/>
            <w:vAlign w:val="bottom"/>
            <w:tcBorders>
              <w:bottom w:val="single" w:sz="8" w:color="E5EAF5"/>
            </w:tcBorders>
            <w:shd w:val="clear" w:color="auto" w:fill="E5EAF5"/>
          </w:tcPr>
          <w:p>
            <w:pPr>
              <w:spacing w:after="0"/>
              <w:rPr>
                <w:sz w:val="14"/>
                <w:szCs w:val="14"/>
                <w:color w:val="auto"/>
              </w:rPr>
            </w:pPr>
          </w:p>
        </w:tc>
        <w:tc>
          <w:tcPr>
            <w:tcW w:w="760" w:type="dxa"/>
            <w:vAlign w:val="bottom"/>
            <w:tcBorders>
              <w:bottom w:val="single" w:sz="8" w:color="E5EAF5"/>
            </w:tcBorders>
            <w:shd w:val="clear" w:color="auto" w:fill="E5EAF5"/>
          </w:tcPr>
          <w:p>
            <w:pPr>
              <w:spacing w:after="0"/>
              <w:rPr>
                <w:sz w:val="14"/>
                <w:szCs w:val="14"/>
                <w:color w:val="auto"/>
              </w:rPr>
            </w:pPr>
          </w:p>
        </w:tc>
        <w:tc>
          <w:tcPr>
            <w:tcW w:w="620" w:type="dxa"/>
            <w:vAlign w:val="bottom"/>
            <w:tcBorders>
              <w:bottom w:val="single" w:sz="8" w:color="E5EAF5"/>
            </w:tcBorders>
            <w:shd w:val="clear" w:color="auto" w:fill="E5EAF5"/>
          </w:tcPr>
          <w:p>
            <w:pPr>
              <w:spacing w:after="0"/>
              <w:rPr>
                <w:sz w:val="14"/>
                <w:szCs w:val="14"/>
                <w:color w:val="auto"/>
              </w:rPr>
            </w:pPr>
          </w:p>
        </w:tc>
        <w:tc>
          <w:tcPr>
            <w:tcW w:w="640" w:type="dxa"/>
            <w:vAlign w:val="bottom"/>
            <w:tcBorders>
              <w:bottom w:val="single" w:sz="8" w:color="E5EAF5"/>
            </w:tcBorders>
            <w:shd w:val="clear" w:color="auto" w:fill="E5EAF5"/>
          </w:tcPr>
          <w:p>
            <w:pPr>
              <w:spacing w:after="0"/>
              <w:rPr>
                <w:sz w:val="14"/>
                <w:szCs w:val="14"/>
                <w:color w:val="auto"/>
              </w:rPr>
            </w:pPr>
          </w:p>
        </w:tc>
        <w:tc>
          <w:tcPr>
            <w:tcW w:w="780" w:type="dxa"/>
            <w:vAlign w:val="bottom"/>
            <w:tcBorders>
              <w:bottom w:val="single" w:sz="8" w:color="E5EAF5"/>
            </w:tcBorders>
            <w:shd w:val="clear" w:color="auto" w:fill="E5EAF5"/>
          </w:tcPr>
          <w:p>
            <w:pPr>
              <w:jc w:val="right"/>
              <w:spacing w:after="0" w:line="155" w:lineRule="exact"/>
              <w:rPr>
                <w:sz w:val="20"/>
                <w:szCs w:val="20"/>
                <w:color w:val="auto"/>
              </w:rPr>
            </w:pPr>
            <w:r>
              <w:rPr>
                <w:rFonts w:ascii="Arial" w:cs="Arial" w:eastAsia="Arial" w:hAnsi="Arial"/>
                <w:sz w:val="14"/>
                <w:szCs w:val="14"/>
                <w:color w:val="auto"/>
              </w:rPr>
              <w:t>4,323</w:t>
            </w:r>
          </w:p>
        </w:tc>
        <w:tc>
          <w:tcPr>
            <w:tcW w:w="780" w:type="dxa"/>
            <w:vAlign w:val="bottom"/>
            <w:tcBorders>
              <w:bottom w:val="single" w:sz="8" w:color="E5EAF5"/>
            </w:tcBorders>
            <w:shd w:val="clear" w:color="auto" w:fill="E5EAF5"/>
          </w:tcPr>
          <w:p>
            <w:pPr>
              <w:spacing w:after="0"/>
              <w:rPr>
                <w:sz w:val="14"/>
                <w:szCs w:val="14"/>
                <w:color w:val="auto"/>
              </w:rPr>
            </w:pPr>
          </w:p>
        </w:tc>
        <w:tc>
          <w:tcPr>
            <w:tcW w:w="700" w:type="dxa"/>
            <w:vAlign w:val="bottom"/>
            <w:tcBorders>
              <w:bottom w:val="single" w:sz="8" w:color="E5EAF5"/>
            </w:tcBorders>
            <w:shd w:val="clear" w:color="auto" w:fill="E5EAF5"/>
          </w:tcPr>
          <w:p>
            <w:pPr>
              <w:spacing w:after="0"/>
              <w:rPr>
                <w:sz w:val="14"/>
                <w:szCs w:val="14"/>
                <w:color w:val="auto"/>
              </w:rPr>
            </w:pPr>
          </w:p>
        </w:tc>
        <w:tc>
          <w:tcPr>
            <w:tcW w:w="780" w:type="dxa"/>
            <w:vAlign w:val="bottom"/>
            <w:tcBorders>
              <w:bottom w:val="single" w:sz="8" w:color="E5EAF5"/>
            </w:tcBorders>
            <w:shd w:val="clear" w:color="auto" w:fill="E5EAF5"/>
          </w:tcPr>
          <w:p>
            <w:pPr>
              <w:jc w:val="right"/>
              <w:ind w:right="34"/>
              <w:spacing w:after="0" w:line="155" w:lineRule="exact"/>
              <w:rPr>
                <w:sz w:val="20"/>
                <w:szCs w:val="20"/>
                <w:color w:val="auto"/>
              </w:rPr>
            </w:pPr>
            <w:r>
              <w:rPr>
                <w:rFonts w:ascii="Arial" w:cs="Arial" w:eastAsia="Arial" w:hAnsi="Arial"/>
                <w:sz w:val="14"/>
                <w:szCs w:val="14"/>
                <w:color w:val="auto"/>
              </w:rPr>
              <w:t>312,481</w:t>
            </w:r>
          </w:p>
        </w:tc>
        <w:tc>
          <w:tcPr>
            <w:tcW w:w="0" w:type="dxa"/>
            <w:vAlign w:val="bottom"/>
          </w:tcPr>
          <w:p>
            <w:pPr>
              <w:spacing w:after="0"/>
              <w:rPr>
                <w:sz w:val="1"/>
                <w:szCs w:val="1"/>
                <w:color w:val="auto"/>
              </w:rPr>
            </w:pPr>
          </w:p>
        </w:tc>
      </w:tr>
      <w:tr>
        <w:trPr>
          <w:trHeight w:val="162"/>
        </w:trPr>
        <w:tc>
          <w:tcPr>
            <w:tcW w:w="2080" w:type="dxa"/>
            <w:vAlign w:val="bottom"/>
          </w:tcPr>
          <w:p>
            <w:pPr>
              <w:spacing w:after="0"/>
              <w:rPr>
                <w:sz w:val="14"/>
                <w:szCs w:val="14"/>
                <w:color w:val="auto"/>
              </w:rPr>
            </w:pPr>
          </w:p>
        </w:tc>
        <w:tc>
          <w:tcPr>
            <w:tcW w:w="680" w:type="dxa"/>
            <w:vAlign w:val="bottom"/>
          </w:tcPr>
          <w:p>
            <w:pPr>
              <w:jc w:val="center"/>
              <w:ind w:left="13"/>
              <w:spacing w:after="0"/>
              <w:rPr>
                <w:sz w:val="20"/>
                <w:szCs w:val="20"/>
                <w:color w:val="auto"/>
              </w:rPr>
            </w:pPr>
            <w:r>
              <w:rPr>
                <w:rFonts w:ascii="Arial" w:cs="Arial" w:eastAsia="Arial" w:hAnsi="Arial"/>
                <w:sz w:val="14"/>
                <w:szCs w:val="14"/>
                <w:color w:val="auto"/>
                <w:w w:val="96"/>
              </w:rPr>
              <w:t>Option</w:t>
            </w:r>
          </w:p>
        </w:tc>
        <w:tc>
          <w:tcPr>
            <w:tcW w:w="900" w:type="dxa"/>
            <w:vAlign w:val="bottom"/>
          </w:tcPr>
          <w:p>
            <w:pPr>
              <w:ind w:left="260"/>
              <w:spacing w:after="0"/>
              <w:rPr>
                <w:sz w:val="20"/>
                <w:szCs w:val="20"/>
                <w:color w:val="auto"/>
              </w:rPr>
            </w:pPr>
            <w:r>
              <w:rPr>
                <w:rFonts w:ascii="Arial" w:cs="Arial" w:eastAsia="Arial" w:hAnsi="Arial"/>
                <w:sz w:val="14"/>
                <w:szCs w:val="14"/>
                <w:color w:val="auto"/>
                <w:w w:val="99"/>
              </w:rPr>
              <w:t>2/22/2018</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17,438</w:t>
            </w:r>
          </w:p>
        </w:tc>
        <w:tc>
          <w:tcPr>
            <w:tcW w:w="700" w:type="dxa"/>
            <w:vAlign w:val="bottom"/>
          </w:tcPr>
          <w:p>
            <w:pPr>
              <w:jc w:val="right"/>
              <w:spacing w:after="0"/>
              <w:rPr>
                <w:sz w:val="20"/>
                <w:szCs w:val="20"/>
                <w:color w:val="auto"/>
              </w:rPr>
            </w:pPr>
            <w:r>
              <w:rPr>
                <w:rFonts w:ascii="Arial" w:cs="Arial" w:eastAsia="Arial" w:hAnsi="Arial"/>
                <w:sz w:val="14"/>
                <w:szCs w:val="14"/>
                <w:color w:val="auto"/>
              </w:rPr>
              <w:t>73.45</w:t>
            </w:r>
          </w:p>
        </w:tc>
        <w:tc>
          <w:tcPr>
            <w:tcW w:w="780" w:type="dxa"/>
            <w:vAlign w:val="bottom"/>
          </w:tcPr>
          <w:p>
            <w:pPr>
              <w:jc w:val="right"/>
              <w:ind w:right="34"/>
              <w:spacing w:after="0"/>
              <w:rPr>
                <w:sz w:val="20"/>
                <w:szCs w:val="20"/>
                <w:color w:val="auto"/>
              </w:rPr>
            </w:pPr>
            <w:r>
              <w:rPr>
                <w:rFonts w:ascii="Arial" w:cs="Arial" w:eastAsia="Arial" w:hAnsi="Arial"/>
                <w:sz w:val="14"/>
                <w:szCs w:val="14"/>
                <w:color w:val="auto"/>
              </w:rPr>
              <w:t>312,489</w:t>
            </w:r>
          </w:p>
        </w:tc>
        <w:tc>
          <w:tcPr>
            <w:tcW w:w="0" w:type="dxa"/>
            <w:vAlign w:val="bottom"/>
          </w:tcPr>
          <w:p>
            <w:pPr>
              <w:spacing w:after="0"/>
              <w:rPr>
                <w:sz w:val="1"/>
                <w:szCs w:val="1"/>
                <w:color w:val="auto"/>
              </w:rPr>
            </w:pPr>
          </w:p>
        </w:tc>
      </w:tr>
      <w:tr>
        <w:trPr>
          <w:trHeight w:val="27"/>
        </w:trPr>
        <w:tc>
          <w:tcPr>
            <w:tcW w:w="2080" w:type="dxa"/>
            <w:vAlign w:val="bottom"/>
            <w:tcBorders>
              <w:bottom w:val="single" w:sz="8" w:color="0033A0"/>
            </w:tcBorders>
          </w:tcPr>
          <w:p>
            <w:pPr>
              <w:spacing w:after="0"/>
              <w:rPr>
                <w:sz w:val="2"/>
                <w:szCs w:val="2"/>
                <w:color w:val="auto"/>
              </w:rPr>
            </w:pPr>
          </w:p>
        </w:tc>
        <w:tc>
          <w:tcPr>
            <w:tcW w:w="680" w:type="dxa"/>
            <w:vAlign w:val="bottom"/>
            <w:tcBorders>
              <w:bottom w:val="single" w:sz="8" w:color="0033A0"/>
            </w:tcBorders>
          </w:tcPr>
          <w:p>
            <w:pPr>
              <w:spacing w:after="0"/>
              <w:rPr>
                <w:sz w:val="2"/>
                <w:szCs w:val="2"/>
                <w:color w:val="auto"/>
              </w:rPr>
            </w:pPr>
          </w:p>
        </w:tc>
        <w:tc>
          <w:tcPr>
            <w:tcW w:w="900" w:type="dxa"/>
            <w:vAlign w:val="bottom"/>
            <w:tcBorders>
              <w:bottom w:val="single" w:sz="8" w:color="0033A0"/>
            </w:tcBorders>
          </w:tcPr>
          <w:p>
            <w:pPr>
              <w:spacing w:after="0"/>
              <w:rPr>
                <w:sz w:val="2"/>
                <w:szCs w:val="2"/>
                <w:color w:val="auto"/>
              </w:rPr>
            </w:pPr>
          </w:p>
        </w:tc>
        <w:tc>
          <w:tcPr>
            <w:tcW w:w="780" w:type="dxa"/>
            <w:vAlign w:val="bottom"/>
            <w:tcBorders>
              <w:bottom w:val="single" w:sz="8" w:color="0033A0"/>
            </w:tcBorders>
          </w:tcPr>
          <w:p>
            <w:pPr>
              <w:spacing w:after="0"/>
              <w:rPr>
                <w:sz w:val="2"/>
                <w:szCs w:val="2"/>
                <w:color w:val="auto"/>
              </w:rPr>
            </w:pPr>
          </w:p>
        </w:tc>
        <w:tc>
          <w:tcPr>
            <w:tcW w:w="760" w:type="dxa"/>
            <w:vAlign w:val="bottom"/>
            <w:tcBorders>
              <w:bottom w:val="single" w:sz="8" w:color="0033A0"/>
            </w:tcBorders>
          </w:tcPr>
          <w:p>
            <w:pPr>
              <w:spacing w:after="0"/>
              <w:rPr>
                <w:sz w:val="2"/>
                <w:szCs w:val="2"/>
                <w:color w:val="auto"/>
              </w:rPr>
            </w:pPr>
          </w:p>
        </w:tc>
        <w:tc>
          <w:tcPr>
            <w:tcW w:w="760" w:type="dxa"/>
            <w:vAlign w:val="bottom"/>
            <w:tcBorders>
              <w:bottom w:val="single" w:sz="8" w:color="0033A0"/>
            </w:tcBorders>
          </w:tcPr>
          <w:p>
            <w:pPr>
              <w:spacing w:after="0"/>
              <w:rPr>
                <w:sz w:val="2"/>
                <w:szCs w:val="2"/>
                <w:color w:val="auto"/>
              </w:rPr>
            </w:pPr>
          </w:p>
        </w:tc>
        <w:tc>
          <w:tcPr>
            <w:tcW w:w="760" w:type="dxa"/>
            <w:vAlign w:val="bottom"/>
            <w:tcBorders>
              <w:bottom w:val="single" w:sz="8" w:color="0033A0"/>
            </w:tcBorders>
          </w:tcPr>
          <w:p>
            <w:pPr>
              <w:spacing w:after="0"/>
              <w:rPr>
                <w:sz w:val="2"/>
                <w:szCs w:val="2"/>
                <w:color w:val="auto"/>
              </w:rPr>
            </w:pPr>
          </w:p>
        </w:tc>
        <w:tc>
          <w:tcPr>
            <w:tcW w:w="620" w:type="dxa"/>
            <w:vAlign w:val="bottom"/>
            <w:tcBorders>
              <w:bottom w:val="single" w:sz="8" w:color="0033A0"/>
            </w:tcBorders>
          </w:tcPr>
          <w:p>
            <w:pPr>
              <w:spacing w:after="0"/>
              <w:rPr>
                <w:sz w:val="2"/>
                <w:szCs w:val="2"/>
                <w:color w:val="auto"/>
              </w:rPr>
            </w:pPr>
          </w:p>
        </w:tc>
        <w:tc>
          <w:tcPr>
            <w:tcW w:w="640" w:type="dxa"/>
            <w:vAlign w:val="bottom"/>
            <w:tcBorders>
              <w:bottom w:val="single" w:sz="8" w:color="0033A0"/>
            </w:tcBorders>
          </w:tcPr>
          <w:p>
            <w:pPr>
              <w:spacing w:after="0"/>
              <w:rPr>
                <w:sz w:val="2"/>
                <w:szCs w:val="2"/>
                <w:color w:val="auto"/>
              </w:rPr>
            </w:pPr>
          </w:p>
        </w:tc>
        <w:tc>
          <w:tcPr>
            <w:tcW w:w="780" w:type="dxa"/>
            <w:vAlign w:val="bottom"/>
            <w:tcBorders>
              <w:bottom w:val="single" w:sz="8" w:color="0033A0"/>
            </w:tcBorders>
          </w:tcPr>
          <w:p>
            <w:pPr>
              <w:spacing w:after="0"/>
              <w:rPr>
                <w:sz w:val="2"/>
                <w:szCs w:val="2"/>
                <w:color w:val="auto"/>
              </w:rPr>
            </w:pPr>
          </w:p>
        </w:tc>
        <w:tc>
          <w:tcPr>
            <w:tcW w:w="780" w:type="dxa"/>
            <w:vAlign w:val="bottom"/>
            <w:tcBorders>
              <w:bottom w:val="single" w:sz="8" w:color="0033A0"/>
            </w:tcBorders>
          </w:tcPr>
          <w:p>
            <w:pPr>
              <w:spacing w:after="0"/>
              <w:rPr>
                <w:sz w:val="2"/>
                <w:szCs w:val="2"/>
                <w:color w:val="auto"/>
              </w:rPr>
            </w:pPr>
          </w:p>
        </w:tc>
        <w:tc>
          <w:tcPr>
            <w:tcW w:w="700" w:type="dxa"/>
            <w:vAlign w:val="bottom"/>
            <w:tcBorders>
              <w:bottom w:val="single" w:sz="8" w:color="0033A0"/>
            </w:tcBorders>
          </w:tcPr>
          <w:p>
            <w:pPr>
              <w:spacing w:after="0"/>
              <w:rPr>
                <w:sz w:val="2"/>
                <w:szCs w:val="2"/>
                <w:color w:val="auto"/>
              </w:rPr>
            </w:pPr>
          </w:p>
        </w:tc>
        <w:tc>
          <w:tcPr>
            <w:tcW w:w="780" w:type="dxa"/>
            <w:vAlign w:val="bottom"/>
            <w:tcBorders>
              <w:bottom w:val="single" w:sz="8" w:color="0033A0"/>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111506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174" w:lineRule="exact"/>
        <w:rPr>
          <w:sz w:val="20"/>
          <w:szCs w:val="20"/>
          <w:color w:val="auto"/>
        </w:rPr>
      </w:pPr>
    </w:p>
    <w:p>
      <w:pPr>
        <w:ind w:left="520" w:right="160" w:hanging="316"/>
        <w:spacing w:after="0" w:line="182" w:lineRule="auto"/>
        <w:tabs>
          <w:tab w:leader="none" w:pos="520" w:val="left"/>
        </w:tabs>
        <w:numPr>
          <w:ilvl w:val="0"/>
          <w:numId w:val="47"/>
        </w:numPr>
        <w:rPr>
          <w:rFonts w:ascii="Arial" w:cs="Arial" w:eastAsia="Arial" w:hAnsi="Arial"/>
          <w:sz w:val="23"/>
          <w:szCs w:val="23"/>
          <w:color w:val="auto"/>
          <w:vertAlign w:val="superscript"/>
        </w:rPr>
      </w:pPr>
      <w:r>
        <w:rPr>
          <w:rFonts w:ascii="Arial" w:cs="Arial" w:eastAsia="Arial" w:hAnsi="Arial"/>
          <w:sz w:val="14"/>
          <w:szCs w:val="14"/>
          <w:color w:val="auto"/>
        </w:rPr>
        <w:t>The Internal Metric PSUs and Relative TSR PSUs granted to Messrs. Pertz, Domanico, Beech, Marshall and Zukerman were granted on February 22, 2018 under the 2017 Equity Incentive Plan (see “Equity Award Grants” on page 48).</w:t>
      </w:r>
    </w:p>
    <w:p>
      <w:pPr>
        <w:spacing w:after="0" w:line="1" w:lineRule="exact"/>
        <w:rPr>
          <w:rFonts w:ascii="Arial" w:cs="Arial" w:eastAsia="Arial" w:hAnsi="Arial"/>
          <w:sz w:val="23"/>
          <w:szCs w:val="23"/>
          <w:color w:val="auto"/>
          <w:vertAlign w:val="superscript"/>
        </w:rPr>
      </w:pPr>
    </w:p>
    <w:p>
      <w:pPr>
        <w:ind w:left="520" w:right="40" w:hanging="316"/>
        <w:spacing w:after="0" w:line="182" w:lineRule="auto"/>
        <w:tabs>
          <w:tab w:leader="none" w:pos="520" w:val="left"/>
        </w:tabs>
        <w:numPr>
          <w:ilvl w:val="0"/>
          <w:numId w:val="47"/>
        </w:numPr>
        <w:rPr>
          <w:rFonts w:ascii="Arial" w:cs="Arial" w:eastAsia="Arial" w:hAnsi="Arial"/>
          <w:sz w:val="23"/>
          <w:szCs w:val="23"/>
          <w:color w:val="auto"/>
          <w:vertAlign w:val="superscript"/>
        </w:rPr>
      </w:pPr>
      <w:r>
        <w:rPr>
          <w:rFonts w:ascii="Arial" w:cs="Arial" w:eastAsia="Arial" w:hAnsi="Arial"/>
          <w:sz w:val="14"/>
          <w:szCs w:val="14"/>
          <w:color w:val="auto"/>
        </w:rPr>
        <w:t>Amounts in this column represent annual incentive targets under the EIP for 2018 paid in 2019. Payouts can range from 0% to 200% of target. Actual payouts under the EIP are included in the “non-equity incentive plan compensation” column of the Summary Compensation Table on page 44.</w:t>
      </w:r>
    </w:p>
    <w:p>
      <w:pPr>
        <w:spacing w:after="0" w:line="1" w:lineRule="exact"/>
        <w:rPr>
          <w:rFonts w:ascii="Arial" w:cs="Arial" w:eastAsia="Arial" w:hAnsi="Arial"/>
          <w:sz w:val="23"/>
          <w:szCs w:val="23"/>
          <w:color w:val="auto"/>
          <w:vertAlign w:val="superscript"/>
        </w:rPr>
      </w:pPr>
    </w:p>
    <w:p>
      <w:pPr>
        <w:ind w:left="520" w:right="100" w:hanging="316"/>
        <w:spacing w:after="0" w:line="211" w:lineRule="auto"/>
        <w:tabs>
          <w:tab w:leader="none" w:pos="520" w:val="left"/>
        </w:tabs>
        <w:numPr>
          <w:ilvl w:val="0"/>
          <w:numId w:val="47"/>
        </w:numPr>
        <w:rPr>
          <w:rFonts w:ascii="Arial" w:cs="Arial" w:eastAsia="Arial" w:hAnsi="Arial"/>
          <w:sz w:val="24"/>
          <w:szCs w:val="24"/>
          <w:color w:val="auto"/>
          <w:vertAlign w:val="superscript"/>
        </w:rPr>
      </w:pPr>
      <w:r>
        <w:rPr>
          <w:rFonts w:ascii="Arial" w:cs="Arial" w:eastAsia="Arial" w:hAnsi="Arial"/>
          <w:sz w:val="14"/>
          <w:szCs w:val="14"/>
          <w:color w:val="auto"/>
        </w:rPr>
        <w:t>Amounts in this column represent Relative TSR PSUs awarded for the 2018-2020 performance measurement period. In 2021, the Compensation Committee will determine the PSU payout based on the Company’s Relative TSR compared to S&amp;P MidCap 400 companies with foreign revenues that exceed 50% of total revenues, multiplied by the number of target units. The number of TSR PSUs ultimately paid can range from 0% to 200% of the PSUs awarded. There is no minimum number of shares that will be paid under these awards. Because payment will be made in shares of Brink’s Common Stock, the actual value of the earned awards is based on the price of Brink’s Common Stock at the time of payment.</w:t>
      </w:r>
    </w:p>
    <w:p>
      <w:pPr>
        <w:spacing w:after="0" w:line="1" w:lineRule="exact"/>
        <w:rPr>
          <w:rFonts w:ascii="Arial" w:cs="Arial" w:eastAsia="Arial" w:hAnsi="Arial"/>
          <w:sz w:val="24"/>
          <w:szCs w:val="24"/>
          <w:color w:val="auto"/>
          <w:vertAlign w:val="superscript"/>
        </w:rPr>
      </w:pPr>
    </w:p>
    <w:p>
      <w:pPr>
        <w:ind w:left="520" w:right="40" w:hanging="316"/>
        <w:spacing w:after="0"/>
        <w:tabs>
          <w:tab w:leader="none" w:pos="520" w:val="left"/>
        </w:tabs>
        <w:numPr>
          <w:ilvl w:val="0"/>
          <w:numId w:val="47"/>
        </w:numPr>
        <w:rPr>
          <w:rFonts w:ascii="Arial" w:cs="Arial" w:eastAsia="Arial" w:hAnsi="Arial"/>
          <w:sz w:val="24"/>
          <w:szCs w:val="24"/>
          <w:color w:val="auto"/>
          <w:vertAlign w:val="superscript"/>
        </w:rPr>
      </w:pPr>
      <w:r>
        <w:rPr>
          <w:rFonts w:ascii="Arial" w:cs="Arial" w:eastAsia="Arial" w:hAnsi="Arial"/>
          <w:sz w:val="14"/>
          <w:szCs w:val="14"/>
          <w:color w:val="auto"/>
        </w:rPr>
        <w:t>Amounts in this column represent Internal Metric PSUs awarded for the 2018-2020 performance measurement period. The Compensation Committee will determine the performance of the Company against pre-established goals to determine payout of Internal Metric PSU awards, if any, in 2021. The number of Internal Metric PSUs ultimately paid can range from 0% to 200% of the PSUs awarded. There is no minimum number of shares that will be paid under the Internal Metric PSU awards. Because payment will be made in shares of Brink’s Common Stock, the actual value of the earned awards is based on the price of Brink’s Common Stock at the time of payment.</w:t>
      </w:r>
    </w:p>
    <w:p>
      <w:pPr>
        <w:spacing w:after="0" w:line="51" w:lineRule="exact"/>
        <w:rPr>
          <w:rFonts w:ascii="Arial" w:cs="Arial" w:eastAsia="Arial" w:hAnsi="Arial"/>
          <w:sz w:val="24"/>
          <w:szCs w:val="24"/>
          <w:color w:val="auto"/>
          <w:vertAlign w:val="superscript"/>
        </w:rPr>
      </w:pPr>
    </w:p>
    <w:p>
      <w:pPr>
        <w:ind w:left="520" w:right="180" w:hanging="316"/>
        <w:spacing w:after="0" w:line="182" w:lineRule="auto"/>
        <w:tabs>
          <w:tab w:leader="none" w:pos="520" w:val="left"/>
        </w:tabs>
        <w:numPr>
          <w:ilvl w:val="0"/>
          <w:numId w:val="47"/>
        </w:numPr>
        <w:rPr>
          <w:rFonts w:ascii="Arial" w:cs="Arial" w:eastAsia="Arial" w:hAnsi="Arial"/>
          <w:sz w:val="23"/>
          <w:szCs w:val="23"/>
          <w:color w:val="auto"/>
          <w:vertAlign w:val="superscript"/>
        </w:rPr>
      </w:pPr>
      <w:r>
        <w:rPr>
          <w:rFonts w:ascii="Arial" w:cs="Arial" w:eastAsia="Arial" w:hAnsi="Arial"/>
          <w:sz w:val="14"/>
          <w:szCs w:val="14"/>
          <w:color w:val="auto"/>
        </w:rPr>
        <w:t>In accordance with the 2017 Equity Incentive Plan, the exercise price for the Options reported in this column was based on the closing price of Brink’s Common Stock on February 22, 2018, the date of the grant, as reported on the New York Stock Exchange.</w:t>
      </w:r>
    </w:p>
    <w:p>
      <w:pPr>
        <w:spacing w:after="0" w:line="1" w:lineRule="exact"/>
        <w:rPr>
          <w:rFonts w:ascii="Arial" w:cs="Arial" w:eastAsia="Arial" w:hAnsi="Arial"/>
          <w:sz w:val="23"/>
          <w:szCs w:val="23"/>
          <w:color w:val="auto"/>
          <w:vertAlign w:val="superscript"/>
        </w:rPr>
      </w:pPr>
    </w:p>
    <w:p>
      <w:pPr>
        <w:ind w:left="520" w:right="80" w:hanging="316"/>
        <w:spacing w:after="0" w:line="221" w:lineRule="auto"/>
        <w:tabs>
          <w:tab w:leader="none" w:pos="520" w:val="left"/>
        </w:tabs>
        <w:numPr>
          <w:ilvl w:val="0"/>
          <w:numId w:val="47"/>
        </w:numPr>
        <w:rPr>
          <w:rFonts w:ascii="Arial" w:cs="Arial" w:eastAsia="Arial" w:hAnsi="Arial"/>
          <w:sz w:val="24"/>
          <w:szCs w:val="24"/>
          <w:color w:val="auto"/>
          <w:vertAlign w:val="superscript"/>
        </w:rPr>
      </w:pPr>
      <w:r>
        <w:rPr>
          <w:rFonts w:ascii="Arial" w:cs="Arial" w:eastAsia="Arial" w:hAnsi="Arial"/>
          <w:sz w:val="14"/>
          <w:szCs w:val="14"/>
          <w:color w:val="auto"/>
        </w:rPr>
        <w:t>For the Relative TSR PSUs and Options, the grant date fair value was computed in accordance with FASB ASC Topic 718 based on a Monte Carlo simulation model. Under that model, the TSR PSU awards had a grant date fair value of $79.05 (February 22, 2018 grant date) per share and the Option awards for all named executive officers other than Mr. Pertz had a grant date value of $17.92 per share. Option awards for Mr. Pertz had grant date fair values of $17.92 (for the awards with a performance condition of 25% stock price appreciation) and $15.23 (for the awards with a performance condition of 50% stock price appreciation). For Internal Metric PSU awards and RSU awards, the grant date fair value was computed in accordance with FASB ASC Topic 718 based on the stock price at the grant date and discounted because units do not receive or accrue dividends during the vesting period. Accordingly, for the 2018 Internal Metric PSU awards, which vest at the end of a three-year service period, the grant date fair value was $71.71 per share. For the RSU awards, which vest ratably over a three-year service period, the weighted average grant date fair value was $72.28 per share.</w:t>
      </w:r>
    </w:p>
    <w:p>
      <w:pPr>
        <w:spacing w:after="0" w:line="4" w:lineRule="exact"/>
        <w:rPr>
          <w:rFonts w:ascii="Arial" w:cs="Arial" w:eastAsia="Arial" w:hAnsi="Arial"/>
          <w:sz w:val="24"/>
          <w:szCs w:val="24"/>
          <w:color w:val="auto"/>
          <w:vertAlign w:val="superscript"/>
        </w:rPr>
      </w:pPr>
    </w:p>
    <w:p>
      <w:pPr>
        <w:ind w:left="520" w:right="500" w:hanging="316"/>
        <w:spacing w:after="0" w:line="183" w:lineRule="auto"/>
        <w:tabs>
          <w:tab w:leader="none" w:pos="520" w:val="left"/>
        </w:tabs>
        <w:numPr>
          <w:ilvl w:val="0"/>
          <w:numId w:val="47"/>
        </w:numPr>
        <w:rPr>
          <w:rFonts w:ascii="Arial" w:cs="Arial" w:eastAsia="Arial" w:hAnsi="Arial"/>
          <w:sz w:val="24"/>
          <w:szCs w:val="24"/>
          <w:color w:val="auto"/>
          <w:vertAlign w:val="superscript"/>
        </w:rPr>
      </w:pPr>
      <w:r>
        <w:rPr>
          <w:rFonts w:ascii="Arial" w:cs="Arial" w:eastAsia="Arial" w:hAnsi="Arial"/>
          <w:sz w:val="14"/>
          <w:szCs w:val="14"/>
          <w:color w:val="auto"/>
        </w:rPr>
        <w:t>Mr. Marshall was no longer serving as an executive officer as of January 1, 2019. As a result, these awards have been forfeited, except for a portion of the RSUs awarded in 2018, which vested in February 2019.</w:t>
      </w:r>
    </w:p>
    <w:p>
      <w:pPr>
        <w:spacing w:after="0" w:line="135" w:lineRule="exact"/>
        <w:rPr>
          <w:sz w:val="20"/>
          <w:szCs w:val="20"/>
          <w:color w:val="auto"/>
        </w:rPr>
      </w:pPr>
    </w:p>
    <w:tbl>
      <w:tblPr>
        <w:tblLayout w:type="fixed"/>
        <w:tblInd w:w="8820" w:type="dxa"/>
        <w:tblCellMar>
          <w:top w:w="0" w:type="dxa"/>
          <w:left w:w="0" w:type="dxa"/>
          <w:bottom w:w="0" w:type="dxa"/>
          <w:right w:w="0" w:type="dxa"/>
        </w:tblCellMar>
      </w:tblPr>
      <w:tr>
        <w:trPr>
          <w:trHeight w:val="297"/>
        </w:trPr>
        <w:tc>
          <w:tcPr>
            <w:tcW w:w="1900" w:type="dxa"/>
            <w:vAlign w:val="bottom"/>
            <w:tcBorders>
              <w:right w:val="single" w:sz="8" w:color="0033A0"/>
            </w:tcBorders>
          </w:tcPr>
          <w:p>
            <w:pPr>
              <w:spacing w:after="0"/>
              <w:rPr>
                <w:sz w:val="20"/>
                <w:szCs w:val="20"/>
                <w:color w:val="auto"/>
              </w:rPr>
            </w:pPr>
            <w:r>
              <w:rPr>
                <w:rFonts w:ascii="Arial" w:cs="Arial" w:eastAsia="Arial" w:hAnsi="Arial"/>
                <w:sz w:val="18"/>
                <w:szCs w:val="18"/>
                <w:i w:val="1"/>
                <w:iCs w:val="1"/>
                <w:color w:val="auto"/>
              </w:rPr>
              <w:t>2019 Proxy Statement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-170815</wp:posOffset>
            </wp:positionV>
            <wp:extent cx="720090" cy="12890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0090" cy="12890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0033A0"/>
        </w:rPr>
        <w:t>The Brink’s Company</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auto"/>
        </w:rPr>
        <w:t>Equity Award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68580</wp:posOffset>
            </wp:positionV>
            <wp:extent cx="69977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336" w:lineRule="exact"/>
        <w:rPr>
          <w:sz w:val="20"/>
          <w:szCs w:val="20"/>
          <w:color w:val="auto"/>
        </w:rPr>
      </w:pPr>
    </w:p>
    <w:p>
      <w:pPr>
        <w:ind w:left="220" w:right="40"/>
        <w:spacing w:after="0" w:line="236" w:lineRule="auto"/>
        <w:rPr>
          <w:sz w:val="20"/>
          <w:szCs w:val="20"/>
          <w:color w:val="auto"/>
        </w:rPr>
      </w:pPr>
      <w:r>
        <w:rPr>
          <w:rFonts w:ascii="Arial" w:cs="Arial" w:eastAsia="Arial" w:hAnsi="Arial"/>
          <w:sz w:val="18"/>
          <w:szCs w:val="18"/>
          <w:color w:val="auto"/>
        </w:rPr>
        <w:t>The 2017 Equity Incentive Plan, which was approved by the Company’s shareholders in May 2017, is designed to provide an additional incentive for the officers and employees who are key to the Company’s success. The Compensation Committee administers the 2017 Equity Incentive Plan, is authorized to select key employees of the Company and its subsidiaries to participate in the 2017 Equity Incentive Plan and has the sole discretion to grant eligible participants equity awards, including options, stock appreciation rights, restricted stock, performance stock, restricted stock units, performance stock units, other stock-based awards, cash awards, or any combination thereof.</w:t>
      </w:r>
    </w:p>
    <w:p>
      <w:pPr>
        <w:spacing w:after="0" w:line="98" w:lineRule="exact"/>
        <w:rPr>
          <w:sz w:val="20"/>
          <w:szCs w:val="20"/>
          <w:color w:val="auto"/>
        </w:rPr>
      </w:pPr>
    </w:p>
    <w:p>
      <w:pPr>
        <w:ind w:left="220"/>
        <w:spacing w:after="0" w:line="236" w:lineRule="auto"/>
        <w:rPr>
          <w:sz w:val="20"/>
          <w:szCs w:val="20"/>
          <w:color w:val="auto"/>
        </w:rPr>
      </w:pPr>
      <w:r>
        <w:rPr>
          <w:rFonts w:ascii="Arial" w:cs="Arial" w:eastAsia="Arial" w:hAnsi="Arial"/>
          <w:sz w:val="18"/>
          <w:szCs w:val="18"/>
          <w:color w:val="auto"/>
        </w:rPr>
        <w:t>The exercise price of any stock option, the grant price of any stock appreciation right, and the purchase price of any security that may be purchased under any other stock-based award may not be less than 100% of the fair market value of the stock or other security on the date of the grant of the option, right or award. Under the 2017 Equity Incentive Plan, determinations of the fair market value of shares of Brink’s Common Stock are based on the closing price on the grant date and determinations of fair market value with respect to other instruments are made in accordance with methods or procedures established by the Compensation Committee.</w:t>
      </w:r>
    </w:p>
    <w:p>
      <w:pPr>
        <w:spacing w:after="0" w:line="98" w:lineRule="exact"/>
        <w:rPr>
          <w:sz w:val="20"/>
          <w:szCs w:val="20"/>
          <w:color w:val="auto"/>
        </w:rPr>
      </w:pPr>
    </w:p>
    <w:p>
      <w:pPr>
        <w:ind w:left="220"/>
        <w:spacing w:after="0" w:line="236" w:lineRule="auto"/>
        <w:rPr>
          <w:sz w:val="20"/>
          <w:szCs w:val="20"/>
          <w:color w:val="auto"/>
        </w:rPr>
      </w:pPr>
      <w:r>
        <w:rPr>
          <w:rFonts w:ascii="Arial" w:cs="Arial" w:eastAsia="Arial" w:hAnsi="Arial"/>
          <w:sz w:val="18"/>
          <w:szCs w:val="18"/>
          <w:color w:val="auto"/>
        </w:rPr>
        <w:t>PSU awards granted under the 2017 Equity Incentive Plan have specific terms and conditions approved by the Compensation Committee. In general, PSUs are canceled following termination of employment. Upon termination of employment by reason of the holder’s retirement or permanent and total disability, PSUs remain outstanding and continue to vest in accordance with their terms. In the event of the holder’s death while employed, the holder’s beneficiary will be entitled to receive a pro-rata portion of the number of shares that would have been payable under PSU awards notwithstanding the holder’s death, based on the number of days in the performance period that elapsed prior to termination. For a description of the treatment of PSU awards upon change in control, see page 39.</w:t>
      </w:r>
    </w:p>
    <w:p>
      <w:pPr>
        <w:spacing w:after="0" w:line="96" w:lineRule="exact"/>
        <w:rPr>
          <w:sz w:val="20"/>
          <w:szCs w:val="20"/>
          <w:color w:val="auto"/>
        </w:rPr>
      </w:pPr>
    </w:p>
    <w:p>
      <w:pPr>
        <w:ind w:left="220" w:right="120"/>
        <w:spacing w:after="0" w:line="238" w:lineRule="auto"/>
        <w:rPr>
          <w:sz w:val="20"/>
          <w:szCs w:val="20"/>
          <w:color w:val="auto"/>
        </w:rPr>
      </w:pPr>
      <w:r>
        <w:rPr>
          <w:rFonts w:ascii="Arial" w:cs="Arial" w:eastAsia="Arial" w:hAnsi="Arial"/>
          <w:sz w:val="18"/>
          <w:szCs w:val="18"/>
          <w:color w:val="auto"/>
        </w:rPr>
        <w:t>For a discussion of the principles applied in administering the 2017 Equity Incentive Plan, see “Compensation Discussion and Analysis—2018 Compensation Decisions by Component—Long-Term Incentive Compensation—Equity Awards under the 2017 Equity Incentive Plan” beginning on page 36.</w:t>
      </w:r>
    </w:p>
    <w:p>
      <w:pPr>
        <w:spacing w:after="0" w:line="200" w:lineRule="exact"/>
        <w:rPr>
          <w:sz w:val="20"/>
          <w:szCs w:val="20"/>
          <w:color w:val="auto"/>
        </w:rPr>
      </w:pPr>
    </w:p>
    <w:p>
      <w:pPr>
        <w:spacing w:after="0" w:line="206" w:lineRule="exact"/>
        <w:rPr>
          <w:sz w:val="20"/>
          <w:szCs w:val="20"/>
          <w:color w:val="auto"/>
        </w:rPr>
      </w:pPr>
    </w:p>
    <w:tbl>
      <w:tblPr>
        <w:tblLayout w:type="fixed"/>
        <w:tblInd w:w="200" w:type="dxa"/>
        <w:tblCellMar>
          <w:top w:w="0" w:type="dxa"/>
          <w:left w:w="0" w:type="dxa"/>
          <w:bottom w:w="0" w:type="dxa"/>
          <w:right w:w="0" w:type="dxa"/>
        </w:tblCellMar>
      </w:tblPr>
      <w:tr>
        <w:trPr>
          <w:trHeight w:val="297"/>
        </w:trPr>
        <w:tc>
          <w:tcPr>
            <w:tcW w:w="360" w:type="dxa"/>
            <w:vAlign w:val="bottom"/>
            <w:tcBorders>
              <w:right w:val="single" w:sz="8" w:color="0033A0"/>
            </w:tcBorders>
          </w:tcPr>
          <w:p>
            <w:pPr>
              <w:jc w:val="right"/>
              <w:ind w:right="70"/>
              <w:spacing w:after="0"/>
              <w:rPr>
                <w:sz w:val="20"/>
                <w:szCs w:val="20"/>
                <w:color w:val="auto"/>
              </w:rPr>
            </w:pPr>
            <w:r>
              <w:rPr>
                <w:rFonts w:ascii="Arial" w:cs="Arial" w:eastAsia="Arial" w:hAnsi="Arial"/>
                <w:sz w:val="18"/>
                <w:szCs w:val="18"/>
                <w:b w:val="1"/>
                <w:bCs w:val="1"/>
                <w:color w:val="auto"/>
                <w:w w:val="89"/>
              </w:rPr>
              <w:t>48</w:t>
            </w:r>
          </w:p>
        </w:tc>
        <w:tc>
          <w:tcPr>
            <w:tcW w:w="3380" w:type="dxa"/>
            <w:vAlign w:val="bottom"/>
          </w:tcPr>
          <w:p>
            <w:pPr>
              <w:ind w:left="1600"/>
              <w:spacing w:after="0"/>
              <w:rPr>
                <w:sz w:val="20"/>
                <w:szCs w:val="20"/>
                <w:color w:val="auto"/>
              </w:rPr>
            </w:pPr>
            <w:r>
              <w:rPr>
                <w:rFonts w:ascii="Arial" w:cs="Arial" w:eastAsia="Arial" w:hAnsi="Arial"/>
                <w:sz w:val="18"/>
                <w:szCs w:val="18"/>
                <w:i w:val="1"/>
                <w:iCs w:val="1"/>
                <w:color w:val="auto"/>
                <w:w w:val="98"/>
              </w:rPr>
              <w:t>2019 Proxy Statement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-170815</wp:posOffset>
            </wp:positionV>
            <wp:extent cx="720090" cy="12890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009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33A0"/>
        </w:rPr>
        <w:t>2017 Performance Share Unit Awards</w:t>
      </w:r>
    </w:p>
    <w:p>
      <w:pPr>
        <w:spacing w:after="0" w:line="126"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In 2017, named executive officers received awards of both Internal Metric PSUs and Relative TSR PSUs, which are reported as equity incentive plan awards in the Grants of Plan-Based Awards. The grant date fair value of the Internal Metric PSUs was determined using the closing price of Brink’s Common Stock on the respective grant dates, discounted for the value of dividends not received during the vesting period. These awards will be settled in shares of Brink’s Common Stock based on the number of Internal Metric PSU awards originally granted multiplied by the performance achievement percentage of the pre-established non-GAAP operating profit performance goal. Failure to achieve the pre-established minimum threshold financial goal would result in no payout being made under these awards. A payout for performance less than target may be made provided that a significant portion of the performance target was achieved. As a result, the payout percentage of Internal Metric PSU awards ranges from 0% to 200%, based on performance against the pre-established goals.</w:t>
      </w:r>
    </w:p>
    <w:p>
      <w:pPr>
        <w:spacing w:after="0" w:line="106"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Relative TSR PSUs have a market condition, as defined under ASC Topic 718, in addition to their performance condition. Accordingly, the grant date fair value of these awards was determined using a Monte Carlo simulation model. These awards will be settled in shares of Brink’s Common Stock based on the number of Relative TSR PSU awards originally granted multiplied by the performance achievement percentage of the relative TSR goal versus the S&amp;P Mid Cap 400 companies with foreign revenues that exceed 50% of total revenues. Failure to achieve the pre-established minimum threshold Relative TSR goal would result in no payout being made under the Relative TSR PSU awards. A payout for performance less than target may be made provided that a significant portion of the Relative TSR performance target was achieved. As a result, the payout percentage of Relative TSR PSU awards ranges from 0% to 200%, based on performance against the pre-established Relative TSR among the comparator companies.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33A0"/>
        </w:rPr>
        <w:t>Performance Stock Options</w:t>
      </w:r>
    </w:p>
    <w:p>
      <w:pPr>
        <w:spacing w:after="0" w:line="126"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Performance Stock Options were granted in 2018 and are reported as equity incentive plan awards in the Grants of Plan -Based Awards Table above. The grant date fair value of the Performance Stock Options was determined using a Monte Carlo</w:t>
      </w:r>
    </w:p>
    <w:p>
      <w:pPr>
        <w:sectPr>
          <w:pgSz w:w="11900" w:h="16838" w:orient="portrait"/>
          <w:cols w:equalWidth="0" w:num="2">
            <w:col w:w="5480" w:space="340"/>
            <w:col w:w="5400"/>
          </w:cols>
          <w:pgMar w:left="240" w:top="459" w:right="439" w:bottom="1440" w:gutter="0" w:footer="0" w:header="0"/>
          <w:type w:val="continuous"/>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0033A0"/>
        </w:rPr>
        <w:t>EXECUTIVE COMPENSATION TABLES</w:t>
      </w:r>
    </w:p>
    <w:p>
      <w:pPr>
        <w:sectPr>
          <w:pgSz w:w="11900" w:h="16838" w:orient="portrait"/>
          <w:cols w:equalWidth="0" w:num="1">
            <w:col w:w="11220"/>
          </w:cols>
          <w:pgMar w:left="240" w:top="459" w:right="439" w:bottom="1440" w:gutter="0" w:footer="0" w:header="0"/>
        </w:sectPr>
      </w:pPr>
    </w:p>
    <w:p>
      <w:pPr>
        <w:spacing w:after="0" w:line="215"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simulation model. The Performance Stock Options awarded to all executive officers other than Mr. Pertz: (1) vest and become exercisable on the third anniversary of the grant date only if the average closing price of the Company’s common stock during any 15 day period between the grant date and the three year anniversary of the grant date is 125% of the closing price on the grant date; and (2) expire six years after the date of grant. Two types of Performance Stock Options were awarded to Mr. Pertz in 2018. Half of the Performance Stock Options awarded vest and become exercisable on the third anniversary of the grant date only if the average closing price of the Company’s common stock during any 15 day period between the grant date and the three year anniversary of the grant date is 125% of the closing price on the grant date. The other half of Performance Stock Options awarded to Mr. Pertz in 2018 vest and become exercisable on</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third anniversary of the grant date only if the average closing price of the Company’s common stock during any 15 day period between the grant date and the three year anniversary of the grant date is 150% of the closing price on the grant date. All of the Performance Stock Options awarded to Mr. Pertz in 2018 expire six years after the date of grant. With respect to all of the Performance Stock Options, upon a change in control, the price targets applicable to the Performance Stock Options awards cease to apply. In addition, if the awards do not remain outstanding or the successor company does not assume the award or provide a substitute, then the price targets shall be deemed achieved and the awards shall vest in full upon change in control. In the event of termination following change in control (other than termination by the company for cause or by the employee without good reason), then the award will vest in full without regard to the price targets.</w:t>
      </w:r>
    </w:p>
    <w:p>
      <w:pPr>
        <w:spacing w:after="0" w:line="284" w:lineRule="exact"/>
        <w:rPr>
          <w:sz w:val="20"/>
          <w:szCs w:val="20"/>
          <w:color w:val="auto"/>
        </w:rPr>
      </w:pPr>
    </w:p>
    <w:tbl>
      <w:tblPr>
        <w:tblLayout w:type="fixed"/>
        <w:tblInd w:w="3000" w:type="dxa"/>
        <w:tblCellMar>
          <w:top w:w="0" w:type="dxa"/>
          <w:left w:w="0" w:type="dxa"/>
          <w:bottom w:w="0" w:type="dxa"/>
          <w:right w:w="0" w:type="dxa"/>
        </w:tblCellMar>
      </w:tblPr>
      <w:tr>
        <w:trPr>
          <w:trHeight w:val="297"/>
        </w:trPr>
        <w:tc>
          <w:tcPr>
            <w:tcW w:w="1900" w:type="dxa"/>
            <w:vAlign w:val="bottom"/>
            <w:tcBorders>
              <w:right w:val="single" w:sz="8" w:color="0033A0"/>
            </w:tcBorders>
          </w:tcPr>
          <w:p>
            <w:pPr>
              <w:spacing w:after="0"/>
              <w:rPr>
                <w:sz w:val="20"/>
                <w:szCs w:val="20"/>
                <w:color w:val="auto"/>
              </w:rPr>
            </w:pPr>
            <w:r>
              <w:rPr>
                <w:rFonts w:ascii="Arial" w:cs="Arial" w:eastAsia="Arial" w:hAnsi="Arial"/>
                <w:sz w:val="18"/>
                <w:szCs w:val="18"/>
                <w:i w:val="1"/>
                <w:iCs w:val="1"/>
                <w:color w:val="auto"/>
              </w:rPr>
              <w:t>2019 Proxy Statement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1026160</wp:posOffset>
            </wp:positionH>
            <wp:positionV relativeFrom="paragraph">
              <wp:posOffset>-170815</wp:posOffset>
            </wp:positionV>
            <wp:extent cx="720090" cy="12890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0090" cy="128905"/>
                    </a:xfrm>
                    <a:prstGeom prst="rect">
                      <a:avLst/>
                    </a:prstGeom>
                    <a:noFill/>
                  </pic:spPr>
                </pic:pic>
              </a:graphicData>
            </a:graphic>
          </wp:anchor>
        </w:drawing>
      </w:r>
    </w:p>
    <w:p>
      <w:pPr>
        <w:sectPr>
          <w:pgSz w:w="11900" w:h="16838" w:orient="portrait"/>
          <w:cols w:equalWidth="0" w:num="2">
            <w:col w:w="5480" w:space="340"/>
            <w:col w:w="5400"/>
          </w:cols>
          <w:pgMar w:left="240" w:top="459" w:right="439" w:bottom="1440" w:gutter="0" w:footer="0" w:header="0"/>
          <w:type w:val="continuous"/>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0033A0"/>
        </w:rPr>
        <w:t>The Brink’s Company</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auto"/>
        </w:rPr>
        <w:t>Outstanding Equity Awards at Fiscal Year-End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68580</wp:posOffset>
            </wp:positionV>
            <wp:extent cx="69977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8" w:lineRule="exact"/>
        <w:rPr>
          <w:sz w:val="20"/>
          <w:szCs w:val="20"/>
          <w:color w:val="auto"/>
        </w:rPr>
      </w:pPr>
    </w:p>
    <w:p>
      <w:pPr>
        <w:ind w:left="200" w:right="500"/>
        <w:spacing w:after="0" w:line="246" w:lineRule="auto"/>
        <w:rPr>
          <w:sz w:val="20"/>
          <w:szCs w:val="20"/>
          <w:color w:val="auto"/>
        </w:rPr>
      </w:pPr>
      <w:r>
        <w:rPr>
          <w:rFonts w:ascii="Arial" w:cs="Arial" w:eastAsia="Arial" w:hAnsi="Arial"/>
          <w:sz w:val="18"/>
          <w:szCs w:val="18"/>
          <w:color w:val="auto"/>
        </w:rPr>
        <w:t>The following table presents information concerning the number and value of all unexercised stock options, restricted stock units and performance share units for the named executive officers outstanding as of December 31, 2018.</w:t>
      </w:r>
    </w:p>
    <w:p>
      <w:pPr>
        <w:spacing w:after="0" w:line="203" w:lineRule="exact"/>
        <w:rPr>
          <w:sz w:val="20"/>
          <w:szCs w:val="20"/>
          <w:color w:val="auto"/>
        </w:rPr>
      </w:pPr>
    </w:p>
    <w:tbl>
      <w:tblPr>
        <w:tblLayout w:type="fixed"/>
        <w:tblInd w:w="220" w:type="dxa"/>
        <w:tblCellMar>
          <w:top w:w="0" w:type="dxa"/>
          <w:left w:w="0" w:type="dxa"/>
          <w:bottom w:w="0" w:type="dxa"/>
          <w:right w:w="0" w:type="dxa"/>
        </w:tblCellMar>
      </w:tblPr>
      <w:tr>
        <w:trPr>
          <w:trHeight w:val="157"/>
        </w:trPr>
        <w:tc>
          <w:tcPr>
            <w:tcW w:w="2860" w:type="dxa"/>
            <w:vAlign w:val="bottom"/>
          </w:tcPr>
          <w:p>
            <w:pPr>
              <w:spacing w:after="0"/>
              <w:rPr>
                <w:sz w:val="13"/>
                <w:szCs w:val="13"/>
                <w:color w:val="auto"/>
              </w:rPr>
            </w:pPr>
          </w:p>
        </w:tc>
        <w:tc>
          <w:tcPr>
            <w:tcW w:w="860" w:type="dxa"/>
            <w:vAlign w:val="bottom"/>
            <w:tcBorders>
              <w:bottom w:val="single" w:sz="8" w:color="0033A0"/>
            </w:tcBorders>
          </w:tcPr>
          <w:p>
            <w:pPr>
              <w:spacing w:after="0"/>
              <w:rPr>
                <w:sz w:val="13"/>
                <w:szCs w:val="13"/>
                <w:color w:val="auto"/>
              </w:rPr>
            </w:pPr>
          </w:p>
        </w:tc>
        <w:tc>
          <w:tcPr>
            <w:tcW w:w="1140" w:type="dxa"/>
            <w:vAlign w:val="bottom"/>
            <w:tcBorders>
              <w:bottom w:val="single" w:sz="8" w:color="0033A0"/>
            </w:tcBorders>
          </w:tcPr>
          <w:p>
            <w:pPr>
              <w:spacing w:after="0"/>
              <w:rPr>
                <w:sz w:val="13"/>
                <w:szCs w:val="13"/>
                <w:color w:val="auto"/>
              </w:rPr>
            </w:pPr>
          </w:p>
        </w:tc>
        <w:tc>
          <w:tcPr>
            <w:tcW w:w="1340" w:type="dxa"/>
            <w:vAlign w:val="bottom"/>
            <w:tcBorders>
              <w:bottom w:val="single" w:sz="8" w:color="0033A0"/>
            </w:tcBorders>
          </w:tcPr>
          <w:p>
            <w:pPr>
              <w:jc w:val="right"/>
              <w:spacing w:after="0"/>
              <w:rPr>
                <w:sz w:val="20"/>
                <w:szCs w:val="20"/>
                <w:color w:val="auto"/>
              </w:rPr>
            </w:pPr>
            <w:r>
              <w:rPr>
                <w:rFonts w:ascii="Arial" w:cs="Arial" w:eastAsia="Arial" w:hAnsi="Arial"/>
                <w:sz w:val="13"/>
                <w:szCs w:val="13"/>
                <w:b w:val="1"/>
                <w:bCs w:val="1"/>
                <w:color w:val="0033A0"/>
              </w:rPr>
              <w:t>Option Awards</w:t>
            </w:r>
          </w:p>
        </w:tc>
        <w:tc>
          <w:tcPr>
            <w:tcW w:w="640" w:type="dxa"/>
            <w:vAlign w:val="bottom"/>
            <w:tcBorders>
              <w:bottom w:val="single" w:sz="8" w:color="0033A0"/>
            </w:tcBorders>
          </w:tcPr>
          <w:p>
            <w:pPr>
              <w:spacing w:after="0"/>
              <w:rPr>
                <w:sz w:val="13"/>
                <w:szCs w:val="13"/>
                <w:color w:val="auto"/>
              </w:rPr>
            </w:pPr>
          </w:p>
        </w:tc>
        <w:tc>
          <w:tcPr>
            <w:tcW w:w="860" w:type="dxa"/>
            <w:vAlign w:val="bottom"/>
            <w:tcBorders>
              <w:bottom w:val="single" w:sz="8" w:color="0033A0"/>
            </w:tcBorders>
          </w:tcPr>
          <w:p>
            <w:pPr>
              <w:spacing w:after="0"/>
              <w:rPr>
                <w:sz w:val="13"/>
                <w:szCs w:val="13"/>
                <w:color w:val="auto"/>
              </w:rPr>
            </w:pPr>
          </w:p>
        </w:tc>
        <w:tc>
          <w:tcPr>
            <w:tcW w:w="880" w:type="dxa"/>
            <w:vAlign w:val="bottom"/>
            <w:tcBorders>
              <w:bottom w:val="single" w:sz="8" w:color="0033A0"/>
            </w:tcBorders>
          </w:tcPr>
          <w:p>
            <w:pPr>
              <w:spacing w:after="0"/>
              <w:rPr>
                <w:sz w:val="13"/>
                <w:szCs w:val="13"/>
                <w:color w:val="auto"/>
              </w:rPr>
            </w:pPr>
          </w:p>
        </w:tc>
        <w:tc>
          <w:tcPr>
            <w:tcW w:w="1640" w:type="dxa"/>
            <w:vAlign w:val="bottom"/>
            <w:tcBorders>
              <w:bottom w:val="single" w:sz="8" w:color="0033A0"/>
            </w:tcBorders>
            <w:gridSpan w:val="2"/>
          </w:tcPr>
          <w:p>
            <w:pPr>
              <w:jc w:val="right"/>
              <w:ind w:right="375"/>
              <w:spacing w:after="0"/>
              <w:rPr>
                <w:sz w:val="20"/>
                <w:szCs w:val="20"/>
                <w:color w:val="auto"/>
              </w:rPr>
            </w:pPr>
            <w:r>
              <w:rPr>
                <w:rFonts w:ascii="Arial" w:cs="Arial" w:eastAsia="Arial" w:hAnsi="Arial"/>
                <w:sz w:val="13"/>
                <w:szCs w:val="13"/>
                <w:b w:val="1"/>
                <w:bCs w:val="1"/>
                <w:color w:val="0033A0"/>
              </w:rPr>
              <w:t>Stock Awards</w:t>
            </w:r>
          </w:p>
        </w:tc>
        <w:tc>
          <w:tcPr>
            <w:tcW w:w="800" w:type="dxa"/>
            <w:vAlign w:val="bottom"/>
            <w:tcBorders>
              <w:bottom w:val="single" w:sz="8" w:color="0033A0"/>
            </w:tcBorders>
          </w:tcPr>
          <w:p>
            <w:pPr>
              <w:spacing w:after="0"/>
              <w:rPr>
                <w:sz w:val="13"/>
                <w:szCs w:val="13"/>
                <w:color w:val="auto"/>
              </w:rPr>
            </w:pPr>
          </w:p>
        </w:tc>
      </w:tr>
      <w:tr>
        <w:trPr>
          <w:trHeight w:val="134"/>
        </w:trPr>
        <w:tc>
          <w:tcPr>
            <w:tcW w:w="2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jc w:val="center"/>
              <w:spacing w:after="0" w:line="134" w:lineRule="exact"/>
              <w:rPr>
                <w:sz w:val="20"/>
                <w:szCs w:val="20"/>
                <w:color w:val="auto"/>
              </w:rPr>
            </w:pPr>
            <w:r>
              <w:rPr>
                <w:rFonts w:ascii="Arial" w:cs="Arial" w:eastAsia="Arial" w:hAnsi="Arial"/>
                <w:sz w:val="13"/>
                <w:szCs w:val="13"/>
                <w:b w:val="1"/>
                <w:bCs w:val="1"/>
                <w:color w:val="0033A0"/>
                <w:w w:val="95"/>
              </w:rPr>
              <w:t>Equity</w:t>
            </w:r>
          </w:p>
        </w:tc>
        <w:tc>
          <w:tcPr>
            <w:tcW w:w="800" w:type="dxa"/>
            <w:vAlign w:val="bottom"/>
          </w:tcPr>
          <w:p>
            <w:pPr>
              <w:jc w:val="center"/>
              <w:spacing w:after="0" w:line="134" w:lineRule="exact"/>
              <w:rPr>
                <w:sz w:val="20"/>
                <w:szCs w:val="20"/>
                <w:color w:val="auto"/>
              </w:rPr>
            </w:pPr>
            <w:r>
              <w:rPr>
                <w:rFonts w:ascii="Arial" w:cs="Arial" w:eastAsia="Arial" w:hAnsi="Arial"/>
                <w:sz w:val="13"/>
                <w:szCs w:val="13"/>
                <w:b w:val="1"/>
                <w:bCs w:val="1"/>
                <w:color w:val="0033A0"/>
                <w:w w:val="95"/>
              </w:rPr>
              <w:t>Equity</w:t>
            </w:r>
          </w:p>
        </w:tc>
      </w:tr>
      <w:tr>
        <w:trPr>
          <w:trHeight w:val="135"/>
        </w:trPr>
        <w:tc>
          <w:tcPr>
            <w:tcW w:w="2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0033A0"/>
                <w:w w:val="95"/>
              </w:rPr>
              <w:t>Incentive</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0033A0"/>
                <w:w w:val="95"/>
              </w:rPr>
              <w:t>Incentive</w:t>
            </w:r>
          </w:p>
        </w:tc>
      </w:tr>
      <w:tr>
        <w:trPr>
          <w:trHeight w:val="135"/>
        </w:trPr>
        <w:tc>
          <w:tcPr>
            <w:tcW w:w="2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0033A0"/>
                <w:w w:val="94"/>
              </w:rPr>
              <w:t>Plan</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0033A0"/>
                <w:w w:val="94"/>
              </w:rPr>
              <w:t>Plan</w:t>
            </w:r>
          </w:p>
        </w:tc>
      </w:tr>
      <w:tr>
        <w:trPr>
          <w:trHeight w:val="135"/>
        </w:trPr>
        <w:tc>
          <w:tcPr>
            <w:tcW w:w="2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0033A0"/>
                <w:w w:val="97"/>
              </w:rPr>
              <w:t>Awards:</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0033A0"/>
                <w:w w:val="97"/>
              </w:rPr>
              <w:t>Awards:</w:t>
            </w:r>
          </w:p>
        </w:tc>
      </w:tr>
      <w:tr>
        <w:trPr>
          <w:trHeight w:val="135"/>
        </w:trPr>
        <w:tc>
          <w:tcPr>
            <w:tcW w:w="2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0033A0"/>
                <w:w w:val="93"/>
              </w:rPr>
              <w:t>Number</w:t>
            </w:r>
          </w:p>
        </w:tc>
        <w:tc>
          <w:tcPr>
            <w:tcW w:w="800" w:type="dxa"/>
            <w:vAlign w:val="bottom"/>
          </w:tcPr>
          <w:p>
            <w:pPr>
              <w:jc w:val="center"/>
              <w:ind w:right="15"/>
              <w:spacing w:after="0" w:line="135" w:lineRule="exact"/>
              <w:rPr>
                <w:sz w:val="20"/>
                <w:szCs w:val="20"/>
                <w:color w:val="auto"/>
              </w:rPr>
            </w:pPr>
            <w:r>
              <w:rPr>
                <w:rFonts w:ascii="Arial" w:cs="Arial" w:eastAsia="Arial" w:hAnsi="Arial"/>
                <w:sz w:val="13"/>
                <w:szCs w:val="13"/>
                <w:b w:val="1"/>
                <w:bCs w:val="1"/>
                <w:color w:val="0033A0"/>
                <w:w w:val="95"/>
              </w:rPr>
              <w:t>Market or</w:t>
            </w:r>
          </w:p>
        </w:tc>
      </w:tr>
      <w:tr>
        <w:trPr>
          <w:trHeight w:val="135"/>
        </w:trPr>
        <w:tc>
          <w:tcPr>
            <w:tcW w:w="2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0033A0"/>
              </w:rPr>
              <w:t>Market</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0033A0"/>
                <w:w w:val="97"/>
              </w:rPr>
              <w:t>of</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0033A0"/>
                <w:w w:val="96"/>
              </w:rPr>
              <w:t>Payout</w:t>
            </w:r>
          </w:p>
        </w:tc>
      </w:tr>
      <w:tr>
        <w:trPr>
          <w:trHeight w:val="135"/>
        </w:trPr>
        <w:tc>
          <w:tcPr>
            <w:tcW w:w="2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0033A0"/>
                <w:w w:val="94"/>
              </w:rPr>
              <w:t>Value of</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0033A0"/>
                <w:w w:val="96"/>
              </w:rPr>
              <w:t>Unearned</w:t>
            </w:r>
          </w:p>
        </w:tc>
        <w:tc>
          <w:tcPr>
            <w:tcW w:w="800" w:type="dxa"/>
            <w:vAlign w:val="bottom"/>
          </w:tcPr>
          <w:p>
            <w:pPr>
              <w:jc w:val="center"/>
              <w:ind w:right="15"/>
              <w:spacing w:after="0" w:line="135" w:lineRule="exact"/>
              <w:rPr>
                <w:sz w:val="20"/>
                <w:szCs w:val="20"/>
                <w:color w:val="auto"/>
              </w:rPr>
            </w:pPr>
            <w:r>
              <w:rPr>
                <w:rFonts w:ascii="Arial" w:cs="Arial" w:eastAsia="Arial" w:hAnsi="Arial"/>
                <w:sz w:val="13"/>
                <w:szCs w:val="13"/>
                <w:b w:val="1"/>
                <w:bCs w:val="1"/>
                <w:color w:val="0033A0"/>
                <w:w w:val="94"/>
              </w:rPr>
              <w:t>Value of</w:t>
            </w:r>
          </w:p>
        </w:tc>
      </w:tr>
      <w:tr>
        <w:trPr>
          <w:trHeight w:val="135"/>
        </w:trPr>
        <w:tc>
          <w:tcPr>
            <w:tcW w:w="2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0033A0"/>
                <w:w w:val="96"/>
              </w:rPr>
              <w:t>Shares</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0033A0"/>
                <w:w w:val="97"/>
              </w:rPr>
              <w:t>Shares,</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0033A0"/>
                <w:w w:val="96"/>
              </w:rPr>
              <w:t>Unearned</w:t>
            </w:r>
          </w:p>
        </w:tc>
      </w:tr>
      <w:tr>
        <w:trPr>
          <w:trHeight w:val="144"/>
        </w:trPr>
        <w:tc>
          <w:tcPr>
            <w:tcW w:w="2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80" w:type="dxa"/>
            <w:vAlign w:val="bottom"/>
          </w:tcPr>
          <w:p>
            <w:pPr>
              <w:jc w:val="center"/>
              <w:spacing w:after="0" w:line="144" w:lineRule="exact"/>
              <w:rPr>
                <w:sz w:val="20"/>
                <w:szCs w:val="20"/>
                <w:color w:val="auto"/>
              </w:rPr>
            </w:pPr>
            <w:r>
              <w:rPr>
                <w:rFonts w:ascii="Arial" w:cs="Arial" w:eastAsia="Arial" w:hAnsi="Arial"/>
                <w:sz w:val="13"/>
                <w:szCs w:val="13"/>
                <w:b w:val="1"/>
                <w:bCs w:val="1"/>
                <w:color w:val="0033A0"/>
                <w:w w:val="95"/>
              </w:rPr>
              <w:t>Number of</w:t>
            </w: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0033A0"/>
              </w:rPr>
              <w:t>or</w:t>
            </w: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0033A0"/>
                <w:w w:val="94"/>
              </w:rPr>
              <w:t>Units, or</w:t>
            </w: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0033A0"/>
                <w:w w:val="97"/>
              </w:rPr>
              <w:t>Shares,</w:t>
            </w:r>
          </w:p>
        </w:tc>
      </w:tr>
      <w:tr>
        <w:trPr>
          <w:trHeight w:val="135"/>
        </w:trPr>
        <w:tc>
          <w:tcPr>
            <w:tcW w:w="2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jc w:val="center"/>
              <w:spacing w:after="0" w:line="135" w:lineRule="exact"/>
              <w:rPr>
                <w:sz w:val="20"/>
                <w:szCs w:val="20"/>
                <w:color w:val="auto"/>
              </w:rPr>
            </w:pPr>
            <w:r>
              <w:rPr>
                <w:rFonts w:ascii="Arial" w:cs="Arial" w:eastAsia="Arial" w:hAnsi="Arial"/>
                <w:sz w:val="13"/>
                <w:szCs w:val="13"/>
                <w:b w:val="1"/>
                <w:bCs w:val="1"/>
                <w:color w:val="0033A0"/>
                <w:w w:val="98"/>
              </w:rPr>
              <w:t>Number of</w:t>
            </w:r>
          </w:p>
        </w:tc>
        <w:tc>
          <w:tcPr>
            <w:tcW w:w="1340" w:type="dxa"/>
            <w:vAlign w:val="bottom"/>
          </w:tcPr>
          <w:p>
            <w:pPr>
              <w:jc w:val="center"/>
              <w:ind w:right="54"/>
              <w:spacing w:after="0" w:line="135" w:lineRule="exact"/>
              <w:rPr>
                <w:sz w:val="20"/>
                <w:szCs w:val="20"/>
                <w:color w:val="auto"/>
              </w:rPr>
            </w:pPr>
            <w:r>
              <w:rPr>
                <w:rFonts w:ascii="Arial" w:cs="Arial" w:eastAsia="Arial" w:hAnsi="Arial"/>
                <w:sz w:val="13"/>
                <w:szCs w:val="13"/>
                <w:b w:val="1"/>
                <w:bCs w:val="1"/>
                <w:color w:val="0033A0"/>
                <w:w w:val="95"/>
              </w:rPr>
              <w:t>Number of</w:t>
            </w: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0033A0"/>
                <w:w w:val="96"/>
              </w:rPr>
              <w:t>Shares or</w:t>
            </w: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0033A0"/>
                <w:w w:val="94"/>
              </w:rPr>
              <w:t>Units of</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0033A0"/>
                <w:w w:val="97"/>
              </w:rPr>
              <w:t>Other</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0033A0"/>
                <w:w w:val="94"/>
              </w:rPr>
              <w:t>Units,</w:t>
            </w:r>
          </w:p>
        </w:tc>
      </w:tr>
      <w:tr>
        <w:trPr>
          <w:trHeight w:val="135"/>
        </w:trPr>
        <w:tc>
          <w:tcPr>
            <w:tcW w:w="2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jc w:val="center"/>
              <w:spacing w:after="0" w:line="135" w:lineRule="exact"/>
              <w:rPr>
                <w:sz w:val="20"/>
                <w:szCs w:val="20"/>
                <w:color w:val="auto"/>
              </w:rPr>
            </w:pPr>
            <w:r>
              <w:rPr>
                <w:rFonts w:ascii="Arial" w:cs="Arial" w:eastAsia="Arial" w:hAnsi="Arial"/>
                <w:sz w:val="13"/>
                <w:szCs w:val="13"/>
                <w:b w:val="1"/>
                <w:bCs w:val="1"/>
                <w:color w:val="0033A0"/>
                <w:w w:val="96"/>
              </w:rPr>
              <w:t>Securities</w:t>
            </w:r>
          </w:p>
        </w:tc>
        <w:tc>
          <w:tcPr>
            <w:tcW w:w="1340" w:type="dxa"/>
            <w:vAlign w:val="bottom"/>
          </w:tcPr>
          <w:p>
            <w:pPr>
              <w:jc w:val="center"/>
              <w:ind w:right="34"/>
              <w:spacing w:after="0" w:line="135" w:lineRule="exact"/>
              <w:rPr>
                <w:sz w:val="20"/>
                <w:szCs w:val="20"/>
                <w:color w:val="auto"/>
              </w:rPr>
            </w:pPr>
            <w:r>
              <w:rPr>
                <w:rFonts w:ascii="Arial" w:cs="Arial" w:eastAsia="Arial" w:hAnsi="Arial"/>
                <w:sz w:val="13"/>
                <w:szCs w:val="13"/>
                <w:b w:val="1"/>
                <w:bCs w:val="1"/>
                <w:color w:val="0033A0"/>
                <w:w w:val="96"/>
              </w:rPr>
              <w:t>Securities</w:t>
            </w: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0033A0"/>
                <w:w w:val="94"/>
              </w:rPr>
              <w:t>Units of</w:t>
            </w: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0033A0"/>
                <w:w w:val="95"/>
              </w:rPr>
              <w:t>Stock</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0033A0"/>
                <w:w w:val="93"/>
              </w:rPr>
              <w:t>Rights</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0033A0"/>
                <w:w w:val="97"/>
              </w:rPr>
              <w:t>or Other</w:t>
            </w:r>
          </w:p>
        </w:tc>
      </w:tr>
      <w:tr>
        <w:trPr>
          <w:trHeight w:val="135"/>
        </w:trPr>
        <w:tc>
          <w:tcPr>
            <w:tcW w:w="2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jc w:val="center"/>
              <w:spacing w:after="0" w:line="135" w:lineRule="exact"/>
              <w:rPr>
                <w:sz w:val="20"/>
                <w:szCs w:val="20"/>
                <w:color w:val="auto"/>
              </w:rPr>
            </w:pPr>
            <w:r>
              <w:rPr>
                <w:rFonts w:ascii="Arial" w:cs="Arial" w:eastAsia="Arial" w:hAnsi="Arial"/>
                <w:sz w:val="13"/>
                <w:szCs w:val="13"/>
                <w:b w:val="1"/>
                <w:bCs w:val="1"/>
                <w:color w:val="0033A0"/>
                <w:w w:val="94"/>
              </w:rPr>
              <w:t>Underlying</w:t>
            </w:r>
          </w:p>
        </w:tc>
        <w:tc>
          <w:tcPr>
            <w:tcW w:w="1340" w:type="dxa"/>
            <w:vAlign w:val="bottom"/>
          </w:tcPr>
          <w:p>
            <w:pPr>
              <w:jc w:val="center"/>
              <w:ind w:right="54"/>
              <w:spacing w:after="0" w:line="135" w:lineRule="exact"/>
              <w:rPr>
                <w:sz w:val="20"/>
                <w:szCs w:val="20"/>
                <w:color w:val="auto"/>
              </w:rPr>
            </w:pPr>
            <w:r>
              <w:rPr>
                <w:rFonts w:ascii="Arial" w:cs="Arial" w:eastAsia="Arial" w:hAnsi="Arial"/>
                <w:sz w:val="13"/>
                <w:szCs w:val="13"/>
                <w:b w:val="1"/>
                <w:bCs w:val="1"/>
                <w:color w:val="0033A0"/>
                <w:w w:val="97"/>
              </w:rPr>
              <w:t>Underlying</w:t>
            </w:r>
          </w:p>
        </w:tc>
        <w:tc>
          <w:tcPr>
            <w:tcW w:w="640" w:type="dxa"/>
            <w:vAlign w:val="bottom"/>
          </w:tcPr>
          <w:p>
            <w:pPr>
              <w:jc w:val="center"/>
              <w:ind w:right="54"/>
              <w:spacing w:after="0" w:line="135" w:lineRule="exact"/>
              <w:rPr>
                <w:sz w:val="20"/>
                <w:szCs w:val="20"/>
                <w:color w:val="auto"/>
              </w:rPr>
            </w:pPr>
            <w:r>
              <w:rPr>
                <w:rFonts w:ascii="Arial" w:cs="Arial" w:eastAsia="Arial" w:hAnsi="Arial"/>
                <w:sz w:val="13"/>
                <w:szCs w:val="13"/>
                <w:b w:val="1"/>
                <w:bCs w:val="1"/>
                <w:color w:val="0033A0"/>
                <w:w w:val="95"/>
              </w:rPr>
              <w:t>Option</w:t>
            </w:r>
          </w:p>
        </w:tc>
        <w:tc>
          <w:tcPr>
            <w:tcW w:w="86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0033A0"/>
                <w:w w:val="96"/>
              </w:rPr>
              <w:t>Stock That</w:t>
            </w: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0033A0"/>
                <w:w w:val="94"/>
              </w:rPr>
              <w:t>That</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0033A0"/>
                <w:w w:val="94"/>
              </w:rPr>
              <w:t>That</w:t>
            </w:r>
          </w:p>
        </w:tc>
        <w:tc>
          <w:tcPr>
            <w:tcW w:w="800" w:type="dxa"/>
            <w:vAlign w:val="bottom"/>
          </w:tcPr>
          <w:p>
            <w:pPr>
              <w:jc w:val="center"/>
              <w:ind w:right="15"/>
              <w:spacing w:after="0" w:line="135" w:lineRule="exact"/>
              <w:rPr>
                <w:sz w:val="20"/>
                <w:szCs w:val="20"/>
                <w:color w:val="auto"/>
              </w:rPr>
            </w:pPr>
            <w:r>
              <w:rPr>
                <w:rFonts w:ascii="Arial" w:cs="Arial" w:eastAsia="Arial" w:hAnsi="Arial"/>
                <w:sz w:val="13"/>
                <w:szCs w:val="13"/>
                <w:b w:val="1"/>
                <w:bCs w:val="1"/>
                <w:color w:val="0033A0"/>
                <w:w w:val="98"/>
              </w:rPr>
              <w:t>Rights</w:t>
            </w:r>
          </w:p>
        </w:tc>
      </w:tr>
      <w:tr>
        <w:trPr>
          <w:trHeight w:val="135"/>
        </w:trPr>
        <w:tc>
          <w:tcPr>
            <w:tcW w:w="2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jc w:val="center"/>
              <w:spacing w:after="0" w:line="135" w:lineRule="exact"/>
              <w:rPr>
                <w:sz w:val="20"/>
                <w:szCs w:val="20"/>
                <w:color w:val="auto"/>
              </w:rPr>
            </w:pPr>
            <w:r>
              <w:rPr>
                <w:rFonts w:ascii="Arial" w:cs="Arial" w:eastAsia="Arial" w:hAnsi="Arial"/>
                <w:sz w:val="13"/>
                <w:szCs w:val="13"/>
                <w:b w:val="1"/>
                <w:bCs w:val="1"/>
                <w:color w:val="0033A0"/>
                <w:w w:val="98"/>
              </w:rPr>
              <w:t>Unexercised</w:t>
            </w:r>
          </w:p>
        </w:tc>
        <w:tc>
          <w:tcPr>
            <w:tcW w:w="1340" w:type="dxa"/>
            <w:vAlign w:val="bottom"/>
          </w:tcPr>
          <w:p>
            <w:pPr>
              <w:jc w:val="center"/>
              <w:ind w:right="54"/>
              <w:spacing w:after="0" w:line="135" w:lineRule="exact"/>
              <w:rPr>
                <w:sz w:val="20"/>
                <w:szCs w:val="20"/>
                <w:color w:val="auto"/>
              </w:rPr>
            </w:pPr>
            <w:r>
              <w:rPr>
                <w:rFonts w:ascii="Arial" w:cs="Arial" w:eastAsia="Arial" w:hAnsi="Arial"/>
                <w:sz w:val="13"/>
                <w:szCs w:val="13"/>
                <w:b w:val="1"/>
                <w:bCs w:val="1"/>
                <w:color w:val="0033A0"/>
                <w:w w:val="95"/>
              </w:rPr>
              <w:t>Unexercised</w:t>
            </w:r>
          </w:p>
        </w:tc>
        <w:tc>
          <w:tcPr>
            <w:tcW w:w="640" w:type="dxa"/>
            <w:vAlign w:val="bottom"/>
          </w:tcPr>
          <w:p>
            <w:pPr>
              <w:jc w:val="center"/>
              <w:ind w:right="54"/>
              <w:spacing w:after="0" w:line="135" w:lineRule="exact"/>
              <w:rPr>
                <w:sz w:val="20"/>
                <w:szCs w:val="20"/>
                <w:color w:val="auto"/>
              </w:rPr>
            </w:pPr>
            <w:r>
              <w:rPr>
                <w:rFonts w:ascii="Arial" w:cs="Arial" w:eastAsia="Arial" w:hAnsi="Arial"/>
                <w:sz w:val="13"/>
                <w:szCs w:val="13"/>
                <w:b w:val="1"/>
                <w:bCs w:val="1"/>
                <w:color w:val="0033A0"/>
                <w:w w:val="97"/>
              </w:rPr>
              <w:t>Exercise</w:t>
            </w:r>
          </w:p>
        </w:tc>
        <w:tc>
          <w:tcPr>
            <w:tcW w:w="860" w:type="dxa"/>
            <w:vAlign w:val="bottom"/>
          </w:tcPr>
          <w:p>
            <w:pPr>
              <w:jc w:val="center"/>
              <w:spacing w:after="0" w:line="135" w:lineRule="exact"/>
              <w:rPr>
                <w:sz w:val="20"/>
                <w:szCs w:val="20"/>
                <w:color w:val="auto"/>
              </w:rPr>
            </w:pPr>
            <w:r>
              <w:rPr>
                <w:rFonts w:ascii="Arial" w:cs="Arial" w:eastAsia="Arial" w:hAnsi="Arial"/>
                <w:sz w:val="13"/>
                <w:szCs w:val="13"/>
                <w:b w:val="1"/>
                <w:bCs w:val="1"/>
                <w:color w:val="0033A0"/>
                <w:w w:val="95"/>
              </w:rPr>
              <w:t>Option</w:t>
            </w: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0033A0"/>
                <w:w w:val="95"/>
              </w:rPr>
              <w:t>Have Not</w:t>
            </w: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0033A0"/>
                <w:w w:val="95"/>
              </w:rPr>
              <w:t>Have Not</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0033A0"/>
                <w:w w:val="96"/>
              </w:rPr>
              <w:t>Have</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0033A0"/>
                <w:w w:val="94"/>
              </w:rPr>
              <w:t>That</w:t>
            </w:r>
          </w:p>
        </w:tc>
      </w:tr>
      <w:tr>
        <w:trPr>
          <w:trHeight w:val="135"/>
        </w:trPr>
        <w:tc>
          <w:tcPr>
            <w:tcW w:w="2860" w:type="dxa"/>
            <w:vAlign w:val="bottom"/>
          </w:tcPr>
          <w:p>
            <w:pPr>
              <w:spacing w:after="0"/>
              <w:rPr>
                <w:sz w:val="11"/>
                <w:szCs w:val="11"/>
                <w:color w:val="auto"/>
              </w:rPr>
            </w:pPr>
          </w:p>
        </w:tc>
        <w:tc>
          <w:tcPr>
            <w:tcW w:w="860" w:type="dxa"/>
            <w:vAlign w:val="bottom"/>
          </w:tcPr>
          <w:p>
            <w:pPr>
              <w:jc w:val="right"/>
              <w:ind w:right="113"/>
              <w:spacing w:after="0" w:line="135" w:lineRule="exact"/>
              <w:rPr>
                <w:sz w:val="20"/>
                <w:szCs w:val="20"/>
                <w:color w:val="auto"/>
              </w:rPr>
            </w:pPr>
            <w:r>
              <w:rPr>
                <w:rFonts w:ascii="Arial" w:cs="Arial" w:eastAsia="Arial" w:hAnsi="Arial"/>
                <w:sz w:val="13"/>
                <w:szCs w:val="13"/>
                <w:b w:val="1"/>
                <w:bCs w:val="1"/>
                <w:color w:val="0033A0"/>
              </w:rPr>
              <w:t>Award</w:t>
            </w:r>
          </w:p>
        </w:tc>
        <w:tc>
          <w:tcPr>
            <w:tcW w:w="1140" w:type="dxa"/>
            <w:vAlign w:val="bottom"/>
          </w:tcPr>
          <w:p>
            <w:pPr>
              <w:jc w:val="center"/>
              <w:spacing w:after="0" w:line="135" w:lineRule="exact"/>
              <w:rPr>
                <w:sz w:val="20"/>
                <w:szCs w:val="20"/>
                <w:color w:val="auto"/>
              </w:rPr>
            </w:pPr>
            <w:r>
              <w:rPr>
                <w:rFonts w:ascii="Arial" w:cs="Arial" w:eastAsia="Arial" w:hAnsi="Arial"/>
                <w:sz w:val="13"/>
                <w:szCs w:val="13"/>
                <w:b w:val="1"/>
                <w:bCs w:val="1"/>
                <w:color w:val="0033A0"/>
                <w:w w:val="97"/>
              </w:rPr>
              <w:t>Options</w:t>
            </w:r>
          </w:p>
        </w:tc>
        <w:tc>
          <w:tcPr>
            <w:tcW w:w="1340" w:type="dxa"/>
            <w:vAlign w:val="bottom"/>
          </w:tcPr>
          <w:p>
            <w:pPr>
              <w:jc w:val="center"/>
              <w:ind w:right="34"/>
              <w:spacing w:after="0" w:line="135" w:lineRule="exact"/>
              <w:rPr>
                <w:sz w:val="20"/>
                <w:szCs w:val="20"/>
                <w:color w:val="auto"/>
              </w:rPr>
            </w:pPr>
            <w:r>
              <w:rPr>
                <w:rFonts w:ascii="Arial" w:cs="Arial" w:eastAsia="Arial" w:hAnsi="Arial"/>
                <w:sz w:val="13"/>
                <w:szCs w:val="13"/>
                <w:b w:val="1"/>
                <w:bCs w:val="1"/>
                <w:color w:val="0033A0"/>
                <w:w w:val="97"/>
              </w:rPr>
              <w:t>Options</w:t>
            </w:r>
          </w:p>
        </w:tc>
        <w:tc>
          <w:tcPr>
            <w:tcW w:w="640" w:type="dxa"/>
            <w:vAlign w:val="bottom"/>
          </w:tcPr>
          <w:p>
            <w:pPr>
              <w:jc w:val="center"/>
              <w:ind w:right="54"/>
              <w:spacing w:after="0" w:line="135" w:lineRule="exact"/>
              <w:rPr>
                <w:sz w:val="20"/>
                <w:szCs w:val="20"/>
                <w:color w:val="auto"/>
              </w:rPr>
            </w:pPr>
            <w:r>
              <w:rPr>
                <w:rFonts w:ascii="Arial" w:cs="Arial" w:eastAsia="Arial" w:hAnsi="Arial"/>
                <w:sz w:val="13"/>
                <w:szCs w:val="13"/>
                <w:b w:val="1"/>
                <w:bCs w:val="1"/>
                <w:color w:val="0033A0"/>
                <w:w w:val="99"/>
              </w:rPr>
              <w:t>Price</w:t>
            </w:r>
            <w:r>
              <w:rPr>
                <w:rFonts w:ascii="Arial" w:cs="Arial" w:eastAsia="Arial" w:hAnsi="Arial"/>
                <w:sz w:val="10"/>
                <w:szCs w:val="10"/>
                <w:b w:val="1"/>
                <w:bCs w:val="1"/>
                <w:color w:val="0033A0"/>
                <w:w w:val="99"/>
              </w:rPr>
              <w:t>(1)</w:t>
            </w:r>
          </w:p>
        </w:tc>
        <w:tc>
          <w:tcPr>
            <w:tcW w:w="860" w:type="dxa"/>
            <w:vAlign w:val="bottom"/>
          </w:tcPr>
          <w:p>
            <w:pPr>
              <w:jc w:val="center"/>
              <w:spacing w:after="0" w:line="135" w:lineRule="exact"/>
              <w:rPr>
                <w:sz w:val="20"/>
                <w:szCs w:val="20"/>
                <w:color w:val="auto"/>
              </w:rPr>
            </w:pPr>
            <w:r>
              <w:rPr>
                <w:rFonts w:ascii="Arial" w:cs="Arial" w:eastAsia="Arial" w:hAnsi="Arial"/>
                <w:sz w:val="13"/>
                <w:szCs w:val="13"/>
                <w:b w:val="1"/>
                <w:bCs w:val="1"/>
                <w:color w:val="0033A0"/>
                <w:w w:val="97"/>
              </w:rPr>
              <w:t>Expiration</w:t>
            </w: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0033A0"/>
                <w:w w:val="98"/>
              </w:rPr>
              <w:t>Vested</w:t>
            </w:r>
            <w:r>
              <w:rPr>
                <w:rFonts w:ascii="Arial" w:cs="Arial" w:eastAsia="Arial" w:hAnsi="Arial"/>
                <w:sz w:val="10"/>
                <w:szCs w:val="10"/>
                <w:b w:val="1"/>
                <w:bCs w:val="1"/>
                <w:color w:val="0033A0"/>
                <w:w w:val="98"/>
              </w:rPr>
              <w:t>(2)</w:t>
            </w: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0033A0"/>
                <w:w w:val="98"/>
              </w:rPr>
              <w:t>Vested</w:t>
            </w:r>
            <w:r>
              <w:rPr>
                <w:rFonts w:ascii="Arial" w:cs="Arial" w:eastAsia="Arial" w:hAnsi="Arial"/>
                <w:sz w:val="10"/>
                <w:szCs w:val="10"/>
                <w:b w:val="1"/>
                <w:bCs w:val="1"/>
                <w:color w:val="0033A0"/>
                <w:w w:val="98"/>
              </w:rPr>
              <w:t>(3)</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0033A0"/>
              </w:rPr>
              <w:t>Not</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0033A0"/>
                <w:w w:val="95"/>
              </w:rPr>
              <w:t>Have Not</w:t>
            </w:r>
          </w:p>
        </w:tc>
      </w:tr>
      <w:tr>
        <w:trPr>
          <w:trHeight w:val="162"/>
        </w:trPr>
        <w:tc>
          <w:tcPr>
            <w:tcW w:w="2860" w:type="dxa"/>
            <w:vAlign w:val="bottom"/>
            <w:tcBorders>
              <w:bottom w:val="single" w:sz="8" w:color="0033A0"/>
            </w:tcBorders>
          </w:tcPr>
          <w:p>
            <w:pPr>
              <w:ind w:left="60"/>
              <w:spacing w:after="0"/>
              <w:rPr>
                <w:sz w:val="20"/>
                <w:szCs w:val="20"/>
                <w:color w:val="auto"/>
              </w:rPr>
            </w:pPr>
            <w:r>
              <w:rPr>
                <w:rFonts w:ascii="Arial" w:cs="Arial" w:eastAsia="Arial" w:hAnsi="Arial"/>
                <w:sz w:val="13"/>
                <w:szCs w:val="13"/>
                <w:b w:val="1"/>
                <w:bCs w:val="1"/>
                <w:color w:val="0033A0"/>
              </w:rPr>
              <w:t>Name</w:t>
            </w:r>
          </w:p>
        </w:tc>
        <w:tc>
          <w:tcPr>
            <w:tcW w:w="860" w:type="dxa"/>
            <w:vAlign w:val="bottom"/>
            <w:tcBorders>
              <w:bottom w:val="single" w:sz="8" w:color="0033A0"/>
            </w:tcBorders>
          </w:tcPr>
          <w:p>
            <w:pPr>
              <w:jc w:val="right"/>
              <w:ind w:right="153"/>
              <w:spacing w:after="0"/>
              <w:rPr>
                <w:sz w:val="20"/>
                <w:szCs w:val="20"/>
                <w:color w:val="auto"/>
              </w:rPr>
            </w:pPr>
            <w:r>
              <w:rPr>
                <w:rFonts w:ascii="Arial" w:cs="Arial" w:eastAsia="Arial" w:hAnsi="Arial"/>
                <w:sz w:val="13"/>
                <w:szCs w:val="13"/>
                <w:b w:val="1"/>
                <w:bCs w:val="1"/>
                <w:color w:val="0033A0"/>
              </w:rPr>
              <w:t>Type</w:t>
            </w:r>
          </w:p>
        </w:tc>
        <w:tc>
          <w:tcPr>
            <w:tcW w:w="1140" w:type="dxa"/>
            <w:vAlign w:val="bottom"/>
            <w:tcBorders>
              <w:bottom w:val="single" w:sz="8" w:color="0033A0"/>
            </w:tcBorders>
          </w:tcPr>
          <w:p>
            <w:pPr>
              <w:jc w:val="center"/>
              <w:spacing w:after="0"/>
              <w:rPr>
                <w:sz w:val="20"/>
                <w:szCs w:val="20"/>
                <w:color w:val="auto"/>
              </w:rPr>
            </w:pPr>
            <w:r>
              <w:rPr>
                <w:rFonts w:ascii="Arial" w:cs="Arial" w:eastAsia="Arial" w:hAnsi="Arial"/>
                <w:sz w:val="13"/>
                <w:szCs w:val="13"/>
                <w:b w:val="1"/>
                <w:bCs w:val="1"/>
                <w:color w:val="0033A0"/>
                <w:w w:val="95"/>
              </w:rPr>
              <w:t>(#)Exercisable</w:t>
            </w:r>
          </w:p>
        </w:tc>
        <w:tc>
          <w:tcPr>
            <w:tcW w:w="1340" w:type="dxa"/>
            <w:vAlign w:val="bottom"/>
            <w:tcBorders>
              <w:bottom w:val="single" w:sz="8" w:color="0033A0"/>
            </w:tcBorders>
          </w:tcPr>
          <w:p>
            <w:pPr>
              <w:jc w:val="center"/>
              <w:ind w:right="54"/>
              <w:spacing w:after="0"/>
              <w:rPr>
                <w:sz w:val="20"/>
                <w:szCs w:val="20"/>
                <w:color w:val="auto"/>
              </w:rPr>
            </w:pPr>
            <w:r>
              <w:rPr>
                <w:rFonts w:ascii="Arial" w:cs="Arial" w:eastAsia="Arial" w:hAnsi="Arial"/>
                <w:sz w:val="13"/>
                <w:szCs w:val="13"/>
                <w:b w:val="1"/>
                <w:bCs w:val="1"/>
                <w:color w:val="0033A0"/>
                <w:w w:val="97"/>
              </w:rPr>
              <w:t>(#)Unexercisable</w:t>
            </w:r>
          </w:p>
        </w:tc>
        <w:tc>
          <w:tcPr>
            <w:tcW w:w="640" w:type="dxa"/>
            <w:vAlign w:val="bottom"/>
            <w:tcBorders>
              <w:bottom w:val="single" w:sz="8" w:color="0033A0"/>
            </w:tcBorders>
          </w:tcPr>
          <w:p>
            <w:pPr>
              <w:ind w:left="180"/>
              <w:spacing w:after="0"/>
              <w:rPr>
                <w:sz w:val="20"/>
                <w:szCs w:val="20"/>
                <w:color w:val="auto"/>
              </w:rPr>
            </w:pPr>
            <w:r>
              <w:rPr>
                <w:rFonts w:ascii="Arial" w:cs="Arial" w:eastAsia="Arial" w:hAnsi="Arial"/>
                <w:sz w:val="13"/>
                <w:szCs w:val="13"/>
                <w:b w:val="1"/>
                <w:bCs w:val="1"/>
                <w:color w:val="0033A0"/>
              </w:rPr>
              <w:t>($)</w:t>
            </w:r>
          </w:p>
        </w:tc>
        <w:tc>
          <w:tcPr>
            <w:tcW w:w="860" w:type="dxa"/>
            <w:vAlign w:val="bottom"/>
            <w:tcBorders>
              <w:bottom w:val="single" w:sz="8" w:color="0033A0"/>
            </w:tcBorders>
          </w:tcPr>
          <w:p>
            <w:pPr>
              <w:jc w:val="center"/>
              <w:spacing w:after="0"/>
              <w:rPr>
                <w:sz w:val="20"/>
                <w:szCs w:val="20"/>
                <w:color w:val="auto"/>
              </w:rPr>
            </w:pPr>
            <w:r>
              <w:rPr>
                <w:rFonts w:ascii="Arial" w:cs="Arial" w:eastAsia="Arial" w:hAnsi="Arial"/>
                <w:sz w:val="13"/>
                <w:szCs w:val="13"/>
                <w:b w:val="1"/>
                <w:bCs w:val="1"/>
                <w:color w:val="0033A0"/>
                <w:w w:val="99"/>
              </w:rPr>
              <w:t>Date</w:t>
            </w:r>
          </w:p>
        </w:tc>
        <w:tc>
          <w:tcPr>
            <w:tcW w:w="880" w:type="dxa"/>
            <w:vAlign w:val="bottom"/>
            <w:tcBorders>
              <w:bottom w:val="single" w:sz="8" w:color="0033A0"/>
            </w:tcBorders>
          </w:tcPr>
          <w:p>
            <w:pPr>
              <w:jc w:val="center"/>
              <w:spacing w:after="0"/>
              <w:rPr>
                <w:sz w:val="20"/>
                <w:szCs w:val="20"/>
                <w:color w:val="auto"/>
              </w:rPr>
            </w:pPr>
            <w:r>
              <w:rPr>
                <w:rFonts w:ascii="Arial" w:cs="Arial" w:eastAsia="Arial" w:hAnsi="Arial"/>
                <w:sz w:val="13"/>
                <w:szCs w:val="13"/>
                <w:b w:val="1"/>
                <w:bCs w:val="1"/>
                <w:color w:val="0033A0"/>
                <w:w w:val="87"/>
              </w:rPr>
              <w:t>(#)</w:t>
            </w:r>
          </w:p>
        </w:tc>
        <w:tc>
          <w:tcPr>
            <w:tcW w:w="840" w:type="dxa"/>
            <w:vAlign w:val="bottom"/>
            <w:tcBorders>
              <w:bottom w:val="single" w:sz="8" w:color="0033A0"/>
            </w:tcBorders>
          </w:tcPr>
          <w:p>
            <w:pPr>
              <w:jc w:val="center"/>
              <w:spacing w:after="0"/>
              <w:rPr>
                <w:sz w:val="20"/>
                <w:szCs w:val="20"/>
                <w:color w:val="auto"/>
              </w:rPr>
            </w:pPr>
            <w:r>
              <w:rPr>
                <w:rFonts w:ascii="Arial" w:cs="Arial" w:eastAsia="Arial" w:hAnsi="Arial"/>
                <w:sz w:val="13"/>
                <w:szCs w:val="13"/>
                <w:b w:val="1"/>
                <w:bCs w:val="1"/>
                <w:color w:val="0033A0"/>
                <w:w w:val="87"/>
              </w:rPr>
              <w:t>($)</w:t>
            </w:r>
          </w:p>
        </w:tc>
        <w:tc>
          <w:tcPr>
            <w:tcW w:w="800" w:type="dxa"/>
            <w:vAlign w:val="bottom"/>
            <w:tcBorders>
              <w:bottom w:val="single" w:sz="8" w:color="0033A0"/>
            </w:tcBorders>
          </w:tcPr>
          <w:p>
            <w:pPr>
              <w:jc w:val="center"/>
              <w:spacing w:after="0"/>
              <w:rPr>
                <w:sz w:val="20"/>
                <w:szCs w:val="20"/>
                <w:color w:val="auto"/>
              </w:rPr>
            </w:pPr>
            <w:r>
              <w:rPr>
                <w:rFonts w:ascii="Arial" w:cs="Arial" w:eastAsia="Arial" w:hAnsi="Arial"/>
                <w:sz w:val="13"/>
                <w:szCs w:val="13"/>
                <w:b w:val="1"/>
                <w:bCs w:val="1"/>
                <w:color w:val="0033A0"/>
                <w:w w:val="98"/>
              </w:rPr>
              <w:t>Vested</w:t>
            </w:r>
          </w:p>
        </w:tc>
        <w:tc>
          <w:tcPr>
            <w:tcW w:w="800" w:type="dxa"/>
            <w:vAlign w:val="bottom"/>
            <w:tcBorders>
              <w:bottom w:val="single" w:sz="8" w:color="0033A0"/>
            </w:tcBorders>
          </w:tcPr>
          <w:p>
            <w:pPr>
              <w:jc w:val="center"/>
              <w:spacing w:after="0"/>
              <w:rPr>
                <w:sz w:val="20"/>
                <w:szCs w:val="20"/>
                <w:color w:val="auto"/>
              </w:rPr>
            </w:pPr>
            <w:r>
              <w:rPr>
                <w:rFonts w:ascii="Arial" w:cs="Arial" w:eastAsia="Arial" w:hAnsi="Arial"/>
                <w:sz w:val="13"/>
                <w:szCs w:val="13"/>
                <w:b w:val="1"/>
                <w:bCs w:val="1"/>
                <w:color w:val="0033A0"/>
                <w:w w:val="98"/>
              </w:rPr>
              <w:t>Vested</w:t>
            </w:r>
            <w:r>
              <w:rPr>
                <w:rFonts w:ascii="Arial" w:cs="Arial" w:eastAsia="Arial" w:hAnsi="Arial"/>
                <w:sz w:val="10"/>
                <w:szCs w:val="10"/>
                <w:b w:val="1"/>
                <w:bCs w:val="1"/>
                <w:color w:val="0033A0"/>
                <w:w w:val="98"/>
              </w:rPr>
              <w:t>(4)</w:t>
            </w:r>
          </w:p>
        </w:tc>
      </w:tr>
      <w:tr>
        <w:trPr>
          <w:trHeight w:val="21"/>
        </w:trPr>
        <w:tc>
          <w:tcPr>
            <w:tcW w:w="2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8"/>
        </w:trPr>
        <w:tc>
          <w:tcPr>
            <w:tcW w:w="2860" w:type="dxa"/>
            <w:vAlign w:val="bottom"/>
            <w:shd w:val="clear" w:color="auto" w:fill="E5EAF5"/>
          </w:tcPr>
          <w:p>
            <w:pPr>
              <w:ind w:left="60"/>
              <w:spacing w:after="0" w:line="148" w:lineRule="exact"/>
              <w:rPr>
                <w:sz w:val="20"/>
                <w:szCs w:val="20"/>
                <w:color w:val="auto"/>
              </w:rPr>
            </w:pPr>
            <w:r>
              <w:rPr>
                <w:rFonts w:ascii="Arial" w:cs="Arial" w:eastAsia="Arial" w:hAnsi="Arial"/>
                <w:sz w:val="14"/>
                <w:szCs w:val="14"/>
                <w:color w:val="auto"/>
              </w:rPr>
              <w:t>Douglas A. Pertz</w:t>
            </w:r>
          </w:p>
        </w:tc>
        <w:tc>
          <w:tcPr>
            <w:tcW w:w="860" w:type="dxa"/>
            <w:vAlign w:val="bottom"/>
            <w:shd w:val="clear" w:color="auto" w:fill="E5EAF5"/>
          </w:tcPr>
          <w:p>
            <w:pPr>
              <w:spacing w:after="0"/>
              <w:rPr>
                <w:sz w:val="12"/>
                <w:szCs w:val="12"/>
                <w:color w:val="auto"/>
              </w:rPr>
            </w:pPr>
          </w:p>
        </w:tc>
        <w:tc>
          <w:tcPr>
            <w:tcW w:w="1140" w:type="dxa"/>
            <w:vAlign w:val="bottom"/>
            <w:shd w:val="clear" w:color="auto" w:fill="E5EAF5"/>
          </w:tcPr>
          <w:p>
            <w:pPr>
              <w:spacing w:after="0"/>
              <w:rPr>
                <w:sz w:val="12"/>
                <w:szCs w:val="12"/>
                <w:color w:val="auto"/>
              </w:rPr>
            </w:pPr>
          </w:p>
        </w:tc>
        <w:tc>
          <w:tcPr>
            <w:tcW w:w="1340" w:type="dxa"/>
            <w:vAlign w:val="bottom"/>
            <w:shd w:val="clear" w:color="auto" w:fill="E5EAF5"/>
          </w:tcPr>
          <w:p>
            <w:pPr>
              <w:spacing w:after="0"/>
              <w:rPr>
                <w:sz w:val="12"/>
                <w:szCs w:val="12"/>
                <w:color w:val="auto"/>
              </w:rPr>
            </w:pPr>
          </w:p>
        </w:tc>
        <w:tc>
          <w:tcPr>
            <w:tcW w:w="640" w:type="dxa"/>
            <w:vAlign w:val="bottom"/>
            <w:shd w:val="clear" w:color="auto" w:fill="E5EAF5"/>
          </w:tcPr>
          <w:p>
            <w:pPr>
              <w:spacing w:after="0"/>
              <w:rPr>
                <w:sz w:val="12"/>
                <w:szCs w:val="12"/>
                <w:color w:val="auto"/>
              </w:rPr>
            </w:pPr>
          </w:p>
        </w:tc>
        <w:tc>
          <w:tcPr>
            <w:tcW w:w="860" w:type="dxa"/>
            <w:vAlign w:val="bottom"/>
            <w:shd w:val="clear" w:color="auto" w:fill="E5EAF5"/>
          </w:tcPr>
          <w:p>
            <w:pPr>
              <w:spacing w:after="0"/>
              <w:rPr>
                <w:sz w:val="12"/>
                <w:szCs w:val="12"/>
                <w:color w:val="auto"/>
              </w:rPr>
            </w:pPr>
          </w:p>
        </w:tc>
        <w:tc>
          <w:tcPr>
            <w:tcW w:w="880" w:type="dxa"/>
            <w:vAlign w:val="bottom"/>
            <w:shd w:val="clear" w:color="auto" w:fill="E5EAF5"/>
          </w:tcPr>
          <w:p>
            <w:pPr>
              <w:spacing w:after="0"/>
              <w:rPr>
                <w:sz w:val="12"/>
                <w:szCs w:val="12"/>
                <w:color w:val="auto"/>
              </w:rPr>
            </w:pPr>
          </w:p>
        </w:tc>
        <w:tc>
          <w:tcPr>
            <w:tcW w:w="840" w:type="dxa"/>
            <w:vAlign w:val="bottom"/>
            <w:shd w:val="clear" w:color="auto" w:fill="E5EAF5"/>
          </w:tcPr>
          <w:p>
            <w:pPr>
              <w:spacing w:after="0"/>
              <w:rPr>
                <w:sz w:val="12"/>
                <w:szCs w:val="12"/>
                <w:color w:val="auto"/>
              </w:rPr>
            </w:pPr>
          </w:p>
        </w:tc>
        <w:tc>
          <w:tcPr>
            <w:tcW w:w="800" w:type="dxa"/>
            <w:vAlign w:val="bottom"/>
            <w:shd w:val="clear" w:color="auto" w:fill="E5EAF5"/>
          </w:tcPr>
          <w:p>
            <w:pPr>
              <w:spacing w:after="0"/>
              <w:rPr>
                <w:sz w:val="12"/>
                <w:szCs w:val="12"/>
                <w:color w:val="auto"/>
              </w:rPr>
            </w:pPr>
          </w:p>
        </w:tc>
        <w:tc>
          <w:tcPr>
            <w:tcW w:w="800" w:type="dxa"/>
            <w:vAlign w:val="bottom"/>
            <w:shd w:val="clear" w:color="auto" w:fill="E5EAF5"/>
          </w:tcPr>
          <w:p>
            <w:pPr>
              <w:spacing w:after="0"/>
              <w:rPr>
                <w:sz w:val="12"/>
                <w:szCs w:val="12"/>
                <w:color w:val="auto"/>
              </w:rPr>
            </w:pPr>
          </w:p>
        </w:tc>
      </w:tr>
      <w:tr>
        <w:trPr>
          <w:trHeight w:val="163"/>
        </w:trPr>
        <w:tc>
          <w:tcPr>
            <w:tcW w:w="2860" w:type="dxa"/>
            <w:vAlign w:val="bottom"/>
            <w:shd w:val="clear" w:color="auto" w:fill="E5EAF5"/>
          </w:tcPr>
          <w:p>
            <w:pPr>
              <w:ind w:left="60"/>
              <w:spacing w:after="0"/>
              <w:rPr>
                <w:sz w:val="20"/>
                <w:szCs w:val="20"/>
                <w:color w:val="auto"/>
              </w:rPr>
            </w:pPr>
            <w:r>
              <w:rPr>
                <w:rFonts w:ascii="Arial" w:cs="Arial" w:eastAsia="Arial" w:hAnsi="Arial"/>
                <w:sz w:val="14"/>
                <w:szCs w:val="14"/>
                <w:color w:val="auto"/>
              </w:rPr>
              <w:t>6/9/2016</w:t>
            </w:r>
          </w:p>
        </w:tc>
        <w:tc>
          <w:tcPr>
            <w:tcW w:w="860" w:type="dxa"/>
            <w:vAlign w:val="bottom"/>
            <w:shd w:val="clear" w:color="auto" w:fill="E5EAF5"/>
          </w:tcPr>
          <w:p>
            <w:pPr>
              <w:jc w:val="right"/>
              <w:spacing w:after="0"/>
              <w:rPr>
                <w:sz w:val="20"/>
                <w:szCs w:val="20"/>
                <w:color w:val="auto"/>
              </w:rPr>
            </w:pPr>
            <w:r>
              <w:rPr>
                <w:rFonts w:ascii="Arial" w:cs="Arial" w:eastAsia="Arial" w:hAnsi="Arial"/>
                <w:sz w:val="14"/>
                <w:szCs w:val="14"/>
                <w:color w:val="auto"/>
              </w:rPr>
              <w:t>Option</w:t>
            </w:r>
          </w:p>
        </w:tc>
        <w:tc>
          <w:tcPr>
            <w:tcW w:w="1140" w:type="dxa"/>
            <w:vAlign w:val="bottom"/>
            <w:shd w:val="clear" w:color="auto" w:fill="E5EAF5"/>
          </w:tcPr>
          <w:p>
            <w:pPr>
              <w:spacing w:after="0"/>
              <w:rPr>
                <w:sz w:val="14"/>
                <w:szCs w:val="14"/>
                <w:color w:val="auto"/>
              </w:rPr>
            </w:pPr>
          </w:p>
        </w:tc>
        <w:tc>
          <w:tcPr>
            <w:tcW w:w="1340" w:type="dxa"/>
            <w:vAlign w:val="bottom"/>
            <w:shd w:val="clear" w:color="auto" w:fill="E5EAF5"/>
          </w:tcPr>
          <w:p>
            <w:pPr>
              <w:jc w:val="right"/>
              <w:ind w:right="154"/>
              <w:spacing w:after="0"/>
              <w:rPr>
                <w:sz w:val="20"/>
                <w:szCs w:val="20"/>
                <w:color w:val="auto"/>
              </w:rPr>
            </w:pPr>
            <w:r>
              <w:rPr>
                <w:rFonts w:ascii="Arial" w:cs="Arial" w:eastAsia="Arial" w:hAnsi="Arial"/>
                <w:sz w:val="14"/>
                <w:szCs w:val="14"/>
                <w:color w:val="auto"/>
              </w:rPr>
              <w:t>400,000</w:t>
            </w:r>
          </w:p>
        </w:tc>
        <w:tc>
          <w:tcPr>
            <w:tcW w:w="640" w:type="dxa"/>
            <w:vAlign w:val="bottom"/>
            <w:shd w:val="clear" w:color="auto" w:fill="E5EAF5"/>
          </w:tcPr>
          <w:p>
            <w:pPr>
              <w:ind w:left="180"/>
              <w:spacing w:after="0"/>
              <w:rPr>
                <w:sz w:val="20"/>
                <w:szCs w:val="20"/>
                <w:color w:val="auto"/>
              </w:rPr>
            </w:pPr>
            <w:r>
              <w:rPr>
                <w:rFonts w:ascii="Arial" w:cs="Arial" w:eastAsia="Arial" w:hAnsi="Arial"/>
                <w:sz w:val="14"/>
                <w:szCs w:val="14"/>
                <w:color w:val="auto"/>
              </w:rPr>
              <w:t>29.87</w:t>
            </w:r>
          </w:p>
        </w:tc>
        <w:tc>
          <w:tcPr>
            <w:tcW w:w="860" w:type="dxa"/>
            <w:vAlign w:val="bottom"/>
            <w:shd w:val="clear" w:color="auto" w:fill="E5EAF5"/>
          </w:tcPr>
          <w:p>
            <w:pPr>
              <w:jc w:val="right"/>
              <w:ind w:right="54"/>
              <w:spacing w:after="0"/>
              <w:rPr>
                <w:sz w:val="20"/>
                <w:szCs w:val="20"/>
                <w:color w:val="auto"/>
              </w:rPr>
            </w:pPr>
            <w:r>
              <w:rPr>
                <w:rFonts w:ascii="Arial" w:cs="Arial" w:eastAsia="Arial" w:hAnsi="Arial"/>
                <w:sz w:val="14"/>
                <w:szCs w:val="14"/>
                <w:color w:val="auto"/>
              </w:rPr>
              <w:t>6/9/2022</w:t>
            </w:r>
          </w:p>
        </w:tc>
        <w:tc>
          <w:tcPr>
            <w:tcW w:w="880" w:type="dxa"/>
            <w:vAlign w:val="bottom"/>
            <w:shd w:val="clear" w:color="auto" w:fill="E5EAF5"/>
          </w:tcPr>
          <w:p>
            <w:pPr>
              <w:spacing w:after="0"/>
              <w:rPr>
                <w:sz w:val="14"/>
                <w:szCs w:val="14"/>
                <w:color w:val="auto"/>
              </w:rPr>
            </w:pPr>
          </w:p>
        </w:tc>
        <w:tc>
          <w:tcPr>
            <w:tcW w:w="840" w:type="dxa"/>
            <w:vAlign w:val="bottom"/>
            <w:shd w:val="clear" w:color="auto" w:fill="E5EAF5"/>
          </w:tcPr>
          <w:p>
            <w:pPr>
              <w:spacing w:after="0"/>
              <w:rPr>
                <w:sz w:val="14"/>
                <w:szCs w:val="14"/>
                <w:color w:val="auto"/>
              </w:rPr>
            </w:pPr>
          </w:p>
        </w:tc>
        <w:tc>
          <w:tcPr>
            <w:tcW w:w="800" w:type="dxa"/>
            <w:vAlign w:val="bottom"/>
            <w:shd w:val="clear" w:color="auto" w:fill="E5EAF5"/>
          </w:tcPr>
          <w:p>
            <w:pPr>
              <w:spacing w:after="0"/>
              <w:rPr>
                <w:sz w:val="14"/>
                <w:szCs w:val="14"/>
                <w:color w:val="auto"/>
              </w:rPr>
            </w:pPr>
          </w:p>
        </w:tc>
        <w:tc>
          <w:tcPr>
            <w:tcW w:w="800" w:type="dxa"/>
            <w:vAlign w:val="bottom"/>
            <w:shd w:val="clear" w:color="auto" w:fill="E5EAF5"/>
          </w:tcPr>
          <w:p>
            <w:pPr>
              <w:spacing w:after="0"/>
              <w:rPr>
                <w:sz w:val="14"/>
                <w:szCs w:val="14"/>
                <w:color w:val="auto"/>
              </w:rPr>
            </w:pPr>
          </w:p>
        </w:tc>
      </w:tr>
      <w:tr>
        <w:trPr>
          <w:trHeight w:val="189"/>
        </w:trPr>
        <w:tc>
          <w:tcPr>
            <w:tcW w:w="2860" w:type="dxa"/>
            <w:vAlign w:val="bottom"/>
            <w:shd w:val="clear" w:color="auto" w:fill="E5EAF5"/>
          </w:tcPr>
          <w:p>
            <w:pPr>
              <w:ind w:left="60"/>
              <w:spacing w:after="0"/>
              <w:rPr>
                <w:sz w:val="20"/>
                <w:szCs w:val="20"/>
                <w:color w:val="auto"/>
              </w:rPr>
            </w:pPr>
            <w:r>
              <w:rPr>
                <w:rFonts w:ascii="Arial" w:cs="Arial" w:eastAsia="Arial" w:hAnsi="Arial"/>
                <w:sz w:val="14"/>
                <w:szCs w:val="14"/>
                <w:color w:val="auto"/>
              </w:rPr>
              <w:t>6/9/2016</w:t>
            </w:r>
          </w:p>
        </w:tc>
        <w:tc>
          <w:tcPr>
            <w:tcW w:w="860" w:type="dxa"/>
            <w:vAlign w:val="bottom"/>
            <w:shd w:val="clear" w:color="auto" w:fill="E5EAF5"/>
          </w:tcPr>
          <w:p>
            <w:pPr>
              <w:jc w:val="right"/>
              <w:spacing w:after="0"/>
              <w:rPr>
                <w:sz w:val="20"/>
                <w:szCs w:val="20"/>
                <w:color w:val="auto"/>
              </w:rPr>
            </w:pPr>
            <w:r>
              <w:rPr>
                <w:rFonts w:ascii="Arial" w:cs="Arial" w:eastAsia="Arial" w:hAnsi="Arial"/>
                <w:sz w:val="14"/>
                <w:szCs w:val="14"/>
                <w:color w:val="auto"/>
              </w:rPr>
              <w:t>IM PSU</w:t>
            </w:r>
          </w:p>
        </w:tc>
        <w:tc>
          <w:tcPr>
            <w:tcW w:w="1140" w:type="dxa"/>
            <w:vAlign w:val="bottom"/>
            <w:shd w:val="clear" w:color="auto" w:fill="E5EAF5"/>
          </w:tcPr>
          <w:p>
            <w:pPr>
              <w:spacing w:after="0"/>
              <w:rPr>
                <w:sz w:val="16"/>
                <w:szCs w:val="16"/>
                <w:color w:val="auto"/>
              </w:rPr>
            </w:pPr>
          </w:p>
        </w:tc>
        <w:tc>
          <w:tcPr>
            <w:tcW w:w="1340" w:type="dxa"/>
            <w:vAlign w:val="bottom"/>
            <w:shd w:val="clear" w:color="auto" w:fill="E5EAF5"/>
          </w:tcPr>
          <w:p>
            <w:pPr>
              <w:spacing w:after="0"/>
              <w:rPr>
                <w:sz w:val="16"/>
                <w:szCs w:val="16"/>
                <w:color w:val="auto"/>
              </w:rPr>
            </w:pPr>
          </w:p>
        </w:tc>
        <w:tc>
          <w:tcPr>
            <w:tcW w:w="640" w:type="dxa"/>
            <w:vAlign w:val="bottom"/>
            <w:shd w:val="clear" w:color="auto" w:fill="E5EAF5"/>
          </w:tcPr>
          <w:p>
            <w:pPr>
              <w:spacing w:after="0"/>
              <w:rPr>
                <w:sz w:val="16"/>
                <w:szCs w:val="16"/>
                <w:color w:val="auto"/>
              </w:rPr>
            </w:pPr>
          </w:p>
        </w:tc>
        <w:tc>
          <w:tcPr>
            <w:tcW w:w="860" w:type="dxa"/>
            <w:vAlign w:val="bottom"/>
            <w:shd w:val="clear" w:color="auto" w:fill="E5EAF5"/>
          </w:tcPr>
          <w:p>
            <w:pPr>
              <w:spacing w:after="0"/>
              <w:rPr>
                <w:sz w:val="16"/>
                <w:szCs w:val="16"/>
                <w:color w:val="auto"/>
              </w:rPr>
            </w:pPr>
          </w:p>
        </w:tc>
        <w:tc>
          <w:tcPr>
            <w:tcW w:w="880" w:type="dxa"/>
            <w:vAlign w:val="bottom"/>
            <w:shd w:val="clear" w:color="auto" w:fill="E5EAF5"/>
          </w:tcPr>
          <w:p>
            <w:pPr>
              <w:spacing w:after="0"/>
              <w:rPr>
                <w:sz w:val="16"/>
                <w:szCs w:val="16"/>
                <w:color w:val="auto"/>
              </w:rPr>
            </w:pPr>
          </w:p>
        </w:tc>
        <w:tc>
          <w:tcPr>
            <w:tcW w:w="840" w:type="dxa"/>
            <w:vAlign w:val="bottom"/>
            <w:shd w:val="clear" w:color="auto" w:fill="E5EAF5"/>
          </w:tcPr>
          <w:p>
            <w:pPr>
              <w:spacing w:after="0"/>
              <w:rPr>
                <w:sz w:val="16"/>
                <w:szCs w:val="16"/>
                <w:color w:val="auto"/>
              </w:rPr>
            </w:pPr>
          </w:p>
        </w:tc>
        <w:tc>
          <w:tcPr>
            <w:tcW w:w="800" w:type="dxa"/>
            <w:vAlign w:val="bottom"/>
            <w:shd w:val="clear" w:color="auto" w:fill="E5EAF5"/>
          </w:tcPr>
          <w:p>
            <w:pPr>
              <w:jc w:val="right"/>
              <w:ind w:right="35"/>
              <w:spacing w:after="0"/>
              <w:rPr>
                <w:sz w:val="20"/>
                <w:szCs w:val="20"/>
                <w:color w:val="auto"/>
              </w:rPr>
            </w:pPr>
            <w:r>
              <w:rPr>
                <w:rFonts w:ascii="Arial" w:cs="Arial" w:eastAsia="Arial" w:hAnsi="Arial"/>
                <w:sz w:val="14"/>
                <w:szCs w:val="14"/>
                <w:color w:val="auto"/>
              </w:rPr>
              <w:t>27,501</w:t>
            </w:r>
          </w:p>
        </w:tc>
        <w:tc>
          <w:tcPr>
            <w:tcW w:w="800" w:type="dxa"/>
            <w:vAlign w:val="bottom"/>
            <w:shd w:val="clear" w:color="auto" w:fill="E5EAF5"/>
          </w:tcPr>
          <w:p>
            <w:pPr>
              <w:jc w:val="right"/>
              <w:ind w:right="55"/>
              <w:spacing w:after="0"/>
              <w:rPr>
                <w:sz w:val="20"/>
                <w:szCs w:val="20"/>
                <w:color w:val="auto"/>
              </w:rPr>
            </w:pPr>
            <w:r>
              <w:rPr>
                <w:rFonts w:ascii="Arial" w:cs="Arial" w:eastAsia="Arial" w:hAnsi="Arial"/>
                <w:sz w:val="14"/>
                <w:szCs w:val="14"/>
                <w:color w:val="auto"/>
              </w:rPr>
              <w:t>1,777,940</w:t>
            </w:r>
          </w:p>
        </w:tc>
      </w:tr>
      <w:tr>
        <w:trPr>
          <w:trHeight w:val="189"/>
        </w:trPr>
        <w:tc>
          <w:tcPr>
            <w:tcW w:w="2860" w:type="dxa"/>
            <w:vAlign w:val="bottom"/>
            <w:shd w:val="clear" w:color="auto" w:fill="E5EAF5"/>
          </w:tcPr>
          <w:p>
            <w:pPr>
              <w:ind w:left="60"/>
              <w:spacing w:after="0"/>
              <w:rPr>
                <w:sz w:val="20"/>
                <w:szCs w:val="20"/>
                <w:color w:val="auto"/>
              </w:rPr>
            </w:pPr>
            <w:r>
              <w:rPr>
                <w:rFonts w:ascii="Arial" w:cs="Arial" w:eastAsia="Arial" w:hAnsi="Arial"/>
                <w:sz w:val="14"/>
                <w:szCs w:val="14"/>
                <w:color w:val="auto"/>
              </w:rPr>
              <w:t>6/9/2016</w:t>
            </w:r>
          </w:p>
        </w:tc>
        <w:tc>
          <w:tcPr>
            <w:tcW w:w="860" w:type="dxa"/>
            <w:vAlign w:val="bottom"/>
            <w:shd w:val="clear" w:color="auto" w:fill="E5EAF5"/>
          </w:tcPr>
          <w:p>
            <w:pPr>
              <w:jc w:val="right"/>
              <w:spacing w:after="0"/>
              <w:rPr>
                <w:sz w:val="20"/>
                <w:szCs w:val="20"/>
                <w:color w:val="auto"/>
              </w:rPr>
            </w:pPr>
            <w:r>
              <w:rPr>
                <w:rFonts w:ascii="Arial" w:cs="Arial" w:eastAsia="Arial" w:hAnsi="Arial"/>
                <w:sz w:val="14"/>
                <w:szCs w:val="14"/>
                <w:color w:val="auto"/>
              </w:rPr>
              <w:t>TSR PSU</w:t>
            </w:r>
          </w:p>
        </w:tc>
        <w:tc>
          <w:tcPr>
            <w:tcW w:w="1140" w:type="dxa"/>
            <w:vAlign w:val="bottom"/>
            <w:shd w:val="clear" w:color="auto" w:fill="E5EAF5"/>
          </w:tcPr>
          <w:p>
            <w:pPr>
              <w:spacing w:after="0"/>
              <w:rPr>
                <w:sz w:val="16"/>
                <w:szCs w:val="16"/>
                <w:color w:val="auto"/>
              </w:rPr>
            </w:pPr>
          </w:p>
        </w:tc>
        <w:tc>
          <w:tcPr>
            <w:tcW w:w="1340" w:type="dxa"/>
            <w:vAlign w:val="bottom"/>
            <w:shd w:val="clear" w:color="auto" w:fill="E5EAF5"/>
          </w:tcPr>
          <w:p>
            <w:pPr>
              <w:spacing w:after="0"/>
              <w:rPr>
                <w:sz w:val="16"/>
                <w:szCs w:val="16"/>
                <w:color w:val="auto"/>
              </w:rPr>
            </w:pPr>
          </w:p>
        </w:tc>
        <w:tc>
          <w:tcPr>
            <w:tcW w:w="640" w:type="dxa"/>
            <w:vAlign w:val="bottom"/>
            <w:shd w:val="clear" w:color="auto" w:fill="E5EAF5"/>
          </w:tcPr>
          <w:p>
            <w:pPr>
              <w:spacing w:after="0"/>
              <w:rPr>
                <w:sz w:val="16"/>
                <w:szCs w:val="16"/>
                <w:color w:val="auto"/>
              </w:rPr>
            </w:pPr>
          </w:p>
        </w:tc>
        <w:tc>
          <w:tcPr>
            <w:tcW w:w="860" w:type="dxa"/>
            <w:vAlign w:val="bottom"/>
            <w:shd w:val="clear" w:color="auto" w:fill="E5EAF5"/>
          </w:tcPr>
          <w:p>
            <w:pPr>
              <w:spacing w:after="0"/>
              <w:rPr>
                <w:sz w:val="16"/>
                <w:szCs w:val="16"/>
                <w:color w:val="auto"/>
              </w:rPr>
            </w:pPr>
          </w:p>
        </w:tc>
        <w:tc>
          <w:tcPr>
            <w:tcW w:w="880" w:type="dxa"/>
            <w:vAlign w:val="bottom"/>
            <w:shd w:val="clear" w:color="auto" w:fill="E5EAF5"/>
          </w:tcPr>
          <w:p>
            <w:pPr>
              <w:spacing w:after="0"/>
              <w:rPr>
                <w:sz w:val="16"/>
                <w:szCs w:val="16"/>
                <w:color w:val="auto"/>
              </w:rPr>
            </w:pPr>
          </w:p>
        </w:tc>
        <w:tc>
          <w:tcPr>
            <w:tcW w:w="840" w:type="dxa"/>
            <w:vAlign w:val="bottom"/>
            <w:shd w:val="clear" w:color="auto" w:fill="E5EAF5"/>
          </w:tcPr>
          <w:p>
            <w:pPr>
              <w:spacing w:after="0"/>
              <w:rPr>
                <w:sz w:val="16"/>
                <w:szCs w:val="16"/>
                <w:color w:val="auto"/>
              </w:rPr>
            </w:pPr>
          </w:p>
        </w:tc>
        <w:tc>
          <w:tcPr>
            <w:tcW w:w="800" w:type="dxa"/>
            <w:vAlign w:val="bottom"/>
            <w:shd w:val="clear" w:color="auto" w:fill="E5EAF5"/>
          </w:tcPr>
          <w:p>
            <w:pPr>
              <w:jc w:val="right"/>
              <w:ind w:right="35"/>
              <w:spacing w:after="0"/>
              <w:rPr>
                <w:sz w:val="20"/>
                <w:szCs w:val="20"/>
                <w:color w:val="auto"/>
              </w:rPr>
            </w:pPr>
            <w:r>
              <w:rPr>
                <w:rFonts w:ascii="Arial" w:cs="Arial" w:eastAsia="Arial" w:hAnsi="Arial"/>
                <w:sz w:val="14"/>
                <w:szCs w:val="14"/>
                <w:color w:val="auto"/>
              </w:rPr>
              <w:t>26,418</w:t>
            </w:r>
          </w:p>
        </w:tc>
        <w:tc>
          <w:tcPr>
            <w:tcW w:w="800" w:type="dxa"/>
            <w:vAlign w:val="bottom"/>
            <w:shd w:val="clear" w:color="auto" w:fill="E5EAF5"/>
          </w:tcPr>
          <w:p>
            <w:pPr>
              <w:jc w:val="right"/>
              <w:ind w:right="55"/>
              <w:spacing w:after="0"/>
              <w:rPr>
                <w:sz w:val="20"/>
                <w:szCs w:val="20"/>
                <w:color w:val="auto"/>
              </w:rPr>
            </w:pPr>
            <w:r>
              <w:rPr>
                <w:rFonts w:ascii="Arial" w:cs="Arial" w:eastAsia="Arial" w:hAnsi="Arial"/>
                <w:sz w:val="14"/>
                <w:szCs w:val="14"/>
                <w:color w:val="auto"/>
              </w:rPr>
              <w:t>1,707,924</w:t>
            </w:r>
          </w:p>
        </w:tc>
      </w:tr>
      <w:tr>
        <w:trPr>
          <w:trHeight w:val="189"/>
        </w:trPr>
        <w:tc>
          <w:tcPr>
            <w:tcW w:w="2860" w:type="dxa"/>
            <w:vAlign w:val="bottom"/>
            <w:shd w:val="clear" w:color="auto" w:fill="E5EAF5"/>
          </w:tcPr>
          <w:p>
            <w:pPr>
              <w:ind w:left="60"/>
              <w:spacing w:after="0"/>
              <w:rPr>
                <w:sz w:val="20"/>
                <w:szCs w:val="20"/>
                <w:color w:val="auto"/>
              </w:rPr>
            </w:pPr>
            <w:r>
              <w:rPr>
                <w:rFonts w:ascii="Arial" w:cs="Arial" w:eastAsia="Arial" w:hAnsi="Arial"/>
                <w:sz w:val="14"/>
                <w:szCs w:val="14"/>
                <w:color w:val="auto"/>
              </w:rPr>
              <w:t>6/9/2016</w:t>
            </w:r>
          </w:p>
        </w:tc>
        <w:tc>
          <w:tcPr>
            <w:tcW w:w="860" w:type="dxa"/>
            <w:vAlign w:val="bottom"/>
            <w:shd w:val="clear" w:color="auto" w:fill="E5EAF5"/>
          </w:tcPr>
          <w:p>
            <w:pPr>
              <w:jc w:val="right"/>
              <w:spacing w:after="0"/>
              <w:rPr>
                <w:sz w:val="20"/>
                <w:szCs w:val="20"/>
                <w:color w:val="auto"/>
              </w:rPr>
            </w:pPr>
            <w:r>
              <w:rPr>
                <w:rFonts w:ascii="Arial" w:cs="Arial" w:eastAsia="Arial" w:hAnsi="Arial"/>
                <w:sz w:val="14"/>
                <w:szCs w:val="14"/>
                <w:color w:val="auto"/>
              </w:rPr>
              <w:t>RSU</w:t>
            </w:r>
          </w:p>
        </w:tc>
        <w:tc>
          <w:tcPr>
            <w:tcW w:w="1140" w:type="dxa"/>
            <w:vAlign w:val="bottom"/>
            <w:shd w:val="clear" w:color="auto" w:fill="E5EAF5"/>
          </w:tcPr>
          <w:p>
            <w:pPr>
              <w:spacing w:after="0"/>
              <w:rPr>
                <w:sz w:val="16"/>
                <w:szCs w:val="16"/>
                <w:color w:val="auto"/>
              </w:rPr>
            </w:pPr>
          </w:p>
        </w:tc>
        <w:tc>
          <w:tcPr>
            <w:tcW w:w="1340" w:type="dxa"/>
            <w:vAlign w:val="bottom"/>
            <w:shd w:val="clear" w:color="auto" w:fill="E5EAF5"/>
          </w:tcPr>
          <w:p>
            <w:pPr>
              <w:spacing w:after="0"/>
              <w:rPr>
                <w:sz w:val="16"/>
                <w:szCs w:val="16"/>
                <w:color w:val="auto"/>
              </w:rPr>
            </w:pPr>
          </w:p>
        </w:tc>
        <w:tc>
          <w:tcPr>
            <w:tcW w:w="640" w:type="dxa"/>
            <w:vAlign w:val="bottom"/>
            <w:shd w:val="clear" w:color="auto" w:fill="E5EAF5"/>
          </w:tcPr>
          <w:p>
            <w:pPr>
              <w:spacing w:after="0"/>
              <w:rPr>
                <w:sz w:val="16"/>
                <w:szCs w:val="16"/>
                <w:color w:val="auto"/>
              </w:rPr>
            </w:pPr>
          </w:p>
        </w:tc>
        <w:tc>
          <w:tcPr>
            <w:tcW w:w="860" w:type="dxa"/>
            <w:vAlign w:val="bottom"/>
            <w:shd w:val="clear" w:color="auto" w:fill="E5EAF5"/>
          </w:tcPr>
          <w:p>
            <w:pPr>
              <w:spacing w:after="0"/>
              <w:rPr>
                <w:sz w:val="16"/>
                <w:szCs w:val="16"/>
                <w:color w:val="auto"/>
              </w:rPr>
            </w:pPr>
          </w:p>
        </w:tc>
        <w:tc>
          <w:tcPr>
            <w:tcW w:w="880" w:type="dxa"/>
            <w:vAlign w:val="bottom"/>
            <w:shd w:val="clear" w:color="auto" w:fill="E5EAF5"/>
          </w:tcPr>
          <w:p>
            <w:pPr>
              <w:jc w:val="right"/>
              <w:ind w:right="54"/>
              <w:spacing w:after="0"/>
              <w:rPr>
                <w:sz w:val="20"/>
                <w:szCs w:val="20"/>
                <w:color w:val="auto"/>
              </w:rPr>
            </w:pPr>
            <w:r>
              <w:rPr>
                <w:rFonts w:ascii="Arial" w:cs="Arial" w:eastAsia="Arial" w:hAnsi="Arial"/>
                <w:sz w:val="14"/>
                <w:szCs w:val="14"/>
                <w:color w:val="auto"/>
              </w:rPr>
              <w:t>6,042</w:t>
            </w:r>
          </w:p>
        </w:tc>
        <w:tc>
          <w:tcPr>
            <w:tcW w:w="840" w:type="dxa"/>
            <w:vAlign w:val="bottom"/>
            <w:shd w:val="clear" w:color="auto" w:fill="E5EAF5"/>
          </w:tcPr>
          <w:p>
            <w:pPr>
              <w:jc w:val="right"/>
              <w:ind w:right="35"/>
              <w:spacing w:after="0"/>
              <w:rPr>
                <w:sz w:val="20"/>
                <w:szCs w:val="20"/>
                <w:color w:val="auto"/>
              </w:rPr>
            </w:pPr>
            <w:r>
              <w:rPr>
                <w:rFonts w:ascii="Arial" w:cs="Arial" w:eastAsia="Arial" w:hAnsi="Arial"/>
                <w:sz w:val="14"/>
                <w:szCs w:val="14"/>
                <w:color w:val="auto"/>
              </w:rPr>
              <w:t>390,615</w:t>
            </w:r>
          </w:p>
        </w:tc>
        <w:tc>
          <w:tcPr>
            <w:tcW w:w="800" w:type="dxa"/>
            <w:vAlign w:val="bottom"/>
            <w:shd w:val="clear" w:color="auto" w:fill="E5EAF5"/>
          </w:tcPr>
          <w:p>
            <w:pPr>
              <w:spacing w:after="0"/>
              <w:rPr>
                <w:sz w:val="16"/>
                <w:szCs w:val="16"/>
                <w:color w:val="auto"/>
              </w:rPr>
            </w:pPr>
          </w:p>
        </w:tc>
        <w:tc>
          <w:tcPr>
            <w:tcW w:w="800" w:type="dxa"/>
            <w:vAlign w:val="bottom"/>
            <w:shd w:val="clear" w:color="auto" w:fill="E5EAF5"/>
          </w:tcPr>
          <w:p>
            <w:pPr>
              <w:spacing w:after="0"/>
              <w:rPr>
                <w:sz w:val="16"/>
                <w:szCs w:val="16"/>
                <w:color w:val="auto"/>
              </w:rPr>
            </w:pPr>
          </w:p>
        </w:tc>
      </w:tr>
      <w:tr>
        <w:trPr>
          <w:trHeight w:val="189"/>
        </w:trPr>
        <w:tc>
          <w:tcPr>
            <w:tcW w:w="2860" w:type="dxa"/>
            <w:vAlign w:val="bottom"/>
            <w:shd w:val="clear" w:color="auto" w:fill="E5EAF5"/>
          </w:tcPr>
          <w:p>
            <w:pPr>
              <w:ind w:left="60"/>
              <w:spacing w:after="0"/>
              <w:rPr>
                <w:sz w:val="20"/>
                <w:szCs w:val="20"/>
                <w:color w:val="auto"/>
              </w:rPr>
            </w:pPr>
            <w:r>
              <w:rPr>
                <w:rFonts w:ascii="Arial" w:cs="Arial" w:eastAsia="Arial" w:hAnsi="Arial"/>
                <w:sz w:val="14"/>
                <w:szCs w:val="14"/>
                <w:color w:val="auto"/>
              </w:rPr>
              <w:t>6/9/2016</w:t>
            </w:r>
          </w:p>
        </w:tc>
        <w:tc>
          <w:tcPr>
            <w:tcW w:w="860" w:type="dxa"/>
            <w:vAlign w:val="bottom"/>
            <w:shd w:val="clear" w:color="auto" w:fill="E5EAF5"/>
          </w:tcPr>
          <w:p>
            <w:pPr>
              <w:jc w:val="right"/>
              <w:spacing w:after="0"/>
              <w:rPr>
                <w:sz w:val="20"/>
                <w:szCs w:val="20"/>
                <w:color w:val="auto"/>
              </w:rPr>
            </w:pPr>
            <w:r>
              <w:rPr>
                <w:rFonts w:ascii="Arial" w:cs="Arial" w:eastAsia="Arial" w:hAnsi="Arial"/>
                <w:sz w:val="14"/>
                <w:szCs w:val="14"/>
                <w:color w:val="auto"/>
              </w:rPr>
              <w:t>RSU</w:t>
            </w:r>
          </w:p>
        </w:tc>
        <w:tc>
          <w:tcPr>
            <w:tcW w:w="1140" w:type="dxa"/>
            <w:vAlign w:val="bottom"/>
            <w:shd w:val="clear" w:color="auto" w:fill="E5EAF5"/>
          </w:tcPr>
          <w:p>
            <w:pPr>
              <w:spacing w:after="0"/>
              <w:rPr>
                <w:sz w:val="16"/>
                <w:szCs w:val="16"/>
                <w:color w:val="auto"/>
              </w:rPr>
            </w:pPr>
          </w:p>
        </w:tc>
        <w:tc>
          <w:tcPr>
            <w:tcW w:w="1340" w:type="dxa"/>
            <w:vAlign w:val="bottom"/>
            <w:shd w:val="clear" w:color="auto" w:fill="E5EAF5"/>
          </w:tcPr>
          <w:p>
            <w:pPr>
              <w:spacing w:after="0"/>
              <w:rPr>
                <w:sz w:val="16"/>
                <w:szCs w:val="16"/>
                <w:color w:val="auto"/>
              </w:rPr>
            </w:pPr>
          </w:p>
        </w:tc>
        <w:tc>
          <w:tcPr>
            <w:tcW w:w="640" w:type="dxa"/>
            <w:vAlign w:val="bottom"/>
            <w:shd w:val="clear" w:color="auto" w:fill="E5EAF5"/>
          </w:tcPr>
          <w:p>
            <w:pPr>
              <w:spacing w:after="0"/>
              <w:rPr>
                <w:sz w:val="16"/>
                <w:szCs w:val="16"/>
                <w:color w:val="auto"/>
              </w:rPr>
            </w:pPr>
          </w:p>
        </w:tc>
        <w:tc>
          <w:tcPr>
            <w:tcW w:w="860" w:type="dxa"/>
            <w:vAlign w:val="bottom"/>
            <w:shd w:val="clear" w:color="auto" w:fill="E5EAF5"/>
          </w:tcPr>
          <w:p>
            <w:pPr>
              <w:spacing w:after="0"/>
              <w:rPr>
                <w:sz w:val="16"/>
                <w:szCs w:val="16"/>
                <w:color w:val="auto"/>
              </w:rPr>
            </w:pPr>
          </w:p>
        </w:tc>
        <w:tc>
          <w:tcPr>
            <w:tcW w:w="880" w:type="dxa"/>
            <w:vAlign w:val="bottom"/>
            <w:shd w:val="clear" w:color="auto" w:fill="E5EAF5"/>
          </w:tcPr>
          <w:p>
            <w:pPr>
              <w:jc w:val="right"/>
              <w:ind w:right="54"/>
              <w:spacing w:after="0"/>
              <w:rPr>
                <w:sz w:val="20"/>
                <w:szCs w:val="20"/>
                <w:color w:val="auto"/>
              </w:rPr>
            </w:pPr>
            <w:r>
              <w:rPr>
                <w:rFonts w:ascii="Arial" w:cs="Arial" w:eastAsia="Arial" w:hAnsi="Arial"/>
                <w:sz w:val="14"/>
                <w:szCs w:val="14"/>
                <w:color w:val="auto"/>
              </w:rPr>
              <w:t>91,770</w:t>
            </w:r>
          </w:p>
        </w:tc>
        <w:tc>
          <w:tcPr>
            <w:tcW w:w="840" w:type="dxa"/>
            <w:vAlign w:val="bottom"/>
            <w:shd w:val="clear" w:color="auto" w:fill="E5EAF5"/>
          </w:tcPr>
          <w:p>
            <w:pPr>
              <w:jc w:val="right"/>
              <w:ind w:right="35"/>
              <w:spacing w:after="0"/>
              <w:rPr>
                <w:sz w:val="20"/>
                <w:szCs w:val="20"/>
                <w:color w:val="auto"/>
              </w:rPr>
            </w:pPr>
            <w:r>
              <w:rPr>
                <w:rFonts w:ascii="Arial" w:cs="Arial" w:eastAsia="Arial" w:hAnsi="Arial"/>
                <w:sz w:val="14"/>
                <w:szCs w:val="14"/>
                <w:color w:val="auto"/>
              </w:rPr>
              <w:t>5,932,931</w:t>
            </w:r>
          </w:p>
        </w:tc>
        <w:tc>
          <w:tcPr>
            <w:tcW w:w="800" w:type="dxa"/>
            <w:vAlign w:val="bottom"/>
            <w:shd w:val="clear" w:color="auto" w:fill="E5EAF5"/>
          </w:tcPr>
          <w:p>
            <w:pPr>
              <w:spacing w:after="0"/>
              <w:rPr>
                <w:sz w:val="16"/>
                <w:szCs w:val="16"/>
                <w:color w:val="auto"/>
              </w:rPr>
            </w:pPr>
          </w:p>
        </w:tc>
        <w:tc>
          <w:tcPr>
            <w:tcW w:w="800" w:type="dxa"/>
            <w:vAlign w:val="bottom"/>
            <w:shd w:val="clear" w:color="auto" w:fill="E5EAF5"/>
          </w:tcPr>
          <w:p>
            <w:pPr>
              <w:spacing w:after="0"/>
              <w:rPr>
                <w:sz w:val="16"/>
                <w:szCs w:val="16"/>
                <w:color w:val="auto"/>
              </w:rPr>
            </w:pPr>
          </w:p>
        </w:tc>
      </w:tr>
      <w:tr>
        <w:trPr>
          <w:trHeight w:val="189"/>
        </w:trPr>
        <w:tc>
          <w:tcPr>
            <w:tcW w:w="2860" w:type="dxa"/>
            <w:vAlign w:val="bottom"/>
            <w:shd w:val="clear" w:color="auto" w:fill="E5EAF5"/>
          </w:tcPr>
          <w:p>
            <w:pPr>
              <w:ind w:left="60"/>
              <w:spacing w:after="0"/>
              <w:rPr>
                <w:sz w:val="20"/>
                <w:szCs w:val="20"/>
                <w:color w:val="auto"/>
              </w:rPr>
            </w:pPr>
            <w:r>
              <w:rPr>
                <w:rFonts w:ascii="Arial" w:cs="Arial" w:eastAsia="Arial" w:hAnsi="Arial"/>
                <w:sz w:val="14"/>
                <w:szCs w:val="14"/>
                <w:color w:val="auto"/>
              </w:rPr>
              <w:t>2/17/2017</w:t>
            </w:r>
          </w:p>
        </w:tc>
        <w:tc>
          <w:tcPr>
            <w:tcW w:w="860" w:type="dxa"/>
            <w:vAlign w:val="bottom"/>
            <w:shd w:val="clear" w:color="auto" w:fill="E5EAF5"/>
          </w:tcPr>
          <w:p>
            <w:pPr>
              <w:jc w:val="right"/>
              <w:spacing w:after="0"/>
              <w:rPr>
                <w:sz w:val="20"/>
                <w:szCs w:val="20"/>
                <w:color w:val="auto"/>
              </w:rPr>
            </w:pPr>
            <w:r>
              <w:rPr>
                <w:rFonts w:ascii="Arial" w:cs="Arial" w:eastAsia="Arial" w:hAnsi="Arial"/>
                <w:sz w:val="14"/>
                <w:szCs w:val="14"/>
                <w:color w:val="auto"/>
              </w:rPr>
              <w:t>Option</w:t>
            </w:r>
          </w:p>
        </w:tc>
        <w:tc>
          <w:tcPr>
            <w:tcW w:w="1140" w:type="dxa"/>
            <w:vAlign w:val="bottom"/>
            <w:shd w:val="clear" w:color="auto" w:fill="E5EAF5"/>
          </w:tcPr>
          <w:p>
            <w:pPr>
              <w:spacing w:after="0"/>
              <w:rPr>
                <w:sz w:val="16"/>
                <w:szCs w:val="16"/>
                <w:color w:val="auto"/>
              </w:rPr>
            </w:pPr>
          </w:p>
        </w:tc>
        <w:tc>
          <w:tcPr>
            <w:tcW w:w="1340" w:type="dxa"/>
            <w:vAlign w:val="bottom"/>
            <w:shd w:val="clear" w:color="auto" w:fill="E5EAF5"/>
          </w:tcPr>
          <w:p>
            <w:pPr>
              <w:jc w:val="right"/>
              <w:ind w:right="154"/>
              <w:spacing w:after="0"/>
              <w:rPr>
                <w:sz w:val="20"/>
                <w:szCs w:val="20"/>
                <w:color w:val="auto"/>
              </w:rPr>
            </w:pPr>
            <w:r>
              <w:rPr>
                <w:rFonts w:ascii="Arial" w:cs="Arial" w:eastAsia="Arial" w:hAnsi="Arial"/>
                <w:sz w:val="14"/>
                <w:szCs w:val="14"/>
                <w:color w:val="auto"/>
              </w:rPr>
              <w:t>215,382</w:t>
            </w:r>
          </w:p>
        </w:tc>
        <w:tc>
          <w:tcPr>
            <w:tcW w:w="640" w:type="dxa"/>
            <w:vAlign w:val="bottom"/>
            <w:shd w:val="clear" w:color="auto" w:fill="E5EAF5"/>
          </w:tcPr>
          <w:p>
            <w:pPr>
              <w:ind w:left="180"/>
              <w:spacing w:after="0"/>
              <w:rPr>
                <w:sz w:val="20"/>
                <w:szCs w:val="20"/>
                <w:color w:val="auto"/>
              </w:rPr>
            </w:pPr>
            <w:r>
              <w:rPr>
                <w:rFonts w:ascii="Arial" w:cs="Arial" w:eastAsia="Arial" w:hAnsi="Arial"/>
                <w:sz w:val="14"/>
                <w:szCs w:val="14"/>
                <w:color w:val="auto"/>
              </w:rPr>
              <w:t>52.75</w:t>
            </w:r>
          </w:p>
        </w:tc>
        <w:tc>
          <w:tcPr>
            <w:tcW w:w="860" w:type="dxa"/>
            <w:vAlign w:val="bottom"/>
            <w:shd w:val="clear" w:color="auto" w:fill="E5EAF5"/>
          </w:tcPr>
          <w:p>
            <w:pPr>
              <w:jc w:val="right"/>
              <w:ind w:right="54"/>
              <w:spacing w:after="0"/>
              <w:rPr>
                <w:sz w:val="20"/>
                <w:szCs w:val="20"/>
                <w:color w:val="auto"/>
              </w:rPr>
            </w:pPr>
            <w:r>
              <w:rPr>
                <w:rFonts w:ascii="Arial" w:cs="Arial" w:eastAsia="Arial" w:hAnsi="Arial"/>
                <w:sz w:val="14"/>
                <w:szCs w:val="14"/>
                <w:color w:val="auto"/>
              </w:rPr>
              <w:t>2/17/2023</w:t>
            </w:r>
          </w:p>
        </w:tc>
        <w:tc>
          <w:tcPr>
            <w:tcW w:w="880" w:type="dxa"/>
            <w:vAlign w:val="bottom"/>
            <w:shd w:val="clear" w:color="auto" w:fill="E5EAF5"/>
          </w:tcPr>
          <w:p>
            <w:pPr>
              <w:spacing w:after="0"/>
              <w:rPr>
                <w:sz w:val="16"/>
                <w:szCs w:val="16"/>
                <w:color w:val="auto"/>
              </w:rPr>
            </w:pPr>
          </w:p>
        </w:tc>
        <w:tc>
          <w:tcPr>
            <w:tcW w:w="840" w:type="dxa"/>
            <w:vAlign w:val="bottom"/>
            <w:shd w:val="clear" w:color="auto" w:fill="E5EAF5"/>
          </w:tcPr>
          <w:p>
            <w:pPr>
              <w:spacing w:after="0"/>
              <w:rPr>
                <w:sz w:val="16"/>
                <w:szCs w:val="16"/>
                <w:color w:val="auto"/>
              </w:rPr>
            </w:pPr>
          </w:p>
        </w:tc>
        <w:tc>
          <w:tcPr>
            <w:tcW w:w="800" w:type="dxa"/>
            <w:vAlign w:val="bottom"/>
            <w:shd w:val="clear" w:color="auto" w:fill="E5EAF5"/>
          </w:tcPr>
          <w:p>
            <w:pPr>
              <w:spacing w:after="0"/>
              <w:rPr>
                <w:sz w:val="16"/>
                <w:szCs w:val="16"/>
                <w:color w:val="auto"/>
              </w:rPr>
            </w:pPr>
          </w:p>
        </w:tc>
        <w:tc>
          <w:tcPr>
            <w:tcW w:w="800" w:type="dxa"/>
            <w:vAlign w:val="bottom"/>
            <w:shd w:val="clear" w:color="auto" w:fill="E5EAF5"/>
          </w:tcPr>
          <w:p>
            <w:pPr>
              <w:spacing w:after="0"/>
              <w:rPr>
                <w:sz w:val="16"/>
                <w:szCs w:val="16"/>
                <w:color w:val="auto"/>
              </w:rPr>
            </w:pPr>
          </w:p>
        </w:tc>
      </w:tr>
      <w:tr>
        <w:trPr>
          <w:trHeight w:val="189"/>
        </w:trPr>
        <w:tc>
          <w:tcPr>
            <w:tcW w:w="2860" w:type="dxa"/>
            <w:vAlign w:val="bottom"/>
            <w:shd w:val="clear" w:color="auto" w:fill="E5EAF5"/>
          </w:tcPr>
          <w:p>
            <w:pPr>
              <w:ind w:left="60"/>
              <w:spacing w:after="0"/>
              <w:rPr>
                <w:sz w:val="20"/>
                <w:szCs w:val="20"/>
                <w:color w:val="auto"/>
              </w:rPr>
            </w:pPr>
            <w:r>
              <w:rPr>
                <w:rFonts w:ascii="Arial" w:cs="Arial" w:eastAsia="Arial" w:hAnsi="Arial"/>
                <w:sz w:val="14"/>
                <w:szCs w:val="14"/>
                <w:color w:val="auto"/>
              </w:rPr>
              <w:t>2/17/2017</w:t>
            </w:r>
          </w:p>
        </w:tc>
        <w:tc>
          <w:tcPr>
            <w:tcW w:w="860" w:type="dxa"/>
            <w:vAlign w:val="bottom"/>
            <w:shd w:val="clear" w:color="auto" w:fill="E5EAF5"/>
          </w:tcPr>
          <w:p>
            <w:pPr>
              <w:jc w:val="right"/>
              <w:spacing w:after="0"/>
              <w:rPr>
                <w:sz w:val="20"/>
                <w:szCs w:val="20"/>
                <w:color w:val="auto"/>
              </w:rPr>
            </w:pPr>
            <w:r>
              <w:rPr>
                <w:rFonts w:ascii="Arial" w:cs="Arial" w:eastAsia="Arial" w:hAnsi="Arial"/>
                <w:sz w:val="14"/>
                <w:szCs w:val="14"/>
                <w:color w:val="auto"/>
              </w:rPr>
              <w:t>IM PSU</w:t>
            </w:r>
          </w:p>
        </w:tc>
        <w:tc>
          <w:tcPr>
            <w:tcW w:w="1140" w:type="dxa"/>
            <w:vAlign w:val="bottom"/>
            <w:shd w:val="clear" w:color="auto" w:fill="E5EAF5"/>
          </w:tcPr>
          <w:p>
            <w:pPr>
              <w:spacing w:after="0"/>
              <w:rPr>
                <w:sz w:val="16"/>
                <w:szCs w:val="16"/>
                <w:color w:val="auto"/>
              </w:rPr>
            </w:pPr>
          </w:p>
        </w:tc>
        <w:tc>
          <w:tcPr>
            <w:tcW w:w="1340" w:type="dxa"/>
            <w:vAlign w:val="bottom"/>
            <w:shd w:val="clear" w:color="auto" w:fill="E5EAF5"/>
          </w:tcPr>
          <w:p>
            <w:pPr>
              <w:spacing w:after="0"/>
              <w:rPr>
                <w:sz w:val="16"/>
                <w:szCs w:val="16"/>
                <w:color w:val="auto"/>
              </w:rPr>
            </w:pPr>
          </w:p>
        </w:tc>
        <w:tc>
          <w:tcPr>
            <w:tcW w:w="640" w:type="dxa"/>
            <w:vAlign w:val="bottom"/>
            <w:shd w:val="clear" w:color="auto" w:fill="E5EAF5"/>
          </w:tcPr>
          <w:p>
            <w:pPr>
              <w:spacing w:after="0"/>
              <w:rPr>
                <w:sz w:val="16"/>
                <w:szCs w:val="16"/>
                <w:color w:val="auto"/>
              </w:rPr>
            </w:pPr>
          </w:p>
        </w:tc>
        <w:tc>
          <w:tcPr>
            <w:tcW w:w="860" w:type="dxa"/>
            <w:vAlign w:val="bottom"/>
            <w:shd w:val="clear" w:color="auto" w:fill="E5EAF5"/>
          </w:tcPr>
          <w:p>
            <w:pPr>
              <w:spacing w:after="0"/>
              <w:rPr>
                <w:sz w:val="16"/>
                <w:szCs w:val="16"/>
                <w:color w:val="auto"/>
              </w:rPr>
            </w:pPr>
          </w:p>
        </w:tc>
        <w:tc>
          <w:tcPr>
            <w:tcW w:w="880" w:type="dxa"/>
            <w:vAlign w:val="bottom"/>
            <w:shd w:val="clear" w:color="auto" w:fill="E5EAF5"/>
          </w:tcPr>
          <w:p>
            <w:pPr>
              <w:spacing w:after="0"/>
              <w:rPr>
                <w:sz w:val="16"/>
                <w:szCs w:val="16"/>
                <w:color w:val="auto"/>
              </w:rPr>
            </w:pPr>
          </w:p>
        </w:tc>
        <w:tc>
          <w:tcPr>
            <w:tcW w:w="840" w:type="dxa"/>
            <w:vAlign w:val="bottom"/>
            <w:shd w:val="clear" w:color="auto" w:fill="E5EAF5"/>
          </w:tcPr>
          <w:p>
            <w:pPr>
              <w:spacing w:after="0"/>
              <w:rPr>
                <w:sz w:val="16"/>
                <w:szCs w:val="16"/>
                <w:color w:val="auto"/>
              </w:rPr>
            </w:pPr>
          </w:p>
        </w:tc>
        <w:tc>
          <w:tcPr>
            <w:tcW w:w="800" w:type="dxa"/>
            <w:vAlign w:val="bottom"/>
            <w:shd w:val="clear" w:color="auto" w:fill="E5EAF5"/>
          </w:tcPr>
          <w:p>
            <w:pPr>
              <w:jc w:val="right"/>
              <w:ind w:right="35"/>
              <w:spacing w:after="0"/>
              <w:rPr>
                <w:sz w:val="20"/>
                <w:szCs w:val="20"/>
                <w:color w:val="auto"/>
              </w:rPr>
            </w:pPr>
            <w:r>
              <w:rPr>
                <w:rFonts w:ascii="Arial" w:cs="Arial" w:eastAsia="Arial" w:hAnsi="Arial"/>
                <w:sz w:val="14"/>
                <w:szCs w:val="14"/>
                <w:color w:val="auto"/>
              </w:rPr>
              <w:t>18,179</w:t>
            </w:r>
          </w:p>
        </w:tc>
        <w:tc>
          <w:tcPr>
            <w:tcW w:w="800" w:type="dxa"/>
            <w:vAlign w:val="bottom"/>
            <w:shd w:val="clear" w:color="auto" w:fill="E5EAF5"/>
          </w:tcPr>
          <w:p>
            <w:pPr>
              <w:jc w:val="right"/>
              <w:ind w:right="55"/>
              <w:spacing w:after="0"/>
              <w:rPr>
                <w:sz w:val="20"/>
                <w:szCs w:val="20"/>
                <w:color w:val="auto"/>
              </w:rPr>
            </w:pPr>
            <w:r>
              <w:rPr>
                <w:rFonts w:ascii="Arial" w:cs="Arial" w:eastAsia="Arial" w:hAnsi="Arial"/>
                <w:sz w:val="14"/>
                <w:szCs w:val="14"/>
                <w:color w:val="auto"/>
              </w:rPr>
              <w:t>1,175,272</w:t>
            </w:r>
          </w:p>
        </w:tc>
      </w:tr>
      <w:tr>
        <w:trPr>
          <w:trHeight w:val="189"/>
        </w:trPr>
        <w:tc>
          <w:tcPr>
            <w:tcW w:w="2860" w:type="dxa"/>
            <w:vAlign w:val="bottom"/>
            <w:shd w:val="clear" w:color="auto" w:fill="E5EAF5"/>
          </w:tcPr>
          <w:p>
            <w:pPr>
              <w:ind w:left="60"/>
              <w:spacing w:after="0"/>
              <w:rPr>
                <w:sz w:val="20"/>
                <w:szCs w:val="20"/>
                <w:color w:val="auto"/>
              </w:rPr>
            </w:pPr>
            <w:r>
              <w:rPr>
                <w:rFonts w:ascii="Arial" w:cs="Arial" w:eastAsia="Arial" w:hAnsi="Arial"/>
                <w:sz w:val="14"/>
                <w:szCs w:val="14"/>
                <w:color w:val="auto"/>
              </w:rPr>
              <w:t>2/17/2017</w:t>
            </w:r>
          </w:p>
        </w:tc>
        <w:tc>
          <w:tcPr>
            <w:tcW w:w="860" w:type="dxa"/>
            <w:vAlign w:val="bottom"/>
            <w:shd w:val="clear" w:color="auto" w:fill="E5EAF5"/>
          </w:tcPr>
          <w:p>
            <w:pPr>
              <w:jc w:val="right"/>
              <w:spacing w:after="0"/>
              <w:rPr>
                <w:sz w:val="20"/>
                <w:szCs w:val="20"/>
                <w:color w:val="auto"/>
              </w:rPr>
            </w:pPr>
            <w:r>
              <w:rPr>
                <w:rFonts w:ascii="Arial" w:cs="Arial" w:eastAsia="Arial" w:hAnsi="Arial"/>
                <w:sz w:val="14"/>
                <w:szCs w:val="14"/>
                <w:color w:val="auto"/>
              </w:rPr>
              <w:t>TSR PSU</w:t>
            </w:r>
          </w:p>
        </w:tc>
        <w:tc>
          <w:tcPr>
            <w:tcW w:w="1140" w:type="dxa"/>
            <w:vAlign w:val="bottom"/>
            <w:shd w:val="clear" w:color="auto" w:fill="E5EAF5"/>
          </w:tcPr>
          <w:p>
            <w:pPr>
              <w:spacing w:after="0"/>
              <w:rPr>
                <w:sz w:val="16"/>
                <w:szCs w:val="16"/>
                <w:color w:val="auto"/>
              </w:rPr>
            </w:pPr>
          </w:p>
        </w:tc>
        <w:tc>
          <w:tcPr>
            <w:tcW w:w="1340" w:type="dxa"/>
            <w:vAlign w:val="bottom"/>
            <w:shd w:val="clear" w:color="auto" w:fill="E5EAF5"/>
          </w:tcPr>
          <w:p>
            <w:pPr>
              <w:spacing w:after="0"/>
              <w:rPr>
                <w:sz w:val="16"/>
                <w:szCs w:val="16"/>
                <w:color w:val="auto"/>
              </w:rPr>
            </w:pPr>
          </w:p>
        </w:tc>
        <w:tc>
          <w:tcPr>
            <w:tcW w:w="640" w:type="dxa"/>
            <w:vAlign w:val="bottom"/>
            <w:shd w:val="clear" w:color="auto" w:fill="E5EAF5"/>
          </w:tcPr>
          <w:p>
            <w:pPr>
              <w:spacing w:after="0"/>
              <w:rPr>
                <w:sz w:val="16"/>
                <w:szCs w:val="16"/>
                <w:color w:val="auto"/>
              </w:rPr>
            </w:pPr>
          </w:p>
        </w:tc>
        <w:tc>
          <w:tcPr>
            <w:tcW w:w="860" w:type="dxa"/>
            <w:vAlign w:val="bottom"/>
            <w:shd w:val="clear" w:color="auto" w:fill="E5EAF5"/>
          </w:tcPr>
          <w:p>
            <w:pPr>
              <w:spacing w:after="0"/>
              <w:rPr>
                <w:sz w:val="16"/>
                <w:szCs w:val="16"/>
                <w:color w:val="auto"/>
              </w:rPr>
            </w:pPr>
          </w:p>
        </w:tc>
        <w:tc>
          <w:tcPr>
            <w:tcW w:w="880" w:type="dxa"/>
            <w:vAlign w:val="bottom"/>
            <w:shd w:val="clear" w:color="auto" w:fill="E5EAF5"/>
          </w:tcPr>
          <w:p>
            <w:pPr>
              <w:spacing w:after="0"/>
              <w:rPr>
                <w:sz w:val="16"/>
                <w:szCs w:val="16"/>
                <w:color w:val="auto"/>
              </w:rPr>
            </w:pPr>
          </w:p>
        </w:tc>
        <w:tc>
          <w:tcPr>
            <w:tcW w:w="840" w:type="dxa"/>
            <w:vAlign w:val="bottom"/>
            <w:shd w:val="clear" w:color="auto" w:fill="E5EAF5"/>
          </w:tcPr>
          <w:p>
            <w:pPr>
              <w:spacing w:after="0"/>
              <w:rPr>
                <w:sz w:val="16"/>
                <w:szCs w:val="16"/>
                <w:color w:val="auto"/>
              </w:rPr>
            </w:pPr>
          </w:p>
        </w:tc>
        <w:tc>
          <w:tcPr>
            <w:tcW w:w="800" w:type="dxa"/>
            <w:vAlign w:val="bottom"/>
            <w:shd w:val="clear" w:color="auto" w:fill="E5EAF5"/>
          </w:tcPr>
          <w:p>
            <w:pPr>
              <w:jc w:val="right"/>
              <w:ind w:right="35"/>
              <w:spacing w:after="0"/>
              <w:rPr>
                <w:sz w:val="20"/>
                <w:szCs w:val="20"/>
                <w:color w:val="auto"/>
              </w:rPr>
            </w:pPr>
            <w:r>
              <w:rPr>
                <w:rFonts w:ascii="Arial" w:cs="Arial" w:eastAsia="Arial" w:hAnsi="Arial"/>
                <w:sz w:val="14"/>
                <w:szCs w:val="14"/>
                <w:color w:val="auto"/>
              </w:rPr>
              <w:t>13,977</w:t>
            </w:r>
          </w:p>
        </w:tc>
        <w:tc>
          <w:tcPr>
            <w:tcW w:w="800" w:type="dxa"/>
            <w:vAlign w:val="bottom"/>
            <w:shd w:val="clear" w:color="auto" w:fill="E5EAF5"/>
          </w:tcPr>
          <w:p>
            <w:pPr>
              <w:jc w:val="right"/>
              <w:ind w:right="55"/>
              <w:spacing w:after="0"/>
              <w:rPr>
                <w:sz w:val="20"/>
                <w:szCs w:val="20"/>
                <w:color w:val="auto"/>
              </w:rPr>
            </w:pPr>
            <w:r>
              <w:rPr>
                <w:rFonts w:ascii="Arial" w:cs="Arial" w:eastAsia="Arial" w:hAnsi="Arial"/>
                <w:sz w:val="14"/>
                <w:szCs w:val="14"/>
                <w:color w:val="auto"/>
              </w:rPr>
              <w:t>903,613</w:t>
            </w:r>
          </w:p>
        </w:tc>
      </w:tr>
      <w:tr>
        <w:trPr>
          <w:trHeight w:val="189"/>
        </w:trPr>
        <w:tc>
          <w:tcPr>
            <w:tcW w:w="2860" w:type="dxa"/>
            <w:vAlign w:val="bottom"/>
            <w:shd w:val="clear" w:color="auto" w:fill="E5EAF5"/>
          </w:tcPr>
          <w:p>
            <w:pPr>
              <w:ind w:left="60"/>
              <w:spacing w:after="0"/>
              <w:rPr>
                <w:sz w:val="20"/>
                <w:szCs w:val="20"/>
                <w:color w:val="auto"/>
              </w:rPr>
            </w:pPr>
            <w:r>
              <w:rPr>
                <w:rFonts w:ascii="Arial" w:cs="Arial" w:eastAsia="Arial" w:hAnsi="Arial"/>
                <w:sz w:val="14"/>
                <w:szCs w:val="14"/>
                <w:color w:val="auto"/>
              </w:rPr>
              <w:t>2/22/2018</w:t>
            </w:r>
          </w:p>
        </w:tc>
        <w:tc>
          <w:tcPr>
            <w:tcW w:w="860" w:type="dxa"/>
            <w:vAlign w:val="bottom"/>
            <w:shd w:val="clear" w:color="auto" w:fill="E5EAF5"/>
          </w:tcPr>
          <w:p>
            <w:pPr>
              <w:jc w:val="right"/>
              <w:spacing w:after="0"/>
              <w:rPr>
                <w:sz w:val="20"/>
                <w:szCs w:val="20"/>
                <w:color w:val="auto"/>
              </w:rPr>
            </w:pPr>
            <w:r>
              <w:rPr>
                <w:rFonts w:ascii="Arial" w:cs="Arial" w:eastAsia="Arial" w:hAnsi="Arial"/>
                <w:sz w:val="14"/>
                <w:szCs w:val="14"/>
                <w:color w:val="auto"/>
              </w:rPr>
              <w:t>Option</w:t>
            </w:r>
          </w:p>
        </w:tc>
        <w:tc>
          <w:tcPr>
            <w:tcW w:w="1140" w:type="dxa"/>
            <w:vAlign w:val="bottom"/>
            <w:shd w:val="clear" w:color="auto" w:fill="E5EAF5"/>
          </w:tcPr>
          <w:p>
            <w:pPr>
              <w:spacing w:after="0"/>
              <w:rPr>
                <w:sz w:val="16"/>
                <w:szCs w:val="16"/>
                <w:color w:val="auto"/>
              </w:rPr>
            </w:pPr>
          </w:p>
        </w:tc>
        <w:tc>
          <w:tcPr>
            <w:tcW w:w="1340" w:type="dxa"/>
            <w:vAlign w:val="bottom"/>
            <w:shd w:val="clear" w:color="auto" w:fill="E5EAF5"/>
          </w:tcPr>
          <w:p>
            <w:pPr>
              <w:jc w:val="right"/>
              <w:ind w:right="154"/>
              <w:spacing w:after="0"/>
              <w:rPr>
                <w:sz w:val="20"/>
                <w:szCs w:val="20"/>
                <w:color w:val="auto"/>
              </w:rPr>
            </w:pPr>
            <w:r>
              <w:rPr>
                <w:rFonts w:ascii="Arial" w:cs="Arial" w:eastAsia="Arial" w:hAnsi="Arial"/>
                <w:sz w:val="14"/>
                <w:szCs w:val="14"/>
                <w:color w:val="auto"/>
              </w:rPr>
              <w:t>184,668</w:t>
            </w:r>
          </w:p>
        </w:tc>
        <w:tc>
          <w:tcPr>
            <w:tcW w:w="640" w:type="dxa"/>
            <w:vAlign w:val="bottom"/>
            <w:shd w:val="clear" w:color="auto" w:fill="E5EAF5"/>
          </w:tcPr>
          <w:p>
            <w:pPr>
              <w:ind w:left="180"/>
              <w:spacing w:after="0"/>
              <w:rPr>
                <w:sz w:val="20"/>
                <w:szCs w:val="20"/>
                <w:color w:val="auto"/>
              </w:rPr>
            </w:pPr>
            <w:r>
              <w:rPr>
                <w:rFonts w:ascii="Arial" w:cs="Arial" w:eastAsia="Arial" w:hAnsi="Arial"/>
                <w:sz w:val="14"/>
                <w:szCs w:val="14"/>
                <w:color w:val="auto"/>
              </w:rPr>
              <w:t>73.45</w:t>
            </w:r>
          </w:p>
        </w:tc>
        <w:tc>
          <w:tcPr>
            <w:tcW w:w="860" w:type="dxa"/>
            <w:vAlign w:val="bottom"/>
            <w:shd w:val="clear" w:color="auto" w:fill="E5EAF5"/>
          </w:tcPr>
          <w:p>
            <w:pPr>
              <w:jc w:val="right"/>
              <w:ind w:right="54"/>
              <w:spacing w:after="0"/>
              <w:rPr>
                <w:sz w:val="20"/>
                <w:szCs w:val="20"/>
                <w:color w:val="auto"/>
              </w:rPr>
            </w:pPr>
            <w:r>
              <w:rPr>
                <w:rFonts w:ascii="Arial" w:cs="Arial" w:eastAsia="Arial" w:hAnsi="Arial"/>
                <w:sz w:val="14"/>
                <w:szCs w:val="14"/>
                <w:color w:val="auto"/>
              </w:rPr>
              <w:t>2/22/2024</w:t>
            </w:r>
          </w:p>
        </w:tc>
        <w:tc>
          <w:tcPr>
            <w:tcW w:w="880" w:type="dxa"/>
            <w:vAlign w:val="bottom"/>
            <w:shd w:val="clear" w:color="auto" w:fill="E5EAF5"/>
          </w:tcPr>
          <w:p>
            <w:pPr>
              <w:spacing w:after="0"/>
              <w:rPr>
                <w:sz w:val="16"/>
                <w:szCs w:val="16"/>
                <w:color w:val="auto"/>
              </w:rPr>
            </w:pPr>
          </w:p>
        </w:tc>
        <w:tc>
          <w:tcPr>
            <w:tcW w:w="840" w:type="dxa"/>
            <w:vAlign w:val="bottom"/>
            <w:shd w:val="clear" w:color="auto" w:fill="E5EAF5"/>
          </w:tcPr>
          <w:p>
            <w:pPr>
              <w:spacing w:after="0"/>
              <w:rPr>
                <w:sz w:val="16"/>
                <w:szCs w:val="16"/>
                <w:color w:val="auto"/>
              </w:rPr>
            </w:pPr>
          </w:p>
        </w:tc>
        <w:tc>
          <w:tcPr>
            <w:tcW w:w="800" w:type="dxa"/>
            <w:vAlign w:val="bottom"/>
            <w:shd w:val="clear" w:color="auto" w:fill="E5EAF5"/>
          </w:tcPr>
          <w:p>
            <w:pPr>
              <w:spacing w:after="0"/>
              <w:rPr>
                <w:sz w:val="16"/>
                <w:szCs w:val="16"/>
                <w:color w:val="auto"/>
              </w:rPr>
            </w:pPr>
          </w:p>
        </w:tc>
        <w:tc>
          <w:tcPr>
            <w:tcW w:w="800" w:type="dxa"/>
            <w:vAlign w:val="bottom"/>
            <w:shd w:val="clear" w:color="auto" w:fill="E5EAF5"/>
          </w:tcPr>
          <w:p>
            <w:pPr>
              <w:spacing w:after="0"/>
              <w:rPr>
                <w:sz w:val="16"/>
                <w:szCs w:val="16"/>
                <w:color w:val="auto"/>
              </w:rPr>
            </w:pPr>
          </w:p>
        </w:tc>
      </w:tr>
      <w:tr>
        <w:trPr>
          <w:trHeight w:val="189"/>
        </w:trPr>
        <w:tc>
          <w:tcPr>
            <w:tcW w:w="2860" w:type="dxa"/>
            <w:vAlign w:val="bottom"/>
            <w:shd w:val="clear" w:color="auto" w:fill="E5EAF5"/>
          </w:tcPr>
          <w:p>
            <w:pPr>
              <w:ind w:left="60"/>
              <w:spacing w:after="0"/>
              <w:rPr>
                <w:sz w:val="20"/>
                <w:szCs w:val="20"/>
                <w:color w:val="auto"/>
              </w:rPr>
            </w:pPr>
            <w:r>
              <w:rPr>
                <w:rFonts w:ascii="Arial" w:cs="Arial" w:eastAsia="Arial" w:hAnsi="Arial"/>
                <w:sz w:val="14"/>
                <w:szCs w:val="14"/>
                <w:color w:val="auto"/>
              </w:rPr>
              <w:t>2/22/2018</w:t>
            </w:r>
          </w:p>
        </w:tc>
        <w:tc>
          <w:tcPr>
            <w:tcW w:w="860" w:type="dxa"/>
            <w:vAlign w:val="bottom"/>
            <w:shd w:val="clear" w:color="auto" w:fill="E5EAF5"/>
          </w:tcPr>
          <w:p>
            <w:pPr>
              <w:jc w:val="right"/>
              <w:spacing w:after="0"/>
              <w:rPr>
                <w:sz w:val="20"/>
                <w:szCs w:val="20"/>
                <w:color w:val="auto"/>
              </w:rPr>
            </w:pPr>
            <w:r>
              <w:rPr>
                <w:rFonts w:ascii="Arial" w:cs="Arial" w:eastAsia="Arial" w:hAnsi="Arial"/>
                <w:sz w:val="14"/>
                <w:szCs w:val="14"/>
                <w:color w:val="auto"/>
              </w:rPr>
              <w:t>Option</w:t>
            </w:r>
          </w:p>
        </w:tc>
        <w:tc>
          <w:tcPr>
            <w:tcW w:w="1140" w:type="dxa"/>
            <w:vAlign w:val="bottom"/>
            <w:shd w:val="clear" w:color="auto" w:fill="E5EAF5"/>
          </w:tcPr>
          <w:p>
            <w:pPr>
              <w:spacing w:after="0"/>
              <w:rPr>
                <w:sz w:val="16"/>
                <w:szCs w:val="16"/>
                <w:color w:val="auto"/>
              </w:rPr>
            </w:pPr>
          </w:p>
        </w:tc>
        <w:tc>
          <w:tcPr>
            <w:tcW w:w="1340" w:type="dxa"/>
            <w:vAlign w:val="bottom"/>
            <w:shd w:val="clear" w:color="auto" w:fill="E5EAF5"/>
          </w:tcPr>
          <w:p>
            <w:pPr>
              <w:jc w:val="right"/>
              <w:ind w:right="154"/>
              <w:spacing w:after="0"/>
              <w:rPr>
                <w:sz w:val="20"/>
                <w:szCs w:val="20"/>
                <w:color w:val="auto"/>
              </w:rPr>
            </w:pPr>
            <w:r>
              <w:rPr>
                <w:rFonts w:ascii="Arial" w:cs="Arial" w:eastAsia="Arial" w:hAnsi="Arial"/>
                <w:sz w:val="14"/>
                <w:szCs w:val="14"/>
                <w:color w:val="auto"/>
              </w:rPr>
              <w:t>156,947</w:t>
            </w:r>
          </w:p>
        </w:tc>
        <w:tc>
          <w:tcPr>
            <w:tcW w:w="640" w:type="dxa"/>
            <w:vAlign w:val="bottom"/>
            <w:shd w:val="clear" w:color="auto" w:fill="E5EAF5"/>
          </w:tcPr>
          <w:p>
            <w:pPr>
              <w:ind w:left="180"/>
              <w:spacing w:after="0"/>
              <w:rPr>
                <w:sz w:val="20"/>
                <w:szCs w:val="20"/>
                <w:color w:val="auto"/>
              </w:rPr>
            </w:pPr>
            <w:r>
              <w:rPr>
                <w:rFonts w:ascii="Arial" w:cs="Arial" w:eastAsia="Arial" w:hAnsi="Arial"/>
                <w:sz w:val="14"/>
                <w:szCs w:val="14"/>
                <w:color w:val="auto"/>
              </w:rPr>
              <w:t>73.45</w:t>
            </w:r>
          </w:p>
        </w:tc>
        <w:tc>
          <w:tcPr>
            <w:tcW w:w="860" w:type="dxa"/>
            <w:vAlign w:val="bottom"/>
            <w:shd w:val="clear" w:color="auto" w:fill="E5EAF5"/>
          </w:tcPr>
          <w:p>
            <w:pPr>
              <w:jc w:val="right"/>
              <w:ind w:right="54"/>
              <w:spacing w:after="0"/>
              <w:rPr>
                <w:sz w:val="20"/>
                <w:szCs w:val="20"/>
                <w:color w:val="auto"/>
              </w:rPr>
            </w:pPr>
            <w:r>
              <w:rPr>
                <w:rFonts w:ascii="Arial" w:cs="Arial" w:eastAsia="Arial" w:hAnsi="Arial"/>
                <w:sz w:val="14"/>
                <w:szCs w:val="14"/>
                <w:color w:val="auto"/>
              </w:rPr>
              <w:t>2/22/2024</w:t>
            </w:r>
          </w:p>
        </w:tc>
        <w:tc>
          <w:tcPr>
            <w:tcW w:w="880" w:type="dxa"/>
            <w:vAlign w:val="bottom"/>
            <w:shd w:val="clear" w:color="auto" w:fill="E5EAF5"/>
          </w:tcPr>
          <w:p>
            <w:pPr>
              <w:spacing w:after="0"/>
              <w:rPr>
                <w:sz w:val="16"/>
                <w:szCs w:val="16"/>
                <w:color w:val="auto"/>
              </w:rPr>
            </w:pPr>
          </w:p>
        </w:tc>
        <w:tc>
          <w:tcPr>
            <w:tcW w:w="840" w:type="dxa"/>
            <w:vAlign w:val="bottom"/>
            <w:shd w:val="clear" w:color="auto" w:fill="E5EAF5"/>
          </w:tcPr>
          <w:p>
            <w:pPr>
              <w:spacing w:after="0"/>
              <w:rPr>
                <w:sz w:val="16"/>
                <w:szCs w:val="16"/>
                <w:color w:val="auto"/>
              </w:rPr>
            </w:pPr>
          </w:p>
        </w:tc>
        <w:tc>
          <w:tcPr>
            <w:tcW w:w="800" w:type="dxa"/>
            <w:vAlign w:val="bottom"/>
            <w:shd w:val="clear" w:color="auto" w:fill="E5EAF5"/>
          </w:tcPr>
          <w:p>
            <w:pPr>
              <w:spacing w:after="0"/>
              <w:rPr>
                <w:sz w:val="16"/>
                <w:szCs w:val="16"/>
                <w:color w:val="auto"/>
              </w:rPr>
            </w:pPr>
          </w:p>
        </w:tc>
        <w:tc>
          <w:tcPr>
            <w:tcW w:w="800" w:type="dxa"/>
            <w:vAlign w:val="bottom"/>
            <w:shd w:val="clear" w:color="auto" w:fill="E5EAF5"/>
          </w:tcPr>
          <w:p>
            <w:pPr>
              <w:spacing w:after="0"/>
              <w:rPr>
                <w:sz w:val="16"/>
                <w:szCs w:val="16"/>
                <w:color w:val="auto"/>
              </w:rPr>
            </w:pPr>
          </w:p>
        </w:tc>
      </w:tr>
      <w:tr>
        <w:trPr>
          <w:trHeight w:val="189"/>
        </w:trPr>
        <w:tc>
          <w:tcPr>
            <w:tcW w:w="2860" w:type="dxa"/>
            <w:vAlign w:val="bottom"/>
            <w:shd w:val="clear" w:color="auto" w:fill="E5EAF5"/>
          </w:tcPr>
          <w:p>
            <w:pPr>
              <w:ind w:left="60"/>
              <w:spacing w:after="0"/>
              <w:rPr>
                <w:sz w:val="20"/>
                <w:szCs w:val="20"/>
                <w:color w:val="auto"/>
              </w:rPr>
            </w:pPr>
            <w:r>
              <w:rPr>
                <w:rFonts w:ascii="Arial" w:cs="Arial" w:eastAsia="Arial" w:hAnsi="Arial"/>
                <w:sz w:val="14"/>
                <w:szCs w:val="14"/>
                <w:color w:val="auto"/>
              </w:rPr>
              <w:t>2/22/2018</w:t>
            </w:r>
          </w:p>
        </w:tc>
        <w:tc>
          <w:tcPr>
            <w:tcW w:w="860" w:type="dxa"/>
            <w:vAlign w:val="bottom"/>
            <w:shd w:val="clear" w:color="auto" w:fill="E5EAF5"/>
          </w:tcPr>
          <w:p>
            <w:pPr>
              <w:jc w:val="right"/>
              <w:spacing w:after="0"/>
              <w:rPr>
                <w:sz w:val="20"/>
                <w:szCs w:val="20"/>
                <w:color w:val="auto"/>
              </w:rPr>
            </w:pPr>
            <w:r>
              <w:rPr>
                <w:rFonts w:ascii="Arial" w:cs="Arial" w:eastAsia="Arial" w:hAnsi="Arial"/>
                <w:sz w:val="14"/>
                <w:szCs w:val="14"/>
                <w:color w:val="auto"/>
              </w:rPr>
              <w:t>TSR PSU</w:t>
            </w:r>
          </w:p>
        </w:tc>
        <w:tc>
          <w:tcPr>
            <w:tcW w:w="1140" w:type="dxa"/>
            <w:vAlign w:val="bottom"/>
            <w:shd w:val="clear" w:color="auto" w:fill="E5EAF5"/>
          </w:tcPr>
          <w:p>
            <w:pPr>
              <w:spacing w:after="0"/>
              <w:rPr>
                <w:sz w:val="16"/>
                <w:szCs w:val="16"/>
                <w:color w:val="auto"/>
              </w:rPr>
            </w:pPr>
          </w:p>
        </w:tc>
        <w:tc>
          <w:tcPr>
            <w:tcW w:w="1340" w:type="dxa"/>
            <w:vAlign w:val="bottom"/>
            <w:shd w:val="clear" w:color="auto" w:fill="E5EAF5"/>
          </w:tcPr>
          <w:p>
            <w:pPr>
              <w:spacing w:after="0"/>
              <w:rPr>
                <w:sz w:val="16"/>
                <w:szCs w:val="16"/>
                <w:color w:val="auto"/>
              </w:rPr>
            </w:pPr>
          </w:p>
        </w:tc>
        <w:tc>
          <w:tcPr>
            <w:tcW w:w="640" w:type="dxa"/>
            <w:vAlign w:val="bottom"/>
            <w:shd w:val="clear" w:color="auto" w:fill="E5EAF5"/>
          </w:tcPr>
          <w:p>
            <w:pPr>
              <w:spacing w:after="0"/>
              <w:rPr>
                <w:sz w:val="16"/>
                <w:szCs w:val="16"/>
                <w:color w:val="auto"/>
              </w:rPr>
            </w:pPr>
          </w:p>
        </w:tc>
        <w:tc>
          <w:tcPr>
            <w:tcW w:w="860" w:type="dxa"/>
            <w:vAlign w:val="bottom"/>
            <w:shd w:val="clear" w:color="auto" w:fill="E5EAF5"/>
          </w:tcPr>
          <w:p>
            <w:pPr>
              <w:spacing w:after="0"/>
              <w:rPr>
                <w:sz w:val="16"/>
                <w:szCs w:val="16"/>
                <w:color w:val="auto"/>
              </w:rPr>
            </w:pPr>
          </w:p>
        </w:tc>
        <w:tc>
          <w:tcPr>
            <w:tcW w:w="880" w:type="dxa"/>
            <w:vAlign w:val="bottom"/>
            <w:shd w:val="clear" w:color="auto" w:fill="E5EAF5"/>
          </w:tcPr>
          <w:p>
            <w:pPr>
              <w:spacing w:after="0"/>
              <w:rPr>
                <w:sz w:val="16"/>
                <w:szCs w:val="16"/>
                <w:color w:val="auto"/>
              </w:rPr>
            </w:pPr>
          </w:p>
        </w:tc>
        <w:tc>
          <w:tcPr>
            <w:tcW w:w="840" w:type="dxa"/>
            <w:vAlign w:val="bottom"/>
            <w:shd w:val="clear" w:color="auto" w:fill="E5EAF5"/>
          </w:tcPr>
          <w:p>
            <w:pPr>
              <w:spacing w:after="0"/>
              <w:rPr>
                <w:sz w:val="16"/>
                <w:szCs w:val="16"/>
                <w:color w:val="auto"/>
              </w:rPr>
            </w:pPr>
          </w:p>
        </w:tc>
        <w:tc>
          <w:tcPr>
            <w:tcW w:w="800" w:type="dxa"/>
            <w:vAlign w:val="bottom"/>
            <w:shd w:val="clear" w:color="auto" w:fill="E5EAF5"/>
          </w:tcPr>
          <w:p>
            <w:pPr>
              <w:jc w:val="right"/>
              <w:ind w:right="35"/>
              <w:spacing w:after="0"/>
              <w:rPr>
                <w:sz w:val="20"/>
                <w:szCs w:val="20"/>
                <w:color w:val="auto"/>
              </w:rPr>
            </w:pPr>
            <w:r>
              <w:rPr>
                <w:rFonts w:ascii="Arial" w:cs="Arial" w:eastAsia="Arial" w:hAnsi="Arial"/>
                <w:sz w:val="14"/>
                <w:szCs w:val="14"/>
                <w:color w:val="auto"/>
              </w:rPr>
              <w:t>23,719</w:t>
            </w:r>
          </w:p>
        </w:tc>
        <w:tc>
          <w:tcPr>
            <w:tcW w:w="800" w:type="dxa"/>
            <w:vAlign w:val="bottom"/>
            <w:shd w:val="clear" w:color="auto" w:fill="E5EAF5"/>
          </w:tcPr>
          <w:p>
            <w:pPr>
              <w:jc w:val="right"/>
              <w:ind w:right="55"/>
              <w:spacing w:after="0"/>
              <w:rPr>
                <w:sz w:val="20"/>
                <w:szCs w:val="20"/>
                <w:color w:val="auto"/>
              </w:rPr>
            </w:pPr>
            <w:r>
              <w:rPr>
                <w:rFonts w:ascii="Arial" w:cs="Arial" w:eastAsia="Arial" w:hAnsi="Arial"/>
                <w:sz w:val="14"/>
                <w:szCs w:val="14"/>
                <w:color w:val="auto"/>
              </w:rPr>
              <w:t>1,533,433</w:t>
            </w:r>
          </w:p>
        </w:tc>
      </w:tr>
      <w:tr>
        <w:trPr>
          <w:trHeight w:val="230"/>
        </w:trPr>
        <w:tc>
          <w:tcPr>
            <w:tcW w:w="2860" w:type="dxa"/>
            <w:vAlign w:val="bottom"/>
            <w:shd w:val="clear" w:color="auto" w:fill="E5EAF5"/>
          </w:tcPr>
          <w:p>
            <w:pPr>
              <w:spacing w:after="0"/>
              <w:rPr>
                <w:sz w:val="19"/>
                <w:szCs w:val="19"/>
                <w:color w:val="auto"/>
              </w:rPr>
            </w:pPr>
          </w:p>
        </w:tc>
        <w:tc>
          <w:tcPr>
            <w:tcW w:w="860" w:type="dxa"/>
            <w:vAlign w:val="bottom"/>
            <w:shd w:val="clear" w:color="auto" w:fill="E5EAF5"/>
          </w:tcPr>
          <w:p>
            <w:pPr>
              <w:spacing w:after="0"/>
              <w:rPr>
                <w:sz w:val="19"/>
                <w:szCs w:val="19"/>
                <w:color w:val="auto"/>
              </w:rPr>
            </w:pPr>
          </w:p>
        </w:tc>
        <w:tc>
          <w:tcPr>
            <w:tcW w:w="1140" w:type="dxa"/>
            <w:vAlign w:val="bottom"/>
            <w:shd w:val="clear" w:color="auto" w:fill="E5EAF5"/>
          </w:tcPr>
          <w:p>
            <w:pPr>
              <w:spacing w:after="0"/>
              <w:rPr>
                <w:sz w:val="19"/>
                <w:szCs w:val="19"/>
                <w:color w:val="auto"/>
              </w:rPr>
            </w:pPr>
          </w:p>
        </w:tc>
        <w:tc>
          <w:tcPr>
            <w:tcW w:w="1340" w:type="dxa"/>
            <w:vAlign w:val="bottom"/>
            <w:shd w:val="clear" w:color="auto" w:fill="E5EAF5"/>
          </w:tcPr>
          <w:p>
            <w:pPr>
              <w:spacing w:after="0"/>
              <w:rPr>
                <w:sz w:val="19"/>
                <w:szCs w:val="19"/>
                <w:color w:val="auto"/>
              </w:rPr>
            </w:pPr>
          </w:p>
        </w:tc>
        <w:tc>
          <w:tcPr>
            <w:tcW w:w="640" w:type="dxa"/>
            <w:vAlign w:val="bottom"/>
            <w:shd w:val="clear" w:color="auto" w:fill="E5EAF5"/>
          </w:tcPr>
          <w:p>
            <w:pPr>
              <w:spacing w:after="0"/>
              <w:rPr>
                <w:sz w:val="19"/>
                <w:szCs w:val="19"/>
                <w:color w:val="auto"/>
              </w:rPr>
            </w:pPr>
          </w:p>
        </w:tc>
        <w:tc>
          <w:tcPr>
            <w:tcW w:w="860" w:type="dxa"/>
            <w:vAlign w:val="bottom"/>
            <w:shd w:val="clear" w:color="auto" w:fill="E5EAF5"/>
          </w:tcPr>
          <w:p>
            <w:pPr>
              <w:spacing w:after="0"/>
              <w:rPr>
                <w:sz w:val="19"/>
                <w:szCs w:val="19"/>
                <w:color w:val="auto"/>
              </w:rPr>
            </w:pPr>
          </w:p>
        </w:tc>
        <w:tc>
          <w:tcPr>
            <w:tcW w:w="880" w:type="dxa"/>
            <w:vAlign w:val="bottom"/>
            <w:shd w:val="clear" w:color="auto" w:fill="E5EAF5"/>
          </w:tcPr>
          <w:p>
            <w:pPr>
              <w:spacing w:after="0"/>
              <w:rPr>
                <w:sz w:val="19"/>
                <w:szCs w:val="19"/>
                <w:color w:val="auto"/>
              </w:rPr>
            </w:pPr>
          </w:p>
        </w:tc>
        <w:tc>
          <w:tcPr>
            <w:tcW w:w="840" w:type="dxa"/>
            <w:vAlign w:val="bottom"/>
            <w:shd w:val="clear" w:color="auto" w:fill="E5EAF5"/>
          </w:tcPr>
          <w:p>
            <w:pPr>
              <w:spacing w:after="0"/>
              <w:rPr>
                <w:sz w:val="19"/>
                <w:szCs w:val="19"/>
                <w:color w:val="auto"/>
              </w:rPr>
            </w:pPr>
          </w:p>
        </w:tc>
        <w:tc>
          <w:tcPr>
            <w:tcW w:w="800" w:type="dxa"/>
            <w:vAlign w:val="bottom"/>
            <w:shd w:val="clear" w:color="auto" w:fill="E5EAF5"/>
          </w:tcPr>
          <w:p>
            <w:pPr>
              <w:spacing w:after="0"/>
              <w:rPr>
                <w:sz w:val="19"/>
                <w:szCs w:val="19"/>
                <w:color w:val="auto"/>
              </w:rPr>
            </w:pPr>
          </w:p>
        </w:tc>
        <w:tc>
          <w:tcPr>
            <w:tcW w:w="800" w:type="dxa"/>
            <w:vAlign w:val="bottom"/>
            <w:shd w:val="clear" w:color="auto" w:fill="E5EAF5"/>
          </w:tcPr>
          <w:p>
            <w:pPr>
              <w:spacing w:after="0"/>
              <w:rPr>
                <w:sz w:val="19"/>
                <w:szCs w:val="19"/>
                <w:color w:val="auto"/>
              </w:rPr>
            </w:pPr>
          </w:p>
        </w:tc>
      </w:tr>
      <w:tr>
        <w:trPr>
          <w:trHeight w:val="162"/>
        </w:trPr>
        <w:tc>
          <w:tcPr>
            <w:tcW w:w="2860" w:type="dxa"/>
            <w:vAlign w:val="bottom"/>
          </w:tcPr>
          <w:p>
            <w:pPr>
              <w:ind w:left="60"/>
              <w:spacing w:after="0"/>
              <w:rPr>
                <w:sz w:val="20"/>
                <w:szCs w:val="20"/>
                <w:color w:val="auto"/>
              </w:rPr>
            </w:pPr>
            <w:r>
              <w:rPr>
                <w:rFonts w:ascii="Arial" w:cs="Arial" w:eastAsia="Arial" w:hAnsi="Arial"/>
                <w:sz w:val="14"/>
                <w:szCs w:val="14"/>
                <w:color w:val="auto"/>
              </w:rPr>
              <w:t>Ronald J. Domanico</w:t>
            </w:r>
          </w:p>
        </w:tc>
        <w:tc>
          <w:tcPr>
            <w:tcW w:w="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02"/>
        </w:trPr>
        <w:tc>
          <w:tcPr>
            <w:tcW w:w="2860" w:type="dxa"/>
            <w:vAlign w:val="bottom"/>
          </w:tcPr>
          <w:p>
            <w:pPr>
              <w:ind w:left="60"/>
              <w:spacing w:after="0"/>
              <w:rPr>
                <w:sz w:val="20"/>
                <w:szCs w:val="20"/>
                <w:color w:val="auto"/>
              </w:rPr>
            </w:pPr>
            <w:r>
              <w:rPr>
                <w:rFonts w:ascii="Arial" w:cs="Arial" w:eastAsia="Arial" w:hAnsi="Arial"/>
                <w:sz w:val="14"/>
                <w:szCs w:val="14"/>
                <w:color w:val="auto"/>
              </w:rPr>
              <w:t>07/14/2016</w:t>
            </w:r>
          </w:p>
        </w:tc>
        <w:tc>
          <w:tcPr>
            <w:tcW w:w="860" w:type="dxa"/>
            <w:vAlign w:val="bottom"/>
          </w:tcPr>
          <w:p>
            <w:pPr>
              <w:jc w:val="right"/>
              <w:spacing w:after="0"/>
              <w:rPr>
                <w:sz w:val="20"/>
                <w:szCs w:val="20"/>
                <w:color w:val="auto"/>
              </w:rPr>
            </w:pPr>
            <w:r>
              <w:rPr>
                <w:rFonts w:ascii="Arial" w:cs="Arial" w:eastAsia="Arial" w:hAnsi="Arial"/>
                <w:sz w:val="14"/>
                <w:szCs w:val="14"/>
                <w:color w:val="auto"/>
              </w:rPr>
              <w:t>Option</w:t>
            </w:r>
          </w:p>
        </w:tc>
        <w:tc>
          <w:tcPr>
            <w:tcW w:w="1140" w:type="dxa"/>
            <w:vAlign w:val="bottom"/>
          </w:tcPr>
          <w:p>
            <w:pPr>
              <w:spacing w:after="0"/>
              <w:rPr>
                <w:sz w:val="17"/>
                <w:szCs w:val="17"/>
                <w:color w:val="auto"/>
              </w:rPr>
            </w:pPr>
          </w:p>
        </w:tc>
        <w:tc>
          <w:tcPr>
            <w:tcW w:w="1340" w:type="dxa"/>
            <w:vAlign w:val="bottom"/>
          </w:tcPr>
          <w:p>
            <w:pPr>
              <w:jc w:val="right"/>
              <w:ind w:right="154"/>
              <w:spacing w:after="0"/>
              <w:rPr>
                <w:sz w:val="20"/>
                <w:szCs w:val="20"/>
                <w:color w:val="auto"/>
              </w:rPr>
            </w:pPr>
            <w:r>
              <w:rPr>
                <w:rFonts w:ascii="Arial" w:cs="Arial" w:eastAsia="Arial" w:hAnsi="Arial"/>
                <w:sz w:val="14"/>
                <w:szCs w:val="14"/>
                <w:color w:val="auto"/>
              </w:rPr>
              <w:t>84,985</w:t>
            </w:r>
          </w:p>
        </w:tc>
        <w:tc>
          <w:tcPr>
            <w:tcW w:w="640" w:type="dxa"/>
            <w:vAlign w:val="bottom"/>
          </w:tcPr>
          <w:p>
            <w:pPr>
              <w:ind w:left="180"/>
              <w:spacing w:after="0"/>
              <w:rPr>
                <w:sz w:val="20"/>
                <w:szCs w:val="20"/>
                <w:color w:val="auto"/>
              </w:rPr>
            </w:pPr>
            <w:r>
              <w:rPr>
                <w:rFonts w:ascii="Arial" w:cs="Arial" w:eastAsia="Arial" w:hAnsi="Arial"/>
                <w:sz w:val="14"/>
                <w:szCs w:val="14"/>
                <w:color w:val="auto"/>
              </w:rPr>
              <w:t>29.86</w:t>
            </w:r>
          </w:p>
        </w:tc>
        <w:tc>
          <w:tcPr>
            <w:tcW w:w="860" w:type="dxa"/>
            <w:vAlign w:val="bottom"/>
          </w:tcPr>
          <w:p>
            <w:pPr>
              <w:jc w:val="right"/>
              <w:ind w:right="54"/>
              <w:spacing w:after="0"/>
              <w:rPr>
                <w:sz w:val="20"/>
                <w:szCs w:val="20"/>
                <w:color w:val="auto"/>
              </w:rPr>
            </w:pPr>
            <w:r>
              <w:rPr>
                <w:rFonts w:ascii="Arial" w:cs="Arial" w:eastAsia="Arial" w:hAnsi="Arial"/>
                <w:sz w:val="14"/>
                <w:szCs w:val="14"/>
                <w:color w:val="auto"/>
              </w:rPr>
              <w:t>7/14/2022</w:t>
            </w:r>
          </w:p>
        </w:tc>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89"/>
        </w:trPr>
        <w:tc>
          <w:tcPr>
            <w:tcW w:w="2860" w:type="dxa"/>
            <w:vAlign w:val="bottom"/>
          </w:tcPr>
          <w:p>
            <w:pPr>
              <w:ind w:left="60"/>
              <w:spacing w:after="0"/>
              <w:rPr>
                <w:sz w:val="20"/>
                <w:szCs w:val="20"/>
                <w:color w:val="auto"/>
              </w:rPr>
            </w:pPr>
            <w:r>
              <w:rPr>
                <w:rFonts w:ascii="Arial" w:cs="Arial" w:eastAsia="Arial" w:hAnsi="Arial"/>
                <w:sz w:val="14"/>
                <w:szCs w:val="14"/>
                <w:color w:val="auto"/>
              </w:rPr>
              <w:t>07/14/2016</w:t>
            </w:r>
          </w:p>
        </w:tc>
        <w:tc>
          <w:tcPr>
            <w:tcW w:w="860" w:type="dxa"/>
            <w:vAlign w:val="bottom"/>
          </w:tcPr>
          <w:p>
            <w:pPr>
              <w:jc w:val="right"/>
              <w:spacing w:after="0"/>
              <w:rPr>
                <w:sz w:val="20"/>
                <w:szCs w:val="20"/>
                <w:color w:val="auto"/>
              </w:rPr>
            </w:pPr>
            <w:r>
              <w:rPr>
                <w:rFonts w:ascii="Arial" w:cs="Arial" w:eastAsia="Arial" w:hAnsi="Arial"/>
                <w:sz w:val="14"/>
                <w:szCs w:val="14"/>
                <w:color w:val="auto"/>
              </w:rPr>
              <w:t>IM PSU</w:t>
            </w:r>
          </w:p>
        </w:tc>
        <w:tc>
          <w:tcPr>
            <w:tcW w:w="1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jc w:val="right"/>
              <w:ind w:right="35"/>
              <w:spacing w:after="0"/>
              <w:rPr>
                <w:sz w:val="20"/>
                <w:szCs w:val="20"/>
                <w:color w:val="auto"/>
              </w:rPr>
            </w:pPr>
            <w:r>
              <w:rPr>
                <w:rFonts w:ascii="Arial" w:cs="Arial" w:eastAsia="Arial" w:hAnsi="Arial"/>
                <w:sz w:val="14"/>
                <w:szCs w:val="14"/>
                <w:color w:val="auto"/>
              </w:rPr>
              <w:t>7,168</w:t>
            </w:r>
          </w:p>
        </w:tc>
        <w:tc>
          <w:tcPr>
            <w:tcW w:w="800" w:type="dxa"/>
            <w:vAlign w:val="bottom"/>
          </w:tcPr>
          <w:p>
            <w:pPr>
              <w:jc w:val="right"/>
              <w:ind w:right="55"/>
              <w:spacing w:after="0"/>
              <w:rPr>
                <w:sz w:val="20"/>
                <w:szCs w:val="20"/>
                <w:color w:val="auto"/>
              </w:rPr>
            </w:pPr>
            <w:r>
              <w:rPr>
                <w:rFonts w:ascii="Arial" w:cs="Arial" w:eastAsia="Arial" w:hAnsi="Arial"/>
                <w:sz w:val="14"/>
                <w:szCs w:val="14"/>
                <w:color w:val="auto"/>
              </w:rPr>
              <w:t>463,411</w:t>
            </w:r>
          </w:p>
        </w:tc>
      </w:tr>
      <w:tr>
        <w:trPr>
          <w:trHeight w:val="189"/>
        </w:trPr>
        <w:tc>
          <w:tcPr>
            <w:tcW w:w="2860" w:type="dxa"/>
            <w:vAlign w:val="bottom"/>
          </w:tcPr>
          <w:p>
            <w:pPr>
              <w:ind w:left="60"/>
              <w:spacing w:after="0"/>
              <w:rPr>
                <w:sz w:val="20"/>
                <w:szCs w:val="20"/>
                <w:color w:val="auto"/>
              </w:rPr>
            </w:pPr>
            <w:r>
              <w:rPr>
                <w:rFonts w:ascii="Arial" w:cs="Arial" w:eastAsia="Arial" w:hAnsi="Arial"/>
                <w:sz w:val="14"/>
                <w:szCs w:val="14"/>
                <w:color w:val="auto"/>
              </w:rPr>
              <w:t>07/14/2016</w:t>
            </w:r>
          </w:p>
        </w:tc>
        <w:tc>
          <w:tcPr>
            <w:tcW w:w="860" w:type="dxa"/>
            <w:vAlign w:val="bottom"/>
          </w:tcPr>
          <w:p>
            <w:pPr>
              <w:jc w:val="right"/>
              <w:spacing w:after="0"/>
              <w:rPr>
                <w:sz w:val="20"/>
                <w:szCs w:val="20"/>
                <w:color w:val="auto"/>
              </w:rPr>
            </w:pPr>
            <w:r>
              <w:rPr>
                <w:rFonts w:ascii="Arial" w:cs="Arial" w:eastAsia="Arial" w:hAnsi="Arial"/>
                <w:sz w:val="14"/>
                <w:szCs w:val="14"/>
                <w:color w:val="auto"/>
              </w:rPr>
              <w:t>TSR PSU</w:t>
            </w:r>
          </w:p>
        </w:tc>
        <w:tc>
          <w:tcPr>
            <w:tcW w:w="1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jc w:val="right"/>
              <w:ind w:right="35"/>
              <w:spacing w:after="0"/>
              <w:rPr>
                <w:sz w:val="20"/>
                <w:szCs w:val="20"/>
                <w:color w:val="auto"/>
              </w:rPr>
            </w:pPr>
            <w:r>
              <w:rPr>
                <w:rFonts w:ascii="Arial" w:cs="Arial" w:eastAsia="Arial" w:hAnsi="Arial"/>
                <w:sz w:val="14"/>
                <w:szCs w:val="14"/>
                <w:color w:val="auto"/>
              </w:rPr>
              <w:t>6,930</w:t>
            </w:r>
          </w:p>
        </w:tc>
        <w:tc>
          <w:tcPr>
            <w:tcW w:w="800" w:type="dxa"/>
            <w:vAlign w:val="bottom"/>
          </w:tcPr>
          <w:p>
            <w:pPr>
              <w:jc w:val="right"/>
              <w:ind w:right="55"/>
              <w:spacing w:after="0"/>
              <w:rPr>
                <w:sz w:val="20"/>
                <w:szCs w:val="20"/>
                <w:color w:val="auto"/>
              </w:rPr>
            </w:pPr>
            <w:r>
              <w:rPr>
                <w:rFonts w:ascii="Arial" w:cs="Arial" w:eastAsia="Arial" w:hAnsi="Arial"/>
                <w:sz w:val="14"/>
                <w:szCs w:val="14"/>
                <w:color w:val="auto"/>
              </w:rPr>
              <w:t>448,025</w:t>
            </w:r>
          </w:p>
        </w:tc>
      </w:tr>
      <w:tr>
        <w:trPr>
          <w:trHeight w:val="189"/>
        </w:trPr>
        <w:tc>
          <w:tcPr>
            <w:tcW w:w="2860" w:type="dxa"/>
            <w:vAlign w:val="bottom"/>
          </w:tcPr>
          <w:p>
            <w:pPr>
              <w:ind w:left="60"/>
              <w:spacing w:after="0"/>
              <w:rPr>
                <w:sz w:val="20"/>
                <w:szCs w:val="20"/>
                <w:color w:val="auto"/>
              </w:rPr>
            </w:pPr>
            <w:r>
              <w:rPr>
                <w:rFonts w:ascii="Arial" w:cs="Arial" w:eastAsia="Arial" w:hAnsi="Arial"/>
                <w:sz w:val="14"/>
                <w:szCs w:val="14"/>
                <w:color w:val="auto"/>
              </w:rPr>
              <w:t>07/14/2016</w:t>
            </w:r>
          </w:p>
        </w:tc>
        <w:tc>
          <w:tcPr>
            <w:tcW w:w="860" w:type="dxa"/>
            <w:vAlign w:val="bottom"/>
          </w:tcPr>
          <w:p>
            <w:pPr>
              <w:jc w:val="right"/>
              <w:spacing w:after="0"/>
              <w:rPr>
                <w:sz w:val="20"/>
                <w:szCs w:val="20"/>
                <w:color w:val="auto"/>
              </w:rPr>
            </w:pPr>
            <w:r>
              <w:rPr>
                <w:rFonts w:ascii="Arial" w:cs="Arial" w:eastAsia="Arial" w:hAnsi="Arial"/>
                <w:sz w:val="14"/>
                <w:szCs w:val="14"/>
                <w:color w:val="auto"/>
              </w:rPr>
              <w:t>RSU</w:t>
            </w:r>
          </w:p>
        </w:tc>
        <w:tc>
          <w:tcPr>
            <w:tcW w:w="1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80" w:type="dxa"/>
            <w:vAlign w:val="bottom"/>
          </w:tcPr>
          <w:p>
            <w:pPr>
              <w:jc w:val="right"/>
              <w:ind w:right="54"/>
              <w:spacing w:after="0"/>
              <w:rPr>
                <w:sz w:val="20"/>
                <w:szCs w:val="20"/>
                <w:color w:val="auto"/>
              </w:rPr>
            </w:pPr>
            <w:r>
              <w:rPr>
                <w:rFonts w:ascii="Arial" w:cs="Arial" w:eastAsia="Arial" w:hAnsi="Arial"/>
                <w:sz w:val="14"/>
                <w:szCs w:val="14"/>
                <w:color w:val="auto"/>
              </w:rPr>
              <w:t>1,571</w:t>
            </w:r>
          </w:p>
        </w:tc>
        <w:tc>
          <w:tcPr>
            <w:tcW w:w="840" w:type="dxa"/>
            <w:vAlign w:val="bottom"/>
          </w:tcPr>
          <w:p>
            <w:pPr>
              <w:jc w:val="right"/>
              <w:ind w:right="35"/>
              <w:spacing w:after="0"/>
              <w:rPr>
                <w:sz w:val="20"/>
                <w:szCs w:val="20"/>
                <w:color w:val="auto"/>
              </w:rPr>
            </w:pPr>
            <w:r>
              <w:rPr>
                <w:rFonts w:ascii="Arial" w:cs="Arial" w:eastAsia="Arial" w:hAnsi="Arial"/>
                <w:sz w:val="14"/>
                <w:szCs w:val="14"/>
                <w:color w:val="auto"/>
              </w:rPr>
              <w:t>101,565</w:t>
            </w: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89"/>
        </w:trPr>
        <w:tc>
          <w:tcPr>
            <w:tcW w:w="2860" w:type="dxa"/>
            <w:vAlign w:val="bottom"/>
          </w:tcPr>
          <w:p>
            <w:pPr>
              <w:ind w:left="60"/>
              <w:spacing w:after="0"/>
              <w:rPr>
                <w:sz w:val="20"/>
                <w:szCs w:val="20"/>
                <w:color w:val="auto"/>
              </w:rPr>
            </w:pPr>
            <w:r>
              <w:rPr>
                <w:rFonts w:ascii="Arial" w:cs="Arial" w:eastAsia="Arial" w:hAnsi="Arial"/>
                <w:sz w:val="14"/>
                <w:szCs w:val="14"/>
                <w:color w:val="auto"/>
              </w:rPr>
              <w:t>07/14/2016</w:t>
            </w:r>
          </w:p>
        </w:tc>
        <w:tc>
          <w:tcPr>
            <w:tcW w:w="860" w:type="dxa"/>
            <w:vAlign w:val="bottom"/>
          </w:tcPr>
          <w:p>
            <w:pPr>
              <w:jc w:val="right"/>
              <w:spacing w:after="0"/>
              <w:rPr>
                <w:sz w:val="20"/>
                <w:szCs w:val="20"/>
                <w:color w:val="auto"/>
              </w:rPr>
            </w:pPr>
            <w:r>
              <w:rPr>
                <w:rFonts w:ascii="Arial" w:cs="Arial" w:eastAsia="Arial" w:hAnsi="Arial"/>
                <w:sz w:val="14"/>
                <w:szCs w:val="14"/>
                <w:color w:val="auto"/>
              </w:rPr>
              <w:t>RSU</w:t>
            </w:r>
          </w:p>
        </w:tc>
        <w:tc>
          <w:tcPr>
            <w:tcW w:w="1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80" w:type="dxa"/>
            <w:vAlign w:val="bottom"/>
          </w:tcPr>
          <w:p>
            <w:pPr>
              <w:jc w:val="right"/>
              <w:ind w:right="54"/>
              <w:spacing w:after="0"/>
              <w:rPr>
                <w:sz w:val="20"/>
                <w:szCs w:val="20"/>
                <w:color w:val="auto"/>
              </w:rPr>
            </w:pPr>
            <w:r>
              <w:rPr>
                <w:rFonts w:ascii="Arial" w:cs="Arial" w:eastAsia="Arial" w:hAnsi="Arial"/>
                <w:sz w:val="14"/>
                <w:szCs w:val="14"/>
                <w:color w:val="auto"/>
              </w:rPr>
              <w:t>17,439</w:t>
            </w:r>
          </w:p>
        </w:tc>
        <w:tc>
          <w:tcPr>
            <w:tcW w:w="840" w:type="dxa"/>
            <w:vAlign w:val="bottom"/>
          </w:tcPr>
          <w:p>
            <w:pPr>
              <w:jc w:val="right"/>
              <w:ind w:right="35"/>
              <w:spacing w:after="0"/>
              <w:rPr>
                <w:sz w:val="20"/>
                <w:szCs w:val="20"/>
                <w:color w:val="auto"/>
              </w:rPr>
            </w:pPr>
            <w:r>
              <w:rPr>
                <w:rFonts w:ascii="Arial" w:cs="Arial" w:eastAsia="Arial" w:hAnsi="Arial"/>
                <w:sz w:val="14"/>
                <w:szCs w:val="14"/>
                <w:color w:val="auto"/>
              </w:rPr>
              <w:t>1,127,431</w:t>
            </w: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89"/>
        </w:trPr>
        <w:tc>
          <w:tcPr>
            <w:tcW w:w="2860" w:type="dxa"/>
            <w:vAlign w:val="bottom"/>
          </w:tcPr>
          <w:p>
            <w:pPr>
              <w:ind w:left="60"/>
              <w:spacing w:after="0"/>
              <w:rPr>
                <w:sz w:val="20"/>
                <w:szCs w:val="20"/>
                <w:color w:val="auto"/>
              </w:rPr>
            </w:pPr>
            <w:r>
              <w:rPr>
                <w:rFonts w:ascii="Arial" w:cs="Arial" w:eastAsia="Arial" w:hAnsi="Arial"/>
                <w:sz w:val="14"/>
                <w:szCs w:val="14"/>
                <w:color w:val="auto"/>
              </w:rPr>
              <w:t>2/17/2017</w:t>
            </w:r>
          </w:p>
        </w:tc>
        <w:tc>
          <w:tcPr>
            <w:tcW w:w="860" w:type="dxa"/>
            <w:vAlign w:val="bottom"/>
          </w:tcPr>
          <w:p>
            <w:pPr>
              <w:jc w:val="right"/>
              <w:spacing w:after="0"/>
              <w:rPr>
                <w:sz w:val="20"/>
                <w:szCs w:val="20"/>
                <w:color w:val="auto"/>
              </w:rPr>
            </w:pPr>
            <w:r>
              <w:rPr>
                <w:rFonts w:ascii="Arial" w:cs="Arial" w:eastAsia="Arial" w:hAnsi="Arial"/>
                <w:sz w:val="14"/>
                <w:szCs w:val="14"/>
                <w:color w:val="auto"/>
              </w:rPr>
              <w:t>Option</w:t>
            </w:r>
          </w:p>
        </w:tc>
        <w:tc>
          <w:tcPr>
            <w:tcW w:w="1140" w:type="dxa"/>
            <w:vAlign w:val="bottom"/>
          </w:tcPr>
          <w:p>
            <w:pPr>
              <w:spacing w:after="0"/>
              <w:rPr>
                <w:sz w:val="16"/>
                <w:szCs w:val="16"/>
                <w:color w:val="auto"/>
              </w:rPr>
            </w:pPr>
          </w:p>
        </w:tc>
        <w:tc>
          <w:tcPr>
            <w:tcW w:w="1340" w:type="dxa"/>
            <w:vAlign w:val="bottom"/>
          </w:tcPr>
          <w:p>
            <w:pPr>
              <w:jc w:val="right"/>
              <w:ind w:right="154"/>
              <w:spacing w:after="0"/>
              <w:rPr>
                <w:sz w:val="20"/>
                <w:szCs w:val="20"/>
                <w:color w:val="auto"/>
              </w:rPr>
            </w:pPr>
            <w:r>
              <w:rPr>
                <w:rFonts w:ascii="Arial" w:cs="Arial" w:eastAsia="Arial" w:hAnsi="Arial"/>
                <w:sz w:val="14"/>
                <w:szCs w:val="14"/>
                <w:color w:val="auto"/>
              </w:rPr>
              <w:t>22,974</w:t>
            </w:r>
          </w:p>
        </w:tc>
        <w:tc>
          <w:tcPr>
            <w:tcW w:w="640" w:type="dxa"/>
            <w:vAlign w:val="bottom"/>
          </w:tcPr>
          <w:p>
            <w:pPr>
              <w:ind w:left="180"/>
              <w:spacing w:after="0"/>
              <w:rPr>
                <w:sz w:val="20"/>
                <w:szCs w:val="20"/>
                <w:color w:val="auto"/>
              </w:rPr>
            </w:pPr>
            <w:r>
              <w:rPr>
                <w:rFonts w:ascii="Arial" w:cs="Arial" w:eastAsia="Arial" w:hAnsi="Arial"/>
                <w:sz w:val="14"/>
                <w:szCs w:val="14"/>
                <w:color w:val="auto"/>
              </w:rPr>
              <w:t>52.75</w:t>
            </w:r>
          </w:p>
        </w:tc>
        <w:tc>
          <w:tcPr>
            <w:tcW w:w="860" w:type="dxa"/>
            <w:vAlign w:val="bottom"/>
          </w:tcPr>
          <w:p>
            <w:pPr>
              <w:jc w:val="right"/>
              <w:ind w:right="54"/>
              <w:spacing w:after="0"/>
              <w:rPr>
                <w:sz w:val="20"/>
                <w:szCs w:val="20"/>
                <w:color w:val="auto"/>
              </w:rPr>
            </w:pPr>
            <w:r>
              <w:rPr>
                <w:rFonts w:ascii="Arial" w:cs="Arial" w:eastAsia="Arial" w:hAnsi="Arial"/>
                <w:sz w:val="14"/>
                <w:szCs w:val="14"/>
                <w:color w:val="auto"/>
              </w:rPr>
              <w:t>2/17/2023</w:t>
            </w: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89"/>
        </w:trPr>
        <w:tc>
          <w:tcPr>
            <w:tcW w:w="2860" w:type="dxa"/>
            <w:vAlign w:val="bottom"/>
          </w:tcPr>
          <w:p>
            <w:pPr>
              <w:ind w:left="60"/>
              <w:spacing w:after="0"/>
              <w:rPr>
                <w:sz w:val="20"/>
                <w:szCs w:val="20"/>
                <w:color w:val="auto"/>
              </w:rPr>
            </w:pPr>
            <w:r>
              <w:rPr>
                <w:rFonts w:ascii="Arial" w:cs="Arial" w:eastAsia="Arial" w:hAnsi="Arial"/>
                <w:sz w:val="14"/>
                <w:szCs w:val="14"/>
                <w:color w:val="auto"/>
              </w:rPr>
              <w:t>2/17/2017</w:t>
            </w:r>
          </w:p>
        </w:tc>
        <w:tc>
          <w:tcPr>
            <w:tcW w:w="860" w:type="dxa"/>
            <w:vAlign w:val="bottom"/>
          </w:tcPr>
          <w:p>
            <w:pPr>
              <w:jc w:val="right"/>
              <w:spacing w:after="0"/>
              <w:rPr>
                <w:sz w:val="20"/>
                <w:szCs w:val="20"/>
                <w:color w:val="auto"/>
              </w:rPr>
            </w:pPr>
            <w:r>
              <w:rPr>
                <w:rFonts w:ascii="Arial" w:cs="Arial" w:eastAsia="Arial" w:hAnsi="Arial"/>
                <w:sz w:val="14"/>
                <w:szCs w:val="14"/>
                <w:color w:val="auto"/>
              </w:rPr>
              <w:t>IM PSU</w:t>
            </w:r>
          </w:p>
        </w:tc>
        <w:tc>
          <w:tcPr>
            <w:tcW w:w="1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jc w:val="right"/>
              <w:ind w:right="35"/>
              <w:spacing w:after="0"/>
              <w:rPr>
                <w:sz w:val="20"/>
                <w:szCs w:val="20"/>
                <w:color w:val="auto"/>
              </w:rPr>
            </w:pPr>
            <w:r>
              <w:rPr>
                <w:rFonts w:ascii="Arial" w:cs="Arial" w:eastAsia="Arial" w:hAnsi="Arial"/>
                <w:sz w:val="14"/>
                <w:szCs w:val="14"/>
                <w:color w:val="auto"/>
              </w:rPr>
              <w:t>5,332</w:t>
            </w:r>
          </w:p>
        </w:tc>
        <w:tc>
          <w:tcPr>
            <w:tcW w:w="800" w:type="dxa"/>
            <w:vAlign w:val="bottom"/>
          </w:tcPr>
          <w:p>
            <w:pPr>
              <w:jc w:val="right"/>
              <w:ind w:right="55"/>
              <w:spacing w:after="0"/>
              <w:rPr>
                <w:sz w:val="20"/>
                <w:szCs w:val="20"/>
                <w:color w:val="auto"/>
              </w:rPr>
            </w:pPr>
            <w:r>
              <w:rPr>
                <w:rFonts w:ascii="Arial" w:cs="Arial" w:eastAsia="Arial" w:hAnsi="Arial"/>
                <w:sz w:val="14"/>
                <w:szCs w:val="14"/>
                <w:color w:val="auto"/>
              </w:rPr>
              <w:t>344,714</w:t>
            </w:r>
          </w:p>
        </w:tc>
      </w:tr>
      <w:tr>
        <w:trPr>
          <w:trHeight w:val="189"/>
        </w:trPr>
        <w:tc>
          <w:tcPr>
            <w:tcW w:w="2860" w:type="dxa"/>
            <w:vAlign w:val="bottom"/>
          </w:tcPr>
          <w:p>
            <w:pPr>
              <w:ind w:left="60"/>
              <w:spacing w:after="0"/>
              <w:rPr>
                <w:sz w:val="20"/>
                <w:szCs w:val="20"/>
                <w:color w:val="auto"/>
              </w:rPr>
            </w:pPr>
            <w:r>
              <w:rPr>
                <w:rFonts w:ascii="Arial" w:cs="Arial" w:eastAsia="Arial" w:hAnsi="Arial"/>
                <w:sz w:val="14"/>
                <w:szCs w:val="14"/>
                <w:color w:val="auto"/>
              </w:rPr>
              <w:t>2/17/2017</w:t>
            </w:r>
          </w:p>
        </w:tc>
        <w:tc>
          <w:tcPr>
            <w:tcW w:w="860" w:type="dxa"/>
            <w:vAlign w:val="bottom"/>
          </w:tcPr>
          <w:p>
            <w:pPr>
              <w:jc w:val="right"/>
              <w:spacing w:after="0"/>
              <w:rPr>
                <w:sz w:val="20"/>
                <w:szCs w:val="20"/>
                <w:color w:val="auto"/>
              </w:rPr>
            </w:pPr>
            <w:r>
              <w:rPr>
                <w:rFonts w:ascii="Arial" w:cs="Arial" w:eastAsia="Arial" w:hAnsi="Arial"/>
                <w:sz w:val="14"/>
                <w:szCs w:val="14"/>
                <w:color w:val="auto"/>
              </w:rPr>
              <w:t>TSR PSU</w:t>
            </w:r>
          </w:p>
        </w:tc>
        <w:tc>
          <w:tcPr>
            <w:tcW w:w="1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jc w:val="right"/>
              <w:ind w:right="35"/>
              <w:spacing w:after="0"/>
              <w:rPr>
                <w:sz w:val="20"/>
                <w:szCs w:val="20"/>
                <w:color w:val="auto"/>
              </w:rPr>
            </w:pPr>
            <w:r>
              <w:rPr>
                <w:rFonts w:ascii="Arial" w:cs="Arial" w:eastAsia="Arial" w:hAnsi="Arial"/>
                <w:sz w:val="14"/>
                <w:szCs w:val="14"/>
                <w:color w:val="auto"/>
              </w:rPr>
              <w:t>4,100</w:t>
            </w:r>
          </w:p>
        </w:tc>
        <w:tc>
          <w:tcPr>
            <w:tcW w:w="800" w:type="dxa"/>
            <w:vAlign w:val="bottom"/>
          </w:tcPr>
          <w:p>
            <w:pPr>
              <w:jc w:val="right"/>
              <w:ind w:right="55"/>
              <w:spacing w:after="0"/>
              <w:rPr>
                <w:sz w:val="20"/>
                <w:szCs w:val="20"/>
                <w:color w:val="auto"/>
              </w:rPr>
            </w:pPr>
            <w:r>
              <w:rPr>
                <w:rFonts w:ascii="Arial" w:cs="Arial" w:eastAsia="Arial" w:hAnsi="Arial"/>
                <w:sz w:val="14"/>
                <w:szCs w:val="14"/>
                <w:color w:val="auto"/>
              </w:rPr>
              <w:t>265,065</w:t>
            </w:r>
          </w:p>
        </w:tc>
      </w:tr>
      <w:tr>
        <w:trPr>
          <w:trHeight w:val="189"/>
        </w:trPr>
        <w:tc>
          <w:tcPr>
            <w:tcW w:w="2860" w:type="dxa"/>
            <w:vAlign w:val="bottom"/>
          </w:tcPr>
          <w:p>
            <w:pPr>
              <w:ind w:left="60"/>
              <w:spacing w:after="0"/>
              <w:rPr>
                <w:sz w:val="20"/>
                <w:szCs w:val="20"/>
                <w:color w:val="auto"/>
              </w:rPr>
            </w:pPr>
            <w:r>
              <w:rPr>
                <w:rFonts w:ascii="Arial" w:cs="Arial" w:eastAsia="Arial" w:hAnsi="Arial"/>
                <w:sz w:val="14"/>
                <w:szCs w:val="14"/>
                <w:color w:val="auto"/>
              </w:rPr>
              <w:t>2/17/2017</w:t>
            </w:r>
          </w:p>
        </w:tc>
        <w:tc>
          <w:tcPr>
            <w:tcW w:w="860" w:type="dxa"/>
            <w:vAlign w:val="bottom"/>
          </w:tcPr>
          <w:p>
            <w:pPr>
              <w:jc w:val="right"/>
              <w:spacing w:after="0"/>
              <w:rPr>
                <w:sz w:val="20"/>
                <w:szCs w:val="20"/>
                <w:color w:val="auto"/>
              </w:rPr>
            </w:pPr>
            <w:r>
              <w:rPr>
                <w:rFonts w:ascii="Arial" w:cs="Arial" w:eastAsia="Arial" w:hAnsi="Arial"/>
                <w:sz w:val="14"/>
                <w:szCs w:val="14"/>
                <w:color w:val="auto"/>
              </w:rPr>
              <w:t>RSU</w:t>
            </w:r>
          </w:p>
        </w:tc>
        <w:tc>
          <w:tcPr>
            <w:tcW w:w="1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80" w:type="dxa"/>
            <w:vAlign w:val="bottom"/>
          </w:tcPr>
          <w:p>
            <w:pPr>
              <w:jc w:val="right"/>
              <w:ind w:right="54"/>
              <w:spacing w:after="0"/>
              <w:rPr>
                <w:sz w:val="20"/>
                <w:szCs w:val="20"/>
                <w:color w:val="auto"/>
              </w:rPr>
            </w:pPr>
            <w:r>
              <w:rPr>
                <w:rFonts w:ascii="Arial" w:cs="Arial" w:eastAsia="Arial" w:hAnsi="Arial"/>
                <w:sz w:val="14"/>
                <w:szCs w:val="14"/>
                <w:color w:val="auto"/>
              </w:rPr>
              <w:t>3,528</w:t>
            </w:r>
          </w:p>
        </w:tc>
        <w:tc>
          <w:tcPr>
            <w:tcW w:w="840" w:type="dxa"/>
            <w:vAlign w:val="bottom"/>
          </w:tcPr>
          <w:p>
            <w:pPr>
              <w:jc w:val="right"/>
              <w:ind w:right="35"/>
              <w:spacing w:after="0"/>
              <w:rPr>
                <w:sz w:val="20"/>
                <w:szCs w:val="20"/>
                <w:color w:val="auto"/>
              </w:rPr>
            </w:pPr>
            <w:r>
              <w:rPr>
                <w:rFonts w:ascii="Arial" w:cs="Arial" w:eastAsia="Arial" w:hAnsi="Arial"/>
                <w:sz w:val="14"/>
                <w:szCs w:val="14"/>
                <w:color w:val="auto"/>
              </w:rPr>
              <w:t>228,085</w:t>
            </w: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89"/>
        </w:trPr>
        <w:tc>
          <w:tcPr>
            <w:tcW w:w="2860" w:type="dxa"/>
            <w:vAlign w:val="bottom"/>
          </w:tcPr>
          <w:p>
            <w:pPr>
              <w:ind w:left="60"/>
              <w:spacing w:after="0"/>
              <w:rPr>
                <w:sz w:val="20"/>
                <w:szCs w:val="20"/>
                <w:color w:val="auto"/>
              </w:rPr>
            </w:pPr>
            <w:r>
              <w:rPr>
                <w:rFonts w:ascii="Arial" w:cs="Arial" w:eastAsia="Arial" w:hAnsi="Arial"/>
                <w:sz w:val="14"/>
                <w:szCs w:val="14"/>
                <w:color w:val="auto"/>
              </w:rPr>
              <w:t>2/22/2018</w:t>
            </w:r>
          </w:p>
        </w:tc>
        <w:tc>
          <w:tcPr>
            <w:tcW w:w="860" w:type="dxa"/>
            <w:vAlign w:val="bottom"/>
          </w:tcPr>
          <w:p>
            <w:pPr>
              <w:jc w:val="right"/>
              <w:spacing w:after="0"/>
              <w:rPr>
                <w:sz w:val="20"/>
                <w:szCs w:val="20"/>
                <w:color w:val="auto"/>
              </w:rPr>
            </w:pPr>
            <w:r>
              <w:rPr>
                <w:rFonts w:ascii="Arial" w:cs="Arial" w:eastAsia="Arial" w:hAnsi="Arial"/>
                <w:sz w:val="14"/>
                <w:szCs w:val="14"/>
                <w:color w:val="auto"/>
              </w:rPr>
              <w:t>Option</w:t>
            </w:r>
          </w:p>
        </w:tc>
        <w:tc>
          <w:tcPr>
            <w:tcW w:w="1140" w:type="dxa"/>
            <w:vAlign w:val="bottom"/>
          </w:tcPr>
          <w:p>
            <w:pPr>
              <w:spacing w:after="0"/>
              <w:rPr>
                <w:sz w:val="16"/>
                <w:szCs w:val="16"/>
                <w:color w:val="auto"/>
              </w:rPr>
            </w:pPr>
          </w:p>
        </w:tc>
        <w:tc>
          <w:tcPr>
            <w:tcW w:w="1340" w:type="dxa"/>
            <w:vAlign w:val="bottom"/>
          </w:tcPr>
          <w:p>
            <w:pPr>
              <w:jc w:val="right"/>
              <w:ind w:right="154"/>
              <w:spacing w:after="0"/>
              <w:rPr>
                <w:sz w:val="20"/>
                <w:szCs w:val="20"/>
                <w:color w:val="auto"/>
              </w:rPr>
            </w:pPr>
            <w:r>
              <w:rPr>
                <w:rFonts w:ascii="Arial" w:cs="Arial" w:eastAsia="Arial" w:hAnsi="Arial"/>
                <w:sz w:val="14"/>
                <w:szCs w:val="14"/>
                <w:color w:val="auto"/>
              </w:rPr>
              <w:t>17,438</w:t>
            </w:r>
          </w:p>
        </w:tc>
        <w:tc>
          <w:tcPr>
            <w:tcW w:w="640" w:type="dxa"/>
            <w:vAlign w:val="bottom"/>
          </w:tcPr>
          <w:p>
            <w:pPr>
              <w:ind w:left="180"/>
              <w:spacing w:after="0"/>
              <w:rPr>
                <w:sz w:val="20"/>
                <w:szCs w:val="20"/>
                <w:color w:val="auto"/>
              </w:rPr>
            </w:pPr>
            <w:r>
              <w:rPr>
                <w:rFonts w:ascii="Arial" w:cs="Arial" w:eastAsia="Arial" w:hAnsi="Arial"/>
                <w:sz w:val="14"/>
                <w:szCs w:val="14"/>
                <w:color w:val="auto"/>
              </w:rPr>
              <w:t>73.45</w:t>
            </w:r>
          </w:p>
        </w:tc>
        <w:tc>
          <w:tcPr>
            <w:tcW w:w="860" w:type="dxa"/>
            <w:vAlign w:val="bottom"/>
          </w:tcPr>
          <w:p>
            <w:pPr>
              <w:jc w:val="right"/>
              <w:ind w:right="54"/>
              <w:spacing w:after="0"/>
              <w:rPr>
                <w:sz w:val="20"/>
                <w:szCs w:val="20"/>
                <w:color w:val="auto"/>
              </w:rPr>
            </w:pPr>
            <w:r>
              <w:rPr>
                <w:rFonts w:ascii="Arial" w:cs="Arial" w:eastAsia="Arial" w:hAnsi="Arial"/>
                <w:sz w:val="14"/>
                <w:szCs w:val="14"/>
                <w:color w:val="auto"/>
              </w:rPr>
              <w:t>2/22/2024</w:t>
            </w: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89"/>
        </w:trPr>
        <w:tc>
          <w:tcPr>
            <w:tcW w:w="2860" w:type="dxa"/>
            <w:vAlign w:val="bottom"/>
          </w:tcPr>
          <w:p>
            <w:pPr>
              <w:ind w:left="60"/>
              <w:spacing w:after="0"/>
              <w:rPr>
                <w:sz w:val="20"/>
                <w:szCs w:val="20"/>
                <w:color w:val="auto"/>
              </w:rPr>
            </w:pPr>
            <w:r>
              <w:rPr>
                <w:rFonts w:ascii="Arial" w:cs="Arial" w:eastAsia="Arial" w:hAnsi="Arial"/>
                <w:sz w:val="14"/>
                <w:szCs w:val="14"/>
                <w:color w:val="auto"/>
              </w:rPr>
              <w:t>2/22/2018</w:t>
            </w:r>
          </w:p>
        </w:tc>
        <w:tc>
          <w:tcPr>
            <w:tcW w:w="860" w:type="dxa"/>
            <w:vAlign w:val="bottom"/>
          </w:tcPr>
          <w:p>
            <w:pPr>
              <w:jc w:val="right"/>
              <w:spacing w:after="0"/>
              <w:rPr>
                <w:sz w:val="20"/>
                <w:szCs w:val="20"/>
                <w:color w:val="auto"/>
              </w:rPr>
            </w:pPr>
            <w:r>
              <w:rPr>
                <w:rFonts w:ascii="Arial" w:cs="Arial" w:eastAsia="Arial" w:hAnsi="Arial"/>
                <w:sz w:val="14"/>
                <w:szCs w:val="14"/>
                <w:color w:val="auto"/>
              </w:rPr>
              <w:t>RSU</w:t>
            </w:r>
          </w:p>
        </w:tc>
        <w:tc>
          <w:tcPr>
            <w:tcW w:w="1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80" w:type="dxa"/>
            <w:vAlign w:val="bottom"/>
          </w:tcPr>
          <w:p>
            <w:pPr>
              <w:jc w:val="right"/>
              <w:ind w:right="54"/>
              <w:spacing w:after="0"/>
              <w:rPr>
                <w:sz w:val="20"/>
                <w:szCs w:val="20"/>
                <w:color w:val="auto"/>
              </w:rPr>
            </w:pPr>
            <w:r>
              <w:rPr>
                <w:rFonts w:ascii="Arial" w:cs="Arial" w:eastAsia="Arial" w:hAnsi="Arial"/>
                <w:sz w:val="14"/>
                <w:szCs w:val="14"/>
                <w:color w:val="auto"/>
              </w:rPr>
              <w:t>4,323</w:t>
            </w:r>
          </w:p>
        </w:tc>
        <w:tc>
          <w:tcPr>
            <w:tcW w:w="840" w:type="dxa"/>
            <w:vAlign w:val="bottom"/>
          </w:tcPr>
          <w:p>
            <w:pPr>
              <w:jc w:val="right"/>
              <w:ind w:right="35"/>
              <w:spacing w:after="0"/>
              <w:rPr>
                <w:sz w:val="20"/>
                <w:szCs w:val="20"/>
                <w:color w:val="auto"/>
              </w:rPr>
            </w:pPr>
            <w:r>
              <w:rPr>
                <w:rFonts w:ascii="Arial" w:cs="Arial" w:eastAsia="Arial" w:hAnsi="Arial"/>
                <w:sz w:val="14"/>
                <w:szCs w:val="14"/>
                <w:color w:val="auto"/>
              </w:rPr>
              <w:t>279,482</w:t>
            </w: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89"/>
        </w:trPr>
        <w:tc>
          <w:tcPr>
            <w:tcW w:w="2860" w:type="dxa"/>
            <w:vAlign w:val="bottom"/>
          </w:tcPr>
          <w:p>
            <w:pPr>
              <w:ind w:left="60"/>
              <w:spacing w:after="0"/>
              <w:rPr>
                <w:sz w:val="20"/>
                <w:szCs w:val="20"/>
                <w:color w:val="auto"/>
              </w:rPr>
            </w:pPr>
            <w:r>
              <w:rPr>
                <w:rFonts w:ascii="Arial" w:cs="Arial" w:eastAsia="Arial" w:hAnsi="Arial"/>
                <w:sz w:val="14"/>
                <w:szCs w:val="14"/>
                <w:color w:val="auto"/>
              </w:rPr>
              <w:t>2/22/2018</w:t>
            </w:r>
          </w:p>
        </w:tc>
        <w:tc>
          <w:tcPr>
            <w:tcW w:w="860" w:type="dxa"/>
            <w:vAlign w:val="bottom"/>
          </w:tcPr>
          <w:p>
            <w:pPr>
              <w:jc w:val="right"/>
              <w:spacing w:after="0"/>
              <w:rPr>
                <w:sz w:val="20"/>
                <w:szCs w:val="20"/>
                <w:color w:val="auto"/>
              </w:rPr>
            </w:pPr>
            <w:r>
              <w:rPr>
                <w:rFonts w:ascii="Arial" w:cs="Arial" w:eastAsia="Arial" w:hAnsi="Arial"/>
                <w:sz w:val="14"/>
                <w:szCs w:val="14"/>
                <w:color w:val="auto"/>
              </w:rPr>
              <w:t>IM PSU</w:t>
            </w:r>
          </w:p>
        </w:tc>
        <w:tc>
          <w:tcPr>
            <w:tcW w:w="1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jc w:val="right"/>
              <w:ind w:right="35"/>
              <w:spacing w:after="0"/>
              <w:rPr>
                <w:sz w:val="20"/>
                <w:szCs w:val="20"/>
                <w:color w:val="auto"/>
              </w:rPr>
            </w:pPr>
            <w:r>
              <w:rPr>
                <w:rFonts w:ascii="Arial" w:cs="Arial" w:eastAsia="Arial" w:hAnsi="Arial"/>
                <w:sz w:val="14"/>
                <w:szCs w:val="14"/>
                <w:color w:val="auto"/>
              </w:rPr>
              <w:t>4,357</w:t>
            </w:r>
          </w:p>
        </w:tc>
        <w:tc>
          <w:tcPr>
            <w:tcW w:w="800" w:type="dxa"/>
            <w:vAlign w:val="bottom"/>
          </w:tcPr>
          <w:p>
            <w:pPr>
              <w:jc w:val="right"/>
              <w:ind w:right="55"/>
              <w:spacing w:after="0"/>
              <w:rPr>
                <w:sz w:val="20"/>
                <w:szCs w:val="20"/>
                <w:color w:val="auto"/>
              </w:rPr>
            </w:pPr>
            <w:r>
              <w:rPr>
                <w:rFonts w:ascii="Arial" w:cs="Arial" w:eastAsia="Arial" w:hAnsi="Arial"/>
                <w:sz w:val="14"/>
                <w:szCs w:val="14"/>
                <w:color w:val="auto"/>
              </w:rPr>
              <w:t>281,680</w:t>
            </w:r>
          </w:p>
        </w:tc>
      </w:tr>
      <w:tr>
        <w:trPr>
          <w:trHeight w:val="189"/>
        </w:trPr>
        <w:tc>
          <w:tcPr>
            <w:tcW w:w="2860" w:type="dxa"/>
            <w:vAlign w:val="bottom"/>
          </w:tcPr>
          <w:p>
            <w:pPr>
              <w:ind w:left="60"/>
              <w:spacing w:after="0"/>
              <w:rPr>
                <w:sz w:val="20"/>
                <w:szCs w:val="20"/>
                <w:color w:val="auto"/>
              </w:rPr>
            </w:pPr>
            <w:r>
              <w:rPr>
                <w:rFonts w:ascii="Arial" w:cs="Arial" w:eastAsia="Arial" w:hAnsi="Arial"/>
                <w:sz w:val="14"/>
                <w:szCs w:val="14"/>
                <w:color w:val="auto"/>
              </w:rPr>
              <w:t>2/22/2018</w:t>
            </w:r>
          </w:p>
        </w:tc>
        <w:tc>
          <w:tcPr>
            <w:tcW w:w="860" w:type="dxa"/>
            <w:vAlign w:val="bottom"/>
          </w:tcPr>
          <w:p>
            <w:pPr>
              <w:jc w:val="right"/>
              <w:spacing w:after="0"/>
              <w:rPr>
                <w:sz w:val="20"/>
                <w:szCs w:val="20"/>
                <w:color w:val="auto"/>
              </w:rPr>
            </w:pPr>
            <w:r>
              <w:rPr>
                <w:rFonts w:ascii="Arial" w:cs="Arial" w:eastAsia="Arial" w:hAnsi="Arial"/>
                <w:sz w:val="14"/>
                <w:szCs w:val="14"/>
                <w:color w:val="auto"/>
              </w:rPr>
              <w:t>TSR PSU</w:t>
            </w:r>
          </w:p>
        </w:tc>
        <w:tc>
          <w:tcPr>
            <w:tcW w:w="1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jc w:val="right"/>
              <w:ind w:right="35"/>
              <w:spacing w:after="0"/>
              <w:rPr>
                <w:sz w:val="20"/>
                <w:szCs w:val="20"/>
                <w:color w:val="auto"/>
              </w:rPr>
            </w:pPr>
            <w:r>
              <w:rPr>
                <w:rFonts w:ascii="Arial" w:cs="Arial" w:eastAsia="Arial" w:hAnsi="Arial"/>
                <w:sz w:val="14"/>
                <w:szCs w:val="14"/>
                <w:color w:val="auto"/>
              </w:rPr>
              <w:t>3,953</w:t>
            </w:r>
          </w:p>
        </w:tc>
        <w:tc>
          <w:tcPr>
            <w:tcW w:w="800" w:type="dxa"/>
            <w:vAlign w:val="bottom"/>
          </w:tcPr>
          <w:p>
            <w:pPr>
              <w:jc w:val="right"/>
              <w:ind w:right="55"/>
              <w:spacing w:after="0"/>
              <w:rPr>
                <w:sz w:val="20"/>
                <w:szCs w:val="20"/>
                <w:color w:val="auto"/>
              </w:rPr>
            </w:pPr>
            <w:r>
              <w:rPr>
                <w:rFonts w:ascii="Arial" w:cs="Arial" w:eastAsia="Arial" w:hAnsi="Arial"/>
                <w:sz w:val="14"/>
                <w:szCs w:val="14"/>
                <w:color w:val="auto"/>
              </w:rPr>
              <w:t>255,561</w:t>
            </w:r>
          </w:p>
        </w:tc>
      </w:tr>
      <w:tr>
        <w:trPr>
          <w:trHeight w:val="217"/>
        </w:trPr>
        <w:tc>
          <w:tcPr>
            <w:tcW w:w="2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148"/>
        </w:trPr>
        <w:tc>
          <w:tcPr>
            <w:tcW w:w="2860" w:type="dxa"/>
            <w:vAlign w:val="bottom"/>
            <w:shd w:val="clear" w:color="auto" w:fill="E5EAF5"/>
          </w:tcPr>
          <w:p>
            <w:pPr>
              <w:ind w:left="60"/>
              <w:spacing w:after="0" w:line="148" w:lineRule="exact"/>
              <w:rPr>
                <w:sz w:val="20"/>
                <w:szCs w:val="20"/>
                <w:color w:val="auto"/>
              </w:rPr>
            </w:pPr>
            <w:r>
              <w:rPr>
                <w:rFonts w:ascii="Arial" w:cs="Arial" w:eastAsia="Arial" w:hAnsi="Arial"/>
                <w:sz w:val="14"/>
                <w:szCs w:val="14"/>
                <w:color w:val="auto"/>
              </w:rPr>
              <w:t>Michael F. Beech</w:t>
            </w:r>
          </w:p>
        </w:tc>
        <w:tc>
          <w:tcPr>
            <w:tcW w:w="860" w:type="dxa"/>
            <w:vAlign w:val="bottom"/>
            <w:shd w:val="clear" w:color="auto" w:fill="E5EAF5"/>
          </w:tcPr>
          <w:p>
            <w:pPr>
              <w:spacing w:after="0"/>
              <w:rPr>
                <w:sz w:val="12"/>
                <w:szCs w:val="12"/>
                <w:color w:val="auto"/>
              </w:rPr>
            </w:pPr>
          </w:p>
        </w:tc>
        <w:tc>
          <w:tcPr>
            <w:tcW w:w="1140" w:type="dxa"/>
            <w:vAlign w:val="bottom"/>
            <w:shd w:val="clear" w:color="auto" w:fill="E5EAF5"/>
          </w:tcPr>
          <w:p>
            <w:pPr>
              <w:spacing w:after="0"/>
              <w:rPr>
                <w:sz w:val="12"/>
                <w:szCs w:val="12"/>
                <w:color w:val="auto"/>
              </w:rPr>
            </w:pPr>
          </w:p>
        </w:tc>
        <w:tc>
          <w:tcPr>
            <w:tcW w:w="1340" w:type="dxa"/>
            <w:vAlign w:val="bottom"/>
            <w:shd w:val="clear" w:color="auto" w:fill="E5EAF5"/>
          </w:tcPr>
          <w:p>
            <w:pPr>
              <w:spacing w:after="0"/>
              <w:rPr>
                <w:sz w:val="12"/>
                <w:szCs w:val="12"/>
                <w:color w:val="auto"/>
              </w:rPr>
            </w:pPr>
          </w:p>
        </w:tc>
        <w:tc>
          <w:tcPr>
            <w:tcW w:w="640" w:type="dxa"/>
            <w:vAlign w:val="bottom"/>
            <w:shd w:val="clear" w:color="auto" w:fill="E5EAF5"/>
          </w:tcPr>
          <w:p>
            <w:pPr>
              <w:spacing w:after="0"/>
              <w:rPr>
                <w:sz w:val="12"/>
                <w:szCs w:val="12"/>
                <w:color w:val="auto"/>
              </w:rPr>
            </w:pPr>
          </w:p>
        </w:tc>
        <w:tc>
          <w:tcPr>
            <w:tcW w:w="860" w:type="dxa"/>
            <w:vAlign w:val="bottom"/>
            <w:shd w:val="clear" w:color="auto" w:fill="E5EAF5"/>
          </w:tcPr>
          <w:p>
            <w:pPr>
              <w:spacing w:after="0"/>
              <w:rPr>
                <w:sz w:val="12"/>
                <w:szCs w:val="12"/>
                <w:color w:val="auto"/>
              </w:rPr>
            </w:pPr>
          </w:p>
        </w:tc>
        <w:tc>
          <w:tcPr>
            <w:tcW w:w="880" w:type="dxa"/>
            <w:vAlign w:val="bottom"/>
            <w:shd w:val="clear" w:color="auto" w:fill="E5EAF5"/>
          </w:tcPr>
          <w:p>
            <w:pPr>
              <w:spacing w:after="0"/>
              <w:rPr>
                <w:sz w:val="12"/>
                <w:szCs w:val="12"/>
                <w:color w:val="auto"/>
              </w:rPr>
            </w:pPr>
          </w:p>
        </w:tc>
        <w:tc>
          <w:tcPr>
            <w:tcW w:w="840" w:type="dxa"/>
            <w:vAlign w:val="bottom"/>
            <w:shd w:val="clear" w:color="auto" w:fill="E5EAF5"/>
          </w:tcPr>
          <w:p>
            <w:pPr>
              <w:spacing w:after="0"/>
              <w:rPr>
                <w:sz w:val="12"/>
                <w:szCs w:val="12"/>
                <w:color w:val="auto"/>
              </w:rPr>
            </w:pPr>
          </w:p>
        </w:tc>
        <w:tc>
          <w:tcPr>
            <w:tcW w:w="800" w:type="dxa"/>
            <w:vAlign w:val="bottom"/>
            <w:shd w:val="clear" w:color="auto" w:fill="E5EAF5"/>
          </w:tcPr>
          <w:p>
            <w:pPr>
              <w:spacing w:after="0"/>
              <w:rPr>
                <w:sz w:val="12"/>
                <w:szCs w:val="12"/>
                <w:color w:val="auto"/>
              </w:rPr>
            </w:pPr>
          </w:p>
        </w:tc>
        <w:tc>
          <w:tcPr>
            <w:tcW w:w="800" w:type="dxa"/>
            <w:vAlign w:val="bottom"/>
            <w:shd w:val="clear" w:color="auto" w:fill="E5EAF5"/>
          </w:tcPr>
          <w:p>
            <w:pPr>
              <w:spacing w:after="0"/>
              <w:rPr>
                <w:sz w:val="12"/>
                <w:szCs w:val="12"/>
                <w:color w:val="auto"/>
              </w:rPr>
            </w:pPr>
          </w:p>
        </w:tc>
      </w:tr>
      <w:tr>
        <w:trPr>
          <w:trHeight w:val="163"/>
        </w:trPr>
        <w:tc>
          <w:tcPr>
            <w:tcW w:w="2860" w:type="dxa"/>
            <w:vAlign w:val="bottom"/>
            <w:shd w:val="clear" w:color="auto" w:fill="E5EAF5"/>
          </w:tcPr>
          <w:p>
            <w:pPr>
              <w:ind w:left="60"/>
              <w:spacing w:after="0"/>
              <w:rPr>
                <w:sz w:val="20"/>
                <w:szCs w:val="20"/>
                <w:color w:val="auto"/>
              </w:rPr>
            </w:pPr>
            <w:r>
              <w:rPr>
                <w:rFonts w:ascii="Arial" w:cs="Arial" w:eastAsia="Arial" w:hAnsi="Arial"/>
                <w:sz w:val="14"/>
                <w:szCs w:val="14"/>
                <w:color w:val="auto"/>
              </w:rPr>
              <w:t>2/24/2016</w:t>
            </w:r>
          </w:p>
        </w:tc>
        <w:tc>
          <w:tcPr>
            <w:tcW w:w="860" w:type="dxa"/>
            <w:vAlign w:val="bottom"/>
            <w:shd w:val="clear" w:color="auto" w:fill="E5EAF5"/>
          </w:tcPr>
          <w:p>
            <w:pPr>
              <w:jc w:val="right"/>
              <w:spacing w:after="0"/>
              <w:rPr>
                <w:sz w:val="20"/>
                <w:szCs w:val="20"/>
                <w:color w:val="auto"/>
              </w:rPr>
            </w:pPr>
            <w:r>
              <w:rPr>
                <w:rFonts w:ascii="Arial" w:cs="Arial" w:eastAsia="Arial" w:hAnsi="Arial"/>
                <w:sz w:val="14"/>
                <w:szCs w:val="14"/>
                <w:color w:val="auto"/>
              </w:rPr>
              <w:t>RSU</w:t>
            </w:r>
          </w:p>
        </w:tc>
        <w:tc>
          <w:tcPr>
            <w:tcW w:w="1140" w:type="dxa"/>
            <w:vAlign w:val="bottom"/>
            <w:shd w:val="clear" w:color="auto" w:fill="E5EAF5"/>
          </w:tcPr>
          <w:p>
            <w:pPr>
              <w:spacing w:after="0"/>
              <w:rPr>
                <w:sz w:val="14"/>
                <w:szCs w:val="14"/>
                <w:color w:val="auto"/>
              </w:rPr>
            </w:pPr>
          </w:p>
        </w:tc>
        <w:tc>
          <w:tcPr>
            <w:tcW w:w="1340" w:type="dxa"/>
            <w:vAlign w:val="bottom"/>
            <w:shd w:val="clear" w:color="auto" w:fill="E5EAF5"/>
          </w:tcPr>
          <w:p>
            <w:pPr>
              <w:spacing w:after="0"/>
              <w:rPr>
                <w:sz w:val="14"/>
                <w:szCs w:val="14"/>
                <w:color w:val="auto"/>
              </w:rPr>
            </w:pPr>
          </w:p>
        </w:tc>
        <w:tc>
          <w:tcPr>
            <w:tcW w:w="640" w:type="dxa"/>
            <w:vAlign w:val="bottom"/>
            <w:shd w:val="clear" w:color="auto" w:fill="E5EAF5"/>
          </w:tcPr>
          <w:p>
            <w:pPr>
              <w:spacing w:after="0"/>
              <w:rPr>
                <w:sz w:val="14"/>
                <w:szCs w:val="14"/>
                <w:color w:val="auto"/>
              </w:rPr>
            </w:pPr>
          </w:p>
        </w:tc>
        <w:tc>
          <w:tcPr>
            <w:tcW w:w="860" w:type="dxa"/>
            <w:vAlign w:val="bottom"/>
            <w:shd w:val="clear" w:color="auto" w:fill="E5EAF5"/>
          </w:tcPr>
          <w:p>
            <w:pPr>
              <w:spacing w:after="0"/>
              <w:rPr>
                <w:sz w:val="14"/>
                <w:szCs w:val="14"/>
                <w:color w:val="auto"/>
              </w:rPr>
            </w:pPr>
          </w:p>
        </w:tc>
        <w:tc>
          <w:tcPr>
            <w:tcW w:w="880" w:type="dxa"/>
            <w:vAlign w:val="bottom"/>
            <w:shd w:val="clear" w:color="auto" w:fill="E5EAF5"/>
          </w:tcPr>
          <w:p>
            <w:pPr>
              <w:jc w:val="right"/>
              <w:ind w:right="54"/>
              <w:spacing w:after="0"/>
              <w:rPr>
                <w:sz w:val="20"/>
                <w:szCs w:val="20"/>
                <w:color w:val="auto"/>
              </w:rPr>
            </w:pPr>
            <w:r>
              <w:rPr>
                <w:rFonts w:ascii="Arial" w:cs="Arial" w:eastAsia="Arial" w:hAnsi="Arial"/>
                <w:sz w:val="14"/>
                <w:szCs w:val="14"/>
                <w:color w:val="auto"/>
              </w:rPr>
              <w:t>1,568</w:t>
            </w:r>
          </w:p>
        </w:tc>
        <w:tc>
          <w:tcPr>
            <w:tcW w:w="840" w:type="dxa"/>
            <w:vAlign w:val="bottom"/>
            <w:shd w:val="clear" w:color="auto" w:fill="E5EAF5"/>
          </w:tcPr>
          <w:p>
            <w:pPr>
              <w:jc w:val="right"/>
              <w:ind w:right="35"/>
              <w:spacing w:after="0"/>
              <w:rPr>
                <w:sz w:val="20"/>
                <w:szCs w:val="20"/>
                <w:color w:val="auto"/>
              </w:rPr>
            </w:pPr>
            <w:r>
              <w:rPr>
                <w:rFonts w:ascii="Arial" w:cs="Arial" w:eastAsia="Arial" w:hAnsi="Arial"/>
                <w:sz w:val="14"/>
                <w:szCs w:val="14"/>
                <w:color w:val="auto"/>
              </w:rPr>
              <w:t>101,371</w:t>
            </w:r>
          </w:p>
        </w:tc>
        <w:tc>
          <w:tcPr>
            <w:tcW w:w="800" w:type="dxa"/>
            <w:vAlign w:val="bottom"/>
            <w:shd w:val="clear" w:color="auto" w:fill="E5EAF5"/>
          </w:tcPr>
          <w:p>
            <w:pPr>
              <w:spacing w:after="0"/>
              <w:rPr>
                <w:sz w:val="14"/>
                <w:szCs w:val="14"/>
                <w:color w:val="auto"/>
              </w:rPr>
            </w:pPr>
          </w:p>
        </w:tc>
        <w:tc>
          <w:tcPr>
            <w:tcW w:w="800" w:type="dxa"/>
            <w:vAlign w:val="bottom"/>
            <w:shd w:val="clear" w:color="auto" w:fill="E5EAF5"/>
          </w:tcPr>
          <w:p>
            <w:pPr>
              <w:spacing w:after="0"/>
              <w:rPr>
                <w:sz w:val="14"/>
                <w:szCs w:val="14"/>
                <w:color w:val="auto"/>
              </w:rPr>
            </w:pPr>
          </w:p>
        </w:tc>
      </w:tr>
      <w:tr>
        <w:trPr>
          <w:trHeight w:val="189"/>
        </w:trPr>
        <w:tc>
          <w:tcPr>
            <w:tcW w:w="2860" w:type="dxa"/>
            <w:vAlign w:val="bottom"/>
            <w:shd w:val="clear" w:color="auto" w:fill="E5EAF5"/>
          </w:tcPr>
          <w:p>
            <w:pPr>
              <w:ind w:left="60"/>
              <w:spacing w:after="0"/>
              <w:rPr>
                <w:sz w:val="20"/>
                <w:szCs w:val="20"/>
                <w:color w:val="auto"/>
              </w:rPr>
            </w:pPr>
            <w:r>
              <w:rPr>
                <w:rFonts w:ascii="Arial" w:cs="Arial" w:eastAsia="Arial" w:hAnsi="Arial"/>
                <w:sz w:val="14"/>
                <w:szCs w:val="14"/>
                <w:color w:val="auto"/>
              </w:rPr>
              <w:t>2/24/2016</w:t>
            </w:r>
          </w:p>
        </w:tc>
        <w:tc>
          <w:tcPr>
            <w:tcW w:w="860" w:type="dxa"/>
            <w:vAlign w:val="bottom"/>
            <w:shd w:val="clear" w:color="auto" w:fill="E5EAF5"/>
          </w:tcPr>
          <w:p>
            <w:pPr>
              <w:jc w:val="right"/>
              <w:spacing w:after="0"/>
              <w:rPr>
                <w:sz w:val="20"/>
                <w:szCs w:val="20"/>
                <w:color w:val="auto"/>
              </w:rPr>
            </w:pPr>
            <w:r>
              <w:rPr>
                <w:rFonts w:ascii="Arial" w:cs="Arial" w:eastAsia="Arial" w:hAnsi="Arial"/>
                <w:sz w:val="14"/>
                <w:szCs w:val="14"/>
                <w:color w:val="auto"/>
              </w:rPr>
              <w:t>IM PSU</w:t>
            </w:r>
          </w:p>
        </w:tc>
        <w:tc>
          <w:tcPr>
            <w:tcW w:w="1140" w:type="dxa"/>
            <w:vAlign w:val="bottom"/>
            <w:shd w:val="clear" w:color="auto" w:fill="E5EAF5"/>
          </w:tcPr>
          <w:p>
            <w:pPr>
              <w:spacing w:after="0"/>
              <w:rPr>
                <w:sz w:val="16"/>
                <w:szCs w:val="16"/>
                <w:color w:val="auto"/>
              </w:rPr>
            </w:pPr>
          </w:p>
        </w:tc>
        <w:tc>
          <w:tcPr>
            <w:tcW w:w="1340" w:type="dxa"/>
            <w:vAlign w:val="bottom"/>
            <w:shd w:val="clear" w:color="auto" w:fill="E5EAF5"/>
          </w:tcPr>
          <w:p>
            <w:pPr>
              <w:spacing w:after="0"/>
              <w:rPr>
                <w:sz w:val="16"/>
                <w:szCs w:val="16"/>
                <w:color w:val="auto"/>
              </w:rPr>
            </w:pPr>
          </w:p>
        </w:tc>
        <w:tc>
          <w:tcPr>
            <w:tcW w:w="640" w:type="dxa"/>
            <w:vAlign w:val="bottom"/>
            <w:shd w:val="clear" w:color="auto" w:fill="E5EAF5"/>
          </w:tcPr>
          <w:p>
            <w:pPr>
              <w:spacing w:after="0"/>
              <w:rPr>
                <w:sz w:val="16"/>
                <w:szCs w:val="16"/>
                <w:color w:val="auto"/>
              </w:rPr>
            </w:pPr>
          </w:p>
        </w:tc>
        <w:tc>
          <w:tcPr>
            <w:tcW w:w="860" w:type="dxa"/>
            <w:vAlign w:val="bottom"/>
            <w:shd w:val="clear" w:color="auto" w:fill="E5EAF5"/>
          </w:tcPr>
          <w:p>
            <w:pPr>
              <w:spacing w:after="0"/>
              <w:rPr>
                <w:sz w:val="16"/>
                <w:szCs w:val="16"/>
                <w:color w:val="auto"/>
              </w:rPr>
            </w:pPr>
          </w:p>
        </w:tc>
        <w:tc>
          <w:tcPr>
            <w:tcW w:w="880" w:type="dxa"/>
            <w:vAlign w:val="bottom"/>
            <w:shd w:val="clear" w:color="auto" w:fill="E5EAF5"/>
          </w:tcPr>
          <w:p>
            <w:pPr>
              <w:spacing w:after="0"/>
              <w:rPr>
                <w:sz w:val="16"/>
                <w:szCs w:val="16"/>
                <w:color w:val="auto"/>
              </w:rPr>
            </w:pPr>
          </w:p>
        </w:tc>
        <w:tc>
          <w:tcPr>
            <w:tcW w:w="840" w:type="dxa"/>
            <w:vAlign w:val="bottom"/>
            <w:shd w:val="clear" w:color="auto" w:fill="E5EAF5"/>
          </w:tcPr>
          <w:p>
            <w:pPr>
              <w:spacing w:after="0"/>
              <w:rPr>
                <w:sz w:val="16"/>
                <w:szCs w:val="16"/>
                <w:color w:val="auto"/>
              </w:rPr>
            </w:pPr>
          </w:p>
        </w:tc>
        <w:tc>
          <w:tcPr>
            <w:tcW w:w="800" w:type="dxa"/>
            <w:vAlign w:val="bottom"/>
            <w:shd w:val="clear" w:color="auto" w:fill="E5EAF5"/>
          </w:tcPr>
          <w:p>
            <w:pPr>
              <w:jc w:val="right"/>
              <w:ind w:right="35"/>
              <w:spacing w:after="0"/>
              <w:rPr>
                <w:sz w:val="20"/>
                <w:szCs w:val="20"/>
                <w:color w:val="auto"/>
              </w:rPr>
            </w:pPr>
            <w:r>
              <w:rPr>
                <w:rFonts w:ascii="Arial" w:cs="Arial" w:eastAsia="Arial" w:hAnsi="Arial"/>
                <w:sz w:val="14"/>
                <w:szCs w:val="14"/>
                <w:color w:val="auto"/>
              </w:rPr>
              <w:t>7,359</w:t>
            </w:r>
          </w:p>
        </w:tc>
        <w:tc>
          <w:tcPr>
            <w:tcW w:w="800" w:type="dxa"/>
            <w:vAlign w:val="bottom"/>
            <w:shd w:val="clear" w:color="auto" w:fill="E5EAF5"/>
          </w:tcPr>
          <w:p>
            <w:pPr>
              <w:jc w:val="right"/>
              <w:ind w:right="55"/>
              <w:spacing w:after="0"/>
              <w:rPr>
                <w:sz w:val="20"/>
                <w:szCs w:val="20"/>
                <w:color w:val="auto"/>
              </w:rPr>
            </w:pPr>
            <w:r>
              <w:rPr>
                <w:rFonts w:ascii="Arial" w:cs="Arial" w:eastAsia="Arial" w:hAnsi="Arial"/>
                <w:sz w:val="14"/>
                <w:szCs w:val="14"/>
                <w:color w:val="auto"/>
              </w:rPr>
              <w:t>475,759</w:t>
            </w:r>
          </w:p>
        </w:tc>
      </w:tr>
      <w:tr>
        <w:trPr>
          <w:trHeight w:val="189"/>
        </w:trPr>
        <w:tc>
          <w:tcPr>
            <w:tcW w:w="2860" w:type="dxa"/>
            <w:vAlign w:val="bottom"/>
            <w:shd w:val="clear" w:color="auto" w:fill="E5EAF5"/>
          </w:tcPr>
          <w:p>
            <w:pPr>
              <w:ind w:left="60"/>
              <w:spacing w:after="0"/>
              <w:rPr>
                <w:sz w:val="20"/>
                <w:szCs w:val="20"/>
                <w:color w:val="auto"/>
              </w:rPr>
            </w:pPr>
            <w:r>
              <w:rPr>
                <w:rFonts w:ascii="Arial" w:cs="Arial" w:eastAsia="Arial" w:hAnsi="Arial"/>
                <w:sz w:val="14"/>
                <w:szCs w:val="14"/>
                <w:color w:val="auto"/>
              </w:rPr>
              <w:t>2/24/2016</w:t>
            </w:r>
          </w:p>
        </w:tc>
        <w:tc>
          <w:tcPr>
            <w:tcW w:w="860" w:type="dxa"/>
            <w:vAlign w:val="bottom"/>
            <w:shd w:val="clear" w:color="auto" w:fill="E5EAF5"/>
          </w:tcPr>
          <w:p>
            <w:pPr>
              <w:jc w:val="right"/>
              <w:spacing w:after="0"/>
              <w:rPr>
                <w:sz w:val="20"/>
                <w:szCs w:val="20"/>
                <w:color w:val="auto"/>
              </w:rPr>
            </w:pPr>
            <w:r>
              <w:rPr>
                <w:rFonts w:ascii="Arial" w:cs="Arial" w:eastAsia="Arial" w:hAnsi="Arial"/>
                <w:sz w:val="14"/>
                <w:szCs w:val="14"/>
                <w:color w:val="auto"/>
              </w:rPr>
              <w:t>TSR PSU</w:t>
            </w:r>
          </w:p>
        </w:tc>
        <w:tc>
          <w:tcPr>
            <w:tcW w:w="1140" w:type="dxa"/>
            <w:vAlign w:val="bottom"/>
            <w:shd w:val="clear" w:color="auto" w:fill="E5EAF5"/>
          </w:tcPr>
          <w:p>
            <w:pPr>
              <w:spacing w:after="0"/>
              <w:rPr>
                <w:sz w:val="16"/>
                <w:szCs w:val="16"/>
                <w:color w:val="auto"/>
              </w:rPr>
            </w:pPr>
          </w:p>
        </w:tc>
        <w:tc>
          <w:tcPr>
            <w:tcW w:w="1340" w:type="dxa"/>
            <w:vAlign w:val="bottom"/>
            <w:shd w:val="clear" w:color="auto" w:fill="E5EAF5"/>
          </w:tcPr>
          <w:p>
            <w:pPr>
              <w:spacing w:after="0"/>
              <w:rPr>
                <w:sz w:val="16"/>
                <w:szCs w:val="16"/>
                <w:color w:val="auto"/>
              </w:rPr>
            </w:pPr>
          </w:p>
        </w:tc>
        <w:tc>
          <w:tcPr>
            <w:tcW w:w="640" w:type="dxa"/>
            <w:vAlign w:val="bottom"/>
            <w:shd w:val="clear" w:color="auto" w:fill="E5EAF5"/>
          </w:tcPr>
          <w:p>
            <w:pPr>
              <w:spacing w:after="0"/>
              <w:rPr>
                <w:sz w:val="16"/>
                <w:szCs w:val="16"/>
                <w:color w:val="auto"/>
              </w:rPr>
            </w:pPr>
          </w:p>
        </w:tc>
        <w:tc>
          <w:tcPr>
            <w:tcW w:w="860" w:type="dxa"/>
            <w:vAlign w:val="bottom"/>
            <w:shd w:val="clear" w:color="auto" w:fill="E5EAF5"/>
          </w:tcPr>
          <w:p>
            <w:pPr>
              <w:spacing w:after="0"/>
              <w:rPr>
                <w:sz w:val="16"/>
                <w:szCs w:val="16"/>
                <w:color w:val="auto"/>
              </w:rPr>
            </w:pPr>
          </w:p>
        </w:tc>
        <w:tc>
          <w:tcPr>
            <w:tcW w:w="880" w:type="dxa"/>
            <w:vAlign w:val="bottom"/>
            <w:shd w:val="clear" w:color="auto" w:fill="E5EAF5"/>
          </w:tcPr>
          <w:p>
            <w:pPr>
              <w:spacing w:after="0"/>
              <w:rPr>
                <w:sz w:val="16"/>
                <w:szCs w:val="16"/>
                <w:color w:val="auto"/>
              </w:rPr>
            </w:pPr>
          </w:p>
        </w:tc>
        <w:tc>
          <w:tcPr>
            <w:tcW w:w="840" w:type="dxa"/>
            <w:vAlign w:val="bottom"/>
            <w:shd w:val="clear" w:color="auto" w:fill="E5EAF5"/>
          </w:tcPr>
          <w:p>
            <w:pPr>
              <w:spacing w:after="0"/>
              <w:rPr>
                <w:sz w:val="16"/>
                <w:szCs w:val="16"/>
                <w:color w:val="auto"/>
              </w:rPr>
            </w:pPr>
          </w:p>
        </w:tc>
        <w:tc>
          <w:tcPr>
            <w:tcW w:w="800" w:type="dxa"/>
            <w:vAlign w:val="bottom"/>
            <w:shd w:val="clear" w:color="auto" w:fill="E5EAF5"/>
          </w:tcPr>
          <w:p>
            <w:pPr>
              <w:jc w:val="right"/>
              <w:ind w:right="35"/>
              <w:spacing w:after="0"/>
              <w:rPr>
                <w:sz w:val="20"/>
                <w:szCs w:val="20"/>
                <w:color w:val="auto"/>
              </w:rPr>
            </w:pPr>
            <w:r>
              <w:rPr>
                <w:rFonts w:ascii="Arial" w:cs="Arial" w:eastAsia="Arial" w:hAnsi="Arial"/>
                <w:sz w:val="14"/>
                <w:szCs w:val="14"/>
                <w:color w:val="auto"/>
              </w:rPr>
              <w:t>6,143</w:t>
            </w:r>
          </w:p>
        </w:tc>
        <w:tc>
          <w:tcPr>
            <w:tcW w:w="800" w:type="dxa"/>
            <w:vAlign w:val="bottom"/>
            <w:shd w:val="clear" w:color="auto" w:fill="E5EAF5"/>
          </w:tcPr>
          <w:p>
            <w:pPr>
              <w:jc w:val="right"/>
              <w:ind w:right="55"/>
              <w:spacing w:after="0"/>
              <w:rPr>
                <w:sz w:val="20"/>
                <w:szCs w:val="20"/>
                <w:color w:val="auto"/>
              </w:rPr>
            </w:pPr>
            <w:r>
              <w:rPr>
                <w:rFonts w:ascii="Arial" w:cs="Arial" w:eastAsia="Arial" w:hAnsi="Arial"/>
                <w:sz w:val="14"/>
                <w:szCs w:val="14"/>
                <w:color w:val="auto"/>
              </w:rPr>
              <w:t>397,145</w:t>
            </w:r>
          </w:p>
        </w:tc>
      </w:tr>
      <w:tr>
        <w:trPr>
          <w:trHeight w:val="189"/>
        </w:trPr>
        <w:tc>
          <w:tcPr>
            <w:tcW w:w="2860" w:type="dxa"/>
            <w:vAlign w:val="bottom"/>
            <w:shd w:val="clear" w:color="auto" w:fill="E5EAF5"/>
          </w:tcPr>
          <w:p>
            <w:pPr>
              <w:ind w:left="60"/>
              <w:spacing w:after="0"/>
              <w:rPr>
                <w:sz w:val="20"/>
                <w:szCs w:val="20"/>
                <w:color w:val="auto"/>
              </w:rPr>
            </w:pPr>
            <w:r>
              <w:rPr>
                <w:rFonts w:ascii="Arial" w:cs="Arial" w:eastAsia="Arial" w:hAnsi="Arial"/>
                <w:sz w:val="14"/>
                <w:szCs w:val="14"/>
                <w:color w:val="auto"/>
              </w:rPr>
              <w:t>2/17/2017</w:t>
            </w:r>
          </w:p>
        </w:tc>
        <w:tc>
          <w:tcPr>
            <w:tcW w:w="860" w:type="dxa"/>
            <w:vAlign w:val="bottom"/>
            <w:shd w:val="clear" w:color="auto" w:fill="E5EAF5"/>
          </w:tcPr>
          <w:p>
            <w:pPr>
              <w:jc w:val="right"/>
              <w:spacing w:after="0"/>
              <w:rPr>
                <w:sz w:val="20"/>
                <w:szCs w:val="20"/>
                <w:color w:val="auto"/>
              </w:rPr>
            </w:pPr>
            <w:r>
              <w:rPr>
                <w:rFonts w:ascii="Arial" w:cs="Arial" w:eastAsia="Arial" w:hAnsi="Arial"/>
                <w:sz w:val="14"/>
                <w:szCs w:val="14"/>
                <w:color w:val="auto"/>
              </w:rPr>
              <w:t>Option</w:t>
            </w:r>
          </w:p>
        </w:tc>
        <w:tc>
          <w:tcPr>
            <w:tcW w:w="1140" w:type="dxa"/>
            <w:vAlign w:val="bottom"/>
            <w:shd w:val="clear" w:color="auto" w:fill="E5EAF5"/>
          </w:tcPr>
          <w:p>
            <w:pPr>
              <w:spacing w:after="0"/>
              <w:rPr>
                <w:sz w:val="16"/>
                <w:szCs w:val="16"/>
                <w:color w:val="auto"/>
              </w:rPr>
            </w:pPr>
          </w:p>
        </w:tc>
        <w:tc>
          <w:tcPr>
            <w:tcW w:w="1340" w:type="dxa"/>
            <w:vAlign w:val="bottom"/>
            <w:shd w:val="clear" w:color="auto" w:fill="E5EAF5"/>
          </w:tcPr>
          <w:p>
            <w:pPr>
              <w:jc w:val="right"/>
              <w:ind w:right="154"/>
              <w:spacing w:after="0"/>
              <w:rPr>
                <w:sz w:val="20"/>
                <w:szCs w:val="20"/>
                <w:color w:val="auto"/>
              </w:rPr>
            </w:pPr>
            <w:r>
              <w:rPr>
                <w:rFonts w:ascii="Arial" w:cs="Arial" w:eastAsia="Arial" w:hAnsi="Arial"/>
                <w:sz w:val="14"/>
                <w:szCs w:val="14"/>
                <w:color w:val="auto"/>
              </w:rPr>
              <w:t>11,487</w:t>
            </w:r>
          </w:p>
        </w:tc>
        <w:tc>
          <w:tcPr>
            <w:tcW w:w="640" w:type="dxa"/>
            <w:vAlign w:val="bottom"/>
            <w:shd w:val="clear" w:color="auto" w:fill="E5EAF5"/>
          </w:tcPr>
          <w:p>
            <w:pPr>
              <w:ind w:left="180"/>
              <w:spacing w:after="0"/>
              <w:rPr>
                <w:sz w:val="20"/>
                <w:szCs w:val="20"/>
                <w:color w:val="auto"/>
              </w:rPr>
            </w:pPr>
            <w:r>
              <w:rPr>
                <w:rFonts w:ascii="Arial" w:cs="Arial" w:eastAsia="Arial" w:hAnsi="Arial"/>
                <w:sz w:val="14"/>
                <w:szCs w:val="14"/>
                <w:color w:val="auto"/>
              </w:rPr>
              <w:t>52.75</w:t>
            </w:r>
          </w:p>
        </w:tc>
        <w:tc>
          <w:tcPr>
            <w:tcW w:w="860" w:type="dxa"/>
            <w:vAlign w:val="bottom"/>
            <w:shd w:val="clear" w:color="auto" w:fill="E5EAF5"/>
          </w:tcPr>
          <w:p>
            <w:pPr>
              <w:jc w:val="right"/>
              <w:ind w:right="54"/>
              <w:spacing w:after="0"/>
              <w:rPr>
                <w:sz w:val="20"/>
                <w:szCs w:val="20"/>
                <w:color w:val="auto"/>
              </w:rPr>
            </w:pPr>
            <w:r>
              <w:rPr>
                <w:rFonts w:ascii="Arial" w:cs="Arial" w:eastAsia="Arial" w:hAnsi="Arial"/>
                <w:sz w:val="14"/>
                <w:szCs w:val="14"/>
                <w:color w:val="auto"/>
              </w:rPr>
              <w:t>2/17/2023</w:t>
            </w:r>
          </w:p>
        </w:tc>
        <w:tc>
          <w:tcPr>
            <w:tcW w:w="880" w:type="dxa"/>
            <w:vAlign w:val="bottom"/>
            <w:shd w:val="clear" w:color="auto" w:fill="E5EAF5"/>
          </w:tcPr>
          <w:p>
            <w:pPr>
              <w:spacing w:after="0"/>
              <w:rPr>
                <w:sz w:val="16"/>
                <w:szCs w:val="16"/>
                <w:color w:val="auto"/>
              </w:rPr>
            </w:pPr>
          </w:p>
        </w:tc>
        <w:tc>
          <w:tcPr>
            <w:tcW w:w="840" w:type="dxa"/>
            <w:vAlign w:val="bottom"/>
            <w:shd w:val="clear" w:color="auto" w:fill="E5EAF5"/>
          </w:tcPr>
          <w:p>
            <w:pPr>
              <w:spacing w:after="0"/>
              <w:rPr>
                <w:sz w:val="16"/>
                <w:szCs w:val="16"/>
                <w:color w:val="auto"/>
              </w:rPr>
            </w:pPr>
          </w:p>
        </w:tc>
        <w:tc>
          <w:tcPr>
            <w:tcW w:w="800" w:type="dxa"/>
            <w:vAlign w:val="bottom"/>
            <w:shd w:val="clear" w:color="auto" w:fill="E5EAF5"/>
          </w:tcPr>
          <w:p>
            <w:pPr>
              <w:spacing w:after="0"/>
              <w:rPr>
                <w:sz w:val="16"/>
                <w:szCs w:val="16"/>
                <w:color w:val="auto"/>
              </w:rPr>
            </w:pPr>
          </w:p>
        </w:tc>
        <w:tc>
          <w:tcPr>
            <w:tcW w:w="800" w:type="dxa"/>
            <w:vAlign w:val="bottom"/>
            <w:shd w:val="clear" w:color="auto" w:fill="E5EAF5"/>
          </w:tcPr>
          <w:p>
            <w:pPr>
              <w:spacing w:after="0"/>
              <w:rPr>
                <w:sz w:val="16"/>
                <w:szCs w:val="16"/>
                <w:color w:val="auto"/>
              </w:rPr>
            </w:pPr>
          </w:p>
        </w:tc>
      </w:tr>
      <w:tr>
        <w:trPr>
          <w:trHeight w:val="189"/>
        </w:trPr>
        <w:tc>
          <w:tcPr>
            <w:tcW w:w="2860" w:type="dxa"/>
            <w:vAlign w:val="bottom"/>
            <w:shd w:val="clear" w:color="auto" w:fill="E5EAF5"/>
          </w:tcPr>
          <w:p>
            <w:pPr>
              <w:ind w:left="60"/>
              <w:spacing w:after="0"/>
              <w:rPr>
                <w:sz w:val="20"/>
                <w:szCs w:val="20"/>
                <w:color w:val="auto"/>
              </w:rPr>
            </w:pPr>
            <w:r>
              <w:rPr>
                <w:rFonts w:ascii="Arial" w:cs="Arial" w:eastAsia="Arial" w:hAnsi="Arial"/>
                <w:sz w:val="14"/>
                <w:szCs w:val="14"/>
                <w:color w:val="auto"/>
              </w:rPr>
              <w:t>2/17/2017</w:t>
            </w:r>
          </w:p>
        </w:tc>
        <w:tc>
          <w:tcPr>
            <w:tcW w:w="860" w:type="dxa"/>
            <w:vAlign w:val="bottom"/>
            <w:shd w:val="clear" w:color="auto" w:fill="E5EAF5"/>
          </w:tcPr>
          <w:p>
            <w:pPr>
              <w:jc w:val="right"/>
              <w:spacing w:after="0"/>
              <w:rPr>
                <w:sz w:val="20"/>
                <w:szCs w:val="20"/>
                <w:color w:val="auto"/>
              </w:rPr>
            </w:pPr>
            <w:r>
              <w:rPr>
                <w:rFonts w:ascii="Arial" w:cs="Arial" w:eastAsia="Arial" w:hAnsi="Arial"/>
                <w:sz w:val="14"/>
                <w:szCs w:val="14"/>
                <w:color w:val="auto"/>
              </w:rPr>
              <w:t>IM PSU</w:t>
            </w:r>
          </w:p>
        </w:tc>
        <w:tc>
          <w:tcPr>
            <w:tcW w:w="1140" w:type="dxa"/>
            <w:vAlign w:val="bottom"/>
            <w:shd w:val="clear" w:color="auto" w:fill="E5EAF5"/>
          </w:tcPr>
          <w:p>
            <w:pPr>
              <w:spacing w:after="0"/>
              <w:rPr>
                <w:sz w:val="16"/>
                <w:szCs w:val="16"/>
                <w:color w:val="auto"/>
              </w:rPr>
            </w:pPr>
          </w:p>
        </w:tc>
        <w:tc>
          <w:tcPr>
            <w:tcW w:w="1340" w:type="dxa"/>
            <w:vAlign w:val="bottom"/>
            <w:shd w:val="clear" w:color="auto" w:fill="E5EAF5"/>
          </w:tcPr>
          <w:p>
            <w:pPr>
              <w:spacing w:after="0"/>
              <w:rPr>
                <w:sz w:val="16"/>
                <w:szCs w:val="16"/>
                <w:color w:val="auto"/>
              </w:rPr>
            </w:pPr>
          </w:p>
        </w:tc>
        <w:tc>
          <w:tcPr>
            <w:tcW w:w="640" w:type="dxa"/>
            <w:vAlign w:val="bottom"/>
            <w:shd w:val="clear" w:color="auto" w:fill="E5EAF5"/>
          </w:tcPr>
          <w:p>
            <w:pPr>
              <w:spacing w:after="0"/>
              <w:rPr>
                <w:sz w:val="16"/>
                <w:szCs w:val="16"/>
                <w:color w:val="auto"/>
              </w:rPr>
            </w:pPr>
          </w:p>
        </w:tc>
        <w:tc>
          <w:tcPr>
            <w:tcW w:w="860" w:type="dxa"/>
            <w:vAlign w:val="bottom"/>
            <w:shd w:val="clear" w:color="auto" w:fill="E5EAF5"/>
          </w:tcPr>
          <w:p>
            <w:pPr>
              <w:spacing w:after="0"/>
              <w:rPr>
                <w:sz w:val="16"/>
                <w:szCs w:val="16"/>
                <w:color w:val="auto"/>
              </w:rPr>
            </w:pPr>
          </w:p>
        </w:tc>
        <w:tc>
          <w:tcPr>
            <w:tcW w:w="880" w:type="dxa"/>
            <w:vAlign w:val="bottom"/>
            <w:shd w:val="clear" w:color="auto" w:fill="E5EAF5"/>
          </w:tcPr>
          <w:p>
            <w:pPr>
              <w:spacing w:after="0"/>
              <w:rPr>
                <w:sz w:val="16"/>
                <w:szCs w:val="16"/>
                <w:color w:val="auto"/>
              </w:rPr>
            </w:pPr>
          </w:p>
        </w:tc>
        <w:tc>
          <w:tcPr>
            <w:tcW w:w="840" w:type="dxa"/>
            <w:vAlign w:val="bottom"/>
            <w:shd w:val="clear" w:color="auto" w:fill="E5EAF5"/>
          </w:tcPr>
          <w:p>
            <w:pPr>
              <w:spacing w:after="0"/>
              <w:rPr>
                <w:sz w:val="16"/>
                <w:szCs w:val="16"/>
                <w:color w:val="auto"/>
              </w:rPr>
            </w:pPr>
          </w:p>
        </w:tc>
        <w:tc>
          <w:tcPr>
            <w:tcW w:w="800" w:type="dxa"/>
            <w:vAlign w:val="bottom"/>
            <w:shd w:val="clear" w:color="auto" w:fill="E5EAF5"/>
          </w:tcPr>
          <w:p>
            <w:pPr>
              <w:jc w:val="right"/>
              <w:ind w:right="35"/>
              <w:spacing w:after="0"/>
              <w:rPr>
                <w:sz w:val="20"/>
                <w:szCs w:val="20"/>
                <w:color w:val="auto"/>
              </w:rPr>
            </w:pPr>
            <w:r>
              <w:rPr>
                <w:rFonts w:ascii="Arial" w:cs="Arial" w:eastAsia="Arial" w:hAnsi="Arial"/>
                <w:sz w:val="14"/>
                <w:szCs w:val="14"/>
                <w:color w:val="auto"/>
              </w:rPr>
              <w:t>2,666</w:t>
            </w:r>
          </w:p>
        </w:tc>
        <w:tc>
          <w:tcPr>
            <w:tcW w:w="800" w:type="dxa"/>
            <w:vAlign w:val="bottom"/>
            <w:shd w:val="clear" w:color="auto" w:fill="E5EAF5"/>
          </w:tcPr>
          <w:p>
            <w:pPr>
              <w:jc w:val="right"/>
              <w:ind w:right="55"/>
              <w:spacing w:after="0"/>
              <w:rPr>
                <w:sz w:val="20"/>
                <w:szCs w:val="20"/>
                <w:color w:val="auto"/>
              </w:rPr>
            </w:pPr>
            <w:r>
              <w:rPr>
                <w:rFonts w:ascii="Arial" w:cs="Arial" w:eastAsia="Arial" w:hAnsi="Arial"/>
                <w:sz w:val="14"/>
                <w:szCs w:val="14"/>
                <w:color w:val="auto"/>
              </w:rPr>
              <w:t>172,357</w:t>
            </w:r>
          </w:p>
        </w:tc>
      </w:tr>
      <w:tr>
        <w:trPr>
          <w:trHeight w:val="189"/>
        </w:trPr>
        <w:tc>
          <w:tcPr>
            <w:tcW w:w="2860" w:type="dxa"/>
            <w:vAlign w:val="bottom"/>
            <w:shd w:val="clear" w:color="auto" w:fill="E5EAF5"/>
          </w:tcPr>
          <w:p>
            <w:pPr>
              <w:ind w:left="60"/>
              <w:spacing w:after="0"/>
              <w:rPr>
                <w:sz w:val="20"/>
                <w:szCs w:val="20"/>
                <w:color w:val="auto"/>
              </w:rPr>
            </w:pPr>
            <w:r>
              <w:rPr>
                <w:rFonts w:ascii="Arial" w:cs="Arial" w:eastAsia="Arial" w:hAnsi="Arial"/>
                <w:sz w:val="14"/>
                <w:szCs w:val="14"/>
                <w:color w:val="auto"/>
              </w:rPr>
              <w:t>2/17/2017</w:t>
            </w:r>
          </w:p>
        </w:tc>
        <w:tc>
          <w:tcPr>
            <w:tcW w:w="860" w:type="dxa"/>
            <w:vAlign w:val="bottom"/>
            <w:shd w:val="clear" w:color="auto" w:fill="E5EAF5"/>
          </w:tcPr>
          <w:p>
            <w:pPr>
              <w:jc w:val="right"/>
              <w:spacing w:after="0"/>
              <w:rPr>
                <w:sz w:val="20"/>
                <w:szCs w:val="20"/>
                <w:color w:val="auto"/>
              </w:rPr>
            </w:pPr>
            <w:r>
              <w:rPr>
                <w:rFonts w:ascii="Arial" w:cs="Arial" w:eastAsia="Arial" w:hAnsi="Arial"/>
                <w:sz w:val="14"/>
                <w:szCs w:val="14"/>
                <w:color w:val="auto"/>
              </w:rPr>
              <w:t>TSR PSU</w:t>
            </w:r>
          </w:p>
        </w:tc>
        <w:tc>
          <w:tcPr>
            <w:tcW w:w="1140" w:type="dxa"/>
            <w:vAlign w:val="bottom"/>
            <w:shd w:val="clear" w:color="auto" w:fill="E5EAF5"/>
          </w:tcPr>
          <w:p>
            <w:pPr>
              <w:spacing w:after="0"/>
              <w:rPr>
                <w:sz w:val="16"/>
                <w:szCs w:val="16"/>
                <w:color w:val="auto"/>
              </w:rPr>
            </w:pPr>
          </w:p>
        </w:tc>
        <w:tc>
          <w:tcPr>
            <w:tcW w:w="1340" w:type="dxa"/>
            <w:vAlign w:val="bottom"/>
            <w:shd w:val="clear" w:color="auto" w:fill="E5EAF5"/>
          </w:tcPr>
          <w:p>
            <w:pPr>
              <w:spacing w:after="0"/>
              <w:rPr>
                <w:sz w:val="16"/>
                <w:szCs w:val="16"/>
                <w:color w:val="auto"/>
              </w:rPr>
            </w:pPr>
          </w:p>
        </w:tc>
        <w:tc>
          <w:tcPr>
            <w:tcW w:w="640" w:type="dxa"/>
            <w:vAlign w:val="bottom"/>
            <w:shd w:val="clear" w:color="auto" w:fill="E5EAF5"/>
          </w:tcPr>
          <w:p>
            <w:pPr>
              <w:spacing w:after="0"/>
              <w:rPr>
                <w:sz w:val="16"/>
                <w:szCs w:val="16"/>
                <w:color w:val="auto"/>
              </w:rPr>
            </w:pPr>
          </w:p>
        </w:tc>
        <w:tc>
          <w:tcPr>
            <w:tcW w:w="860" w:type="dxa"/>
            <w:vAlign w:val="bottom"/>
            <w:shd w:val="clear" w:color="auto" w:fill="E5EAF5"/>
          </w:tcPr>
          <w:p>
            <w:pPr>
              <w:spacing w:after="0"/>
              <w:rPr>
                <w:sz w:val="16"/>
                <w:szCs w:val="16"/>
                <w:color w:val="auto"/>
              </w:rPr>
            </w:pPr>
          </w:p>
        </w:tc>
        <w:tc>
          <w:tcPr>
            <w:tcW w:w="880" w:type="dxa"/>
            <w:vAlign w:val="bottom"/>
            <w:shd w:val="clear" w:color="auto" w:fill="E5EAF5"/>
          </w:tcPr>
          <w:p>
            <w:pPr>
              <w:spacing w:after="0"/>
              <w:rPr>
                <w:sz w:val="16"/>
                <w:szCs w:val="16"/>
                <w:color w:val="auto"/>
              </w:rPr>
            </w:pPr>
          </w:p>
        </w:tc>
        <w:tc>
          <w:tcPr>
            <w:tcW w:w="840" w:type="dxa"/>
            <w:vAlign w:val="bottom"/>
            <w:shd w:val="clear" w:color="auto" w:fill="E5EAF5"/>
          </w:tcPr>
          <w:p>
            <w:pPr>
              <w:spacing w:after="0"/>
              <w:rPr>
                <w:sz w:val="16"/>
                <w:szCs w:val="16"/>
                <w:color w:val="auto"/>
              </w:rPr>
            </w:pPr>
          </w:p>
        </w:tc>
        <w:tc>
          <w:tcPr>
            <w:tcW w:w="800" w:type="dxa"/>
            <w:vAlign w:val="bottom"/>
            <w:shd w:val="clear" w:color="auto" w:fill="E5EAF5"/>
          </w:tcPr>
          <w:p>
            <w:pPr>
              <w:jc w:val="right"/>
              <w:ind w:right="35"/>
              <w:spacing w:after="0"/>
              <w:rPr>
                <w:sz w:val="20"/>
                <w:szCs w:val="20"/>
                <w:color w:val="auto"/>
              </w:rPr>
            </w:pPr>
            <w:r>
              <w:rPr>
                <w:rFonts w:ascii="Arial" w:cs="Arial" w:eastAsia="Arial" w:hAnsi="Arial"/>
                <w:sz w:val="14"/>
                <w:szCs w:val="14"/>
                <w:color w:val="auto"/>
              </w:rPr>
              <w:t>2,050</w:t>
            </w:r>
          </w:p>
        </w:tc>
        <w:tc>
          <w:tcPr>
            <w:tcW w:w="800" w:type="dxa"/>
            <w:vAlign w:val="bottom"/>
            <w:shd w:val="clear" w:color="auto" w:fill="E5EAF5"/>
          </w:tcPr>
          <w:p>
            <w:pPr>
              <w:jc w:val="right"/>
              <w:ind w:right="55"/>
              <w:spacing w:after="0"/>
              <w:rPr>
                <w:sz w:val="20"/>
                <w:szCs w:val="20"/>
                <w:color w:val="auto"/>
              </w:rPr>
            </w:pPr>
            <w:r>
              <w:rPr>
                <w:rFonts w:ascii="Arial" w:cs="Arial" w:eastAsia="Arial" w:hAnsi="Arial"/>
                <w:sz w:val="14"/>
                <w:szCs w:val="14"/>
                <w:color w:val="auto"/>
              </w:rPr>
              <w:t>132,533</w:t>
            </w:r>
          </w:p>
        </w:tc>
      </w:tr>
      <w:tr>
        <w:trPr>
          <w:trHeight w:val="189"/>
        </w:trPr>
        <w:tc>
          <w:tcPr>
            <w:tcW w:w="2860" w:type="dxa"/>
            <w:vAlign w:val="bottom"/>
            <w:shd w:val="clear" w:color="auto" w:fill="E5EAF5"/>
          </w:tcPr>
          <w:p>
            <w:pPr>
              <w:ind w:left="60"/>
              <w:spacing w:after="0"/>
              <w:rPr>
                <w:sz w:val="20"/>
                <w:szCs w:val="20"/>
                <w:color w:val="auto"/>
              </w:rPr>
            </w:pPr>
            <w:r>
              <w:rPr>
                <w:rFonts w:ascii="Arial" w:cs="Arial" w:eastAsia="Arial" w:hAnsi="Arial"/>
                <w:sz w:val="14"/>
                <w:szCs w:val="14"/>
                <w:color w:val="auto"/>
              </w:rPr>
              <w:t>2/17/2017</w:t>
            </w:r>
          </w:p>
        </w:tc>
        <w:tc>
          <w:tcPr>
            <w:tcW w:w="860" w:type="dxa"/>
            <w:vAlign w:val="bottom"/>
            <w:shd w:val="clear" w:color="auto" w:fill="E5EAF5"/>
          </w:tcPr>
          <w:p>
            <w:pPr>
              <w:jc w:val="right"/>
              <w:spacing w:after="0"/>
              <w:rPr>
                <w:sz w:val="20"/>
                <w:szCs w:val="20"/>
                <w:color w:val="auto"/>
              </w:rPr>
            </w:pPr>
            <w:r>
              <w:rPr>
                <w:rFonts w:ascii="Arial" w:cs="Arial" w:eastAsia="Arial" w:hAnsi="Arial"/>
                <w:sz w:val="14"/>
                <w:szCs w:val="14"/>
                <w:color w:val="auto"/>
              </w:rPr>
              <w:t>RSU</w:t>
            </w:r>
          </w:p>
        </w:tc>
        <w:tc>
          <w:tcPr>
            <w:tcW w:w="1140" w:type="dxa"/>
            <w:vAlign w:val="bottom"/>
            <w:shd w:val="clear" w:color="auto" w:fill="E5EAF5"/>
          </w:tcPr>
          <w:p>
            <w:pPr>
              <w:spacing w:after="0"/>
              <w:rPr>
                <w:sz w:val="16"/>
                <w:szCs w:val="16"/>
                <w:color w:val="auto"/>
              </w:rPr>
            </w:pPr>
          </w:p>
        </w:tc>
        <w:tc>
          <w:tcPr>
            <w:tcW w:w="1340" w:type="dxa"/>
            <w:vAlign w:val="bottom"/>
            <w:shd w:val="clear" w:color="auto" w:fill="E5EAF5"/>
          </w:tcPr>
          <w:p>
            <w:pPr>
              <w:spacing w:after="0"/>
              <w:rPr>
                <w:sz w:val="16"/>
                <w:szCs w:val="16"/>
                <w:color w:val="auto"/>
              </w:rPr>
            </w:pPr>
          </w:p>
        </w:tc>
        <w:tc>
          <w:tcPr>
            <w:tcW w:w="640" w:type="dxa"/>
            <w:vAlign w:val="bottom"/>
            <w:shd w:val="clear" w:color="auto" w:fill="E5EAF5"/>
          </w:tcPr>
          <w:p>
            <w:pPr>
              <w:spacing w:after="0"/>
              <w:rPr>
                <w:sz w:val="16"/>
                <w:szCs w:val="16"/>
                <w:color w:val="auto"/>
              </w:rPr>
            </w:pPr>
          </w:p>
        </w:tc>
        <w:tc>
          <w:tcPr>
            <w:tcW w:w="860" w:type="dxa"/>
            <w:vAlign w:val="bottom"/>
            <w:shd w:val="clear" w:color="auto" w:fill="E5EAF5"/>
          </w:tcPr>
          <w:p>
            <w:pPr>
              <w:spacing w:after="0"/>
              <w:rPr>
                <w:sz w:val="16"/>
                <w:szCs w:val="16"/>
                <w:color w:val="auto"/>
              </w:rPr>
            </w:pPr>
          </w:p>
        </w:tc>
        <w:tc>
          <w:tcPr>
            <w:tcW w:w="880" w:type="dxa"/>
            <w:vAlign w:val="bottom"/>
            <w:shd w:val="clear" w:color="auto" w:fill="E5EAF5"/>
          </w:tcPr>
          <w:p>
            <w:pPr>
              <w:jc w:val="right"/>
              <w:ind w:right="54"/>
              <w:spacing w:after="0"/>
              <w:rPr>
                <w:sz w:val="20"/>
                <w:szCs w:val="20"/>
                <w:color w:val="auto"/>
              </w:rPr>
            </w:pPr>
            <w:r>
              <w:rPr>
                <w:rFonts w:ascii="Arial" w:cs="Arial" w:eastAsia="Arial" w:hAnsi="Arial"/>
                <w:sz w:val="14"/>
                <w:szCs w:val="14"/>
                <w:color w:val="auto"/>
              </w:rPr>
              <w:t>1,764</w:t>
            </w:r>
          </w:p>
        </w:tc>
        <w:tc>
          <w:tcPr>
            <w:tcW w:w="840" w:type="dxa"/>
            <w:vAlign w:val="bottom"/>
            <w:shd w:val="clear" w:color="auto" w:fill="E5EAF5"/>
          </w:tcPr>
          <w:p>
            <w:pPr>
              <w:jc w:val="right"/>
              <w:ind w:right="35"/>
              <w:spacing w:after="0"/>
              <w:rPr>
                <w:sz w:val="20"/>
                <w:szCs w:val="20"/>
                <w:color w:val="auto"/>
              </w:rPr>
            </w:pPr>
            <w:r>
              <w:rPr>
                <w:rFonts w:ascii="Arial" w:cs="Arial" w:eastAsia="Arial" w:hAnsi="Arial"/>
                <w:sz w:val="14"/>
                <w:szCs w:val="14"/>
                <w:color w:val="auto"/>
              </w:rPr>
              <w:t>114,043</w:t>
            </w:r>
          </w:p>
        </w:tc>
        <w:tc>
          <w:tcPr>
            <w:tcW w:w="800" w:type="dxa"/>
            <w:vAlign w:val="bottom"/>
            <w:shd w:val="clear" w:color="auto" w:fill="E5EAF5"/>
          </w:tcPr>
          <w:p>
            <w:pPr>
              <w:spacing w:after="0"/>
              <w:rPr>
                <w:sz w:val="16"/>
                <w:szCs w:val="16"/>
                <w:color w:val="auto"/>
              </w:rPr>
            </w:pPr>
          </w:p>
        </w:tc>
        <w:tc>
          <w:tcPr>
            <w:tcW w:w="800" w:type="dxa"/>
            <w:vAlign w:val="bottom"/>
            <w:shd w:val="clear" w:color="auto" w:fill="E5EAF5"/>
          </w:tcPr>
          <w:p>
            <w:pPr>
              <w:spacing w:after="0"/>
              <w:rPr>
                <w:sz w:val="16"/>
                <w:szCs w:val="16"/>
                <w:color w:val="auto"/>
              </w:rPr>
            </w:pPr>
          </w:p>
        </w:tc>
      </w:tr>
      <w:tr>
        <w:trPr>
          <w:trHeight w:val="189"/>
        </w:trPr>
        <w:tc>
          <w:tcPr>
            <w:tcW w:w="2860" w:type="dxa"/>
            <w:vAlign w:val="bottom"/>
            <w:shd w:val="clear" w:color="auto" w:fill="E5EAF5"/>
          </w:tcPr>
          <w:p>
            <w:pPr>
              <w:ind w:left="60"/>
              <w:spacing w:after="0"/>
              <w:rPr>
                <w:sz w:val="20"/>
                <w:szCs w:val="20"/>
                <w:color w:val="auto"/>
              </w:rPr>
            </w:pPr>
            <w:r>
              <w:rPr>
                <w:rFonts w:ascii="Arial" w:cs="Arial" w:eastAsia="Arial" w:hAnsi="Arial"/>
                <w:sz w:val="14"/>
                <w:szCs w:val="14"/>
                <w:color w:val="auto"/>
              </w:rPr>
              <w:t>2/22/2018</w:t>
            </w:r>
          </w:p>
        </w:tc>
        <w:tc>
          <w:tcPr>
            <w:tcW w:w="860" w:type="dxa"/>
            <w:vAlign w:val="bottom"/>
            <w:shd w:val="clear" w:color="auto" w:fill="E5EAF5"/>
          </w:tcPr>
          <w:p>
            <w:pPr>
              <w:jc w:val="right"/>
              <w:spacing w:after="0"/>
              <w:rPr>
                <w:sz w:val="20"/>
                <w:szCs w:val="20"/>
                <w:color w:val="auto"/>
              </w:rPr>
            </w:pPr>
            <w:r>
              <w:rPr>
                <w:rFonts w:ascii="Arial" w:cs="Arial" w:eastAsia="Arial" w:hAnsi="Arial"/>
                <w:sz w:val="14"/>
                <w:szCs w:val="14"/>
                <w:color w:val="auto"/>
              </w:rPr>
              <w:t>Option</w:t>
            </w:r>
          </w:p>
        </w:tc>
        <w:tc>
          <w:tcPr>
            <w:tcW w:w="1140" w:type="dxa"/>
            <w:vAlign w:val="bottom"/>
            <w:shd w:val="clear" w:color="auto" w:fill="E5EAF5"/>
          </w:tcPr>
          <w:p>
            <w:pPr>
              <w:spacing w:after="0"/>
              <w:rPr>
                <w:sz w:val="16"/>
                <w:szCs w:val="16"/>
                <w:color w:val="auto"/>
              </w:rPr>
            </w:pPr>
          </w:p>
        </w:tc>
        <w:tc>
          <w:tcPr>
            <w:tcW w:w="1340" w:type="dxa"/>
            <w:vAlign w:val="bottom"/>
            <w:shd w:val="clear" w:color="auto" w:fill="E5EAF5"/>
          </w:tcPr>
          <w:p>
            <w:pPr>
              <w:jc w:val="right"/>
              <w:ind w:right="154"/>
              <w:spacing w:after="0"/>
              <w:rPr>
                <w:sz w:val="20"/>
                <w:szCs w:val="20"/>
                <w:color w:val="auto"/>
              </w:rPr>
            </w:pPr>
            <w:r>
              <w:rPr>
                <w:rFonts w:ascii="Arial" w:cs="Arial" w:eastAsia="Arial" w:hAnsi="Arial"/>
                <w:sz w:val="14"/>
                <w:szCs w:val="14"/>
                <w:color w:val="auto"/>
              </w:rPr>
              <w:t>8,370</w:t>
            </w:r>
          </w:p>
        </w:tc>
        <w:tc>
          <w:tcPr>
            <w:tcW w:w="640" w:type="dxa"/>
            <w:vAlign w:val="bottom"/>
            <w:shd w:val="clear" w:color="auto" w:fill="E5EAF5"/>
          </w:tcPr>
          <w:p>
            <w:pPr>
              <w:ind w:left="180"/>
              <w:spacing w:after="0"/>
              <w:rPr>
                <w:sz w:val="20"/>
                <w:szCs w:val="20"/>
                <w:color w:val="auto"/>
              </w:rPr>
            </w:pPr>
            <w:r>
              <w:rPr>
                <w:rFonts w:ascii="Arial" w:cs="Arial" w:eastAsia="Arial" w:hAnsi="Arial"/>
                <w:sz w:val="14"/>
                <w:szCs w:val="14"/>
                <w:color w:val="auto"/>
              </w:rPr>
              <w:t>73.45</w:t>
            </w:r>
          </w:p>
        </w:tc>
        <w:tc>
          <w:tcPr>
            <w:tcW w:w="860" w:type="dxa"/>
            <w:vAlign w:val="bottom"/>
            <w:shd w:val="clear" w:color="auto" w:fill="E5EAF5"/>
          </w:tcPr>
          <w:p>
            <w:pPr>
              <w:jc w:val="right"/>
              <w:ind w:right="54"/>
              <w:spacing w:after="0"/>
              <w:rPr>
                <w:sz w:val="20"/>
                <w:szCs w:val="20"/>
                <w:color w:val="auto"/>
              </w:rPr>
            </w:pPr>
            <w:r>
              <w:rPr>
                <w:rFonts w:ascii="Arial" w:cs="Arial" w:eastAsia="Arial" w:hAnsi="Arial"/>
                <w:sz w:val="14"/>
                <w:szCs w:val="14"/>
                <w:color w:val="auto"/>
              </w:rPr>
              <w:t>2/22/2024</w:t>
            </w:r>
          </w:p>
        </w:tc>
        <w:tc>
          <w:tcPr>
            <w:tcW w:w="880" w:type="dxa"/>
            <w:vAlign w:val="bottom"/>
            <w:shd w:val="clear" w:color="auto" w:fill="E5EAF5"/>
          </w:tcPr>
          <w:p>
            <w:pPr>
              <w:spacing w:after="0"/>
              <w:rPr>
                <w:sz w:val="16"/>
                <w:szCs w:val="16"/>
                <w:color w:val="auto"/>
              </w:rPr>
            </w:pPr>
          </w:p>
        </w:tc>
        <w:tc>
          <w:tcPr>
            <w:tcW w:w="840" w:type="dxa"/>
            <w:vAlign w:val="bottom"/>
            <w:shd w:val="clear" w:color="auto" w:fill="E5EAF5"/>
          </w:tcPr>
          <w:p>
            <w:pPr>
              <w:spacing w:after="0"/>
              <w:rPr>
                <w:sz w:val="16"/>
                <w:szCs w:val="16"/>
                <w:color w:val="auto"/>
              </w:rPr>
            </w:pPr>
          </w:p>
        </w:tc>
        <w:tc>
          <w:tcPr>
            <w:tcW w:w="800" w:type="dxa"/>
            <w:vAlign w:val="bottom"/>
            <w:shd w:val="clear" w:color="auto" w:fill="E5EAF5"/>
          </w:tcPr>
          <w:p>
            <w:pPr>
              <w:spacing w:after="0"/>
              <w:rPr>
                <w:sz w:val="16"/>
                <w:szCs w:val="16"/>
                <w:color w:val="auto"/>
              </w:rPr>
            </w:pPr>
          </w:p>
        </w:tc>
        <w:tc>
          <w:tcPr>
            <w:tcW w:w="800" w:type="dxa"/>
            <w:vAlign w:val="bottom"/>
            <w:shd w:val="clear" w:color="auto" w:fill="E5EAF5"/>
          </w:tcPr>
          <w:p>
            <w:pPr>
              <w:spacing w:after="0"/>
              <w:rPr>
                <w:sz w:val="16"/>
                <w:szCs w:val="16"/>
                <w:color w:val="auto"/>
              </w:rPr>
            </w:pPr>
          </w:p>
        </w:tc>
      </w:tr>
      <w:tr>
        <w:trPr>
          <w:trHeight w:val="189"/>
        </w:trPr>
        <w:tc>
          <w:tcPr>
            <w:tcW w:w="2860" w:type="dxa"/>
            <w:vAlign w:val="bottom"/>
            <w:shd w:val="clear" w:color="auto" w:fill="E5EAF5"/>
          </w:tcPr>
          <w:p>
            <w:pPr>
              <w:ind w:left="60"/>
              <w:spacing w:after="0"/>
              <w:rPr>
                <w:sz w:val="20"/>
                <w:szCs w:val="20"/>
                <w:color w:val="auto"/>
              </w:rPr>
            </w:pPr>
            <w:r>
              <w:rPr>
                <w:rFonts w:ascii="Arial" w:cs="Arial" w:eastAsia="Arial" w:hAnsi="Arial"/>
                <w:sz w:val="14"/>
                <w:szCs w:val="14"/>
                <w:color w:val="auto"/>
              </w:rPr>
              <w:t>2/22/2018</w:t>
            </w:r>
          </w:p>
        </w:tc>
        <w:tc>
          <w:tcPr>
            <w:tcW w:w="860" w:type="dxa"/>
            <w:vAlign w:val="bottom"/>
            <w:shd w:val="clear" w:color="auto" w:fill="E5EAF5"/>
          </w:tcPr>
          <w:p>
            <w:pPr>
              <w:jc w:val="right"/>
              <w:spacing w:after="0"/>
              <w:rPr>
                <w:sz w:val="20"/>
                <w:szCs w:val="20"/>
                <w:color w:val="auto"/>
              </w:rPr>
            </w:pPr>
            <w:r>
              <w:rPr>
                <w:rFonts w:ascii="Arial" w:cs="Arial" w:eastAsia="Arial" w:hAnsi="Arial"/>
                <w:sz w:val="14"/>
                <w:szCs w:val="14"/>
                <w:color w:val="auto"/>
              </w:rPr>
              <w:t>RSU</w:t>
            </w:r>
          </w:p>
        </w:tc>
        <w:tc>
          <w:tcPr>
            <w:tcW w:w="1140" w:type="dxa"/>
            <w:vAlign w:val="bottom"/>
            <w:shd w:val="clear" w:color="auto" w:fill="E5EAF5"/>
          </w:tcPr>
          <w:p>
            <w:pPr>
              <w:spacing w:after="0"/>
              <w:rPr>
                <w:sz w:val="16"/>
                <w:szCs w:val="16"/>
                <w:color w:val="auto"/>
              </w:rPr>
            </w:pPr>
          </w:p>
        </w:tc>
        <w:tc>
          <w:tcPr>
            <w:tcW w:w="1340" w:type="dxa"/>
            <w:vAlign w:val="bottom"/>
            <w:shd w:val="clear" w:color="auto" w:fill="E5EAF5"/>
          </w:tcPr>
          <w:p>
            <w:pPr>
              <w:spacing w:after="0"/>
              <w:rPr>
                <w:sz w:val="16"/>
                <w:szCs w:val="16"/>
                <w:color w:val="auto"/>
              </w:rPr>
            </w:pPr>
          </w:p>
        </w:tc>
        <w:tc>
          <w:tcPr>
            <w:tcW w:w="640" w:type="dxa"/>
            <w:vAlign w:val="bottom"/>
            <w:shd w:val="clear" w:color="auto" w:fill="E5EAF5"/>
          </w:tcPr>
          <w:p>
            <w:pPr>
              <w:spacing w:after="0"/>
              <w:rPr>
                <w:sz w:val="16"/>
                <w:szCs w:val="16"/>
                <w:color w:val="auto"/>
              </w:rPr>
            </w:pPr>
          </w:p>
        </w:tc>
        <w:tc>
          <w:tcPr>
            <w:tcW w:w="860" w:type="dxa"/>
            <w:vAlign w:val="bottom"/>
            <w:shd w:val="clear" w:color="auto" w:fill="E5EAF5"/>
          </w:tcPr>
          <w:p>
            <w:pPr>
              <w:spacing w:after="0"/>
              <w:rPr>
                <w:sz w:val="16"/>
                <w:szCs w:val="16"/>
                <w:color w:val="auto"/>
              </w:rPr>
            </w:pPr>
          </w:p>
        </w:tc>
        <w:tc>
          <w:tcPr>
            <w:tcW w:w="880" w:type="dxa"/>
            <w:vAlign w:val="bottom"/>
            <w:shd w:val="clear" w:color="auto" w:fill="E5EAF5"/>
          </w:tcPr>
          <w:p>
            <w:pPr>
              <w:jc w:val="right"/>
              <w:ind w:right="54"/>
              <w:spacing w:after="0"/>
              <w:rPr>
                <w:sz w:val="20"/>
                <w:szCs w:val="20"/>
                <w:color w:val="auto"/>
              </w:rPr>
            </w:pPr>
            <w:r>
              <w:rPr>
                <w:rFonts w:ascii="Arial" w:cs="Arial" w:eastAsia="Arial" w:hAnsi="Arial"/>
                <w:sz w:val="14"/>
                <w:szCs w:val="14"/>
                <w:color w:val="auto"/>
              </w:rPr>
              <w:t>2,075</w:t>
            </w:r>
          </w:p>
        </w:tc>
        <w:tc>
          <w:tcPr>
            <w:tcW w:w="840" w:type="dxa"/>
            <w:vAlign w:val="bottom"/>
            <w:shd w:val="clear" w:color="auto" w:fill="E5EAF5"/>
          </w:tcPr>
          <w:p>
            <w:pPr>
              <w:jc w:val="right"/>
              <w:ind w:right="35"/>
              <w:spacing w:after="0"/>
              <w:rPr>
                <w:sz w:val="20"/>
                <w:szCs w:val="20"/>
                <w:color w:val="auto"/>
              </w:rPr>
            </w:pPr>
            <w:r>
              <w:rPr>
                <w:rFonts w:ascii="Arial" w:cs="Arial" w:eastAsia="Arial" w:hAnsi="Arial"/>
                <w:sz w:val="14"/>
                <w:szCs w:val="14"/>
                <w:color w:val="auto"/>
              </w:rPr>
              <w:t>134,149</w:t>
            </w:r>
          </w:p>
        </w:tc>
        <w:tc>
          <w:tcPr>
            <w:tcW w:w="800" w:type="dxa"/>
            <w:vAlign w:val="bottom"/>
            <w:shd w:val="clear" w:color="auto" w:fill="E5EAF5"/>
          </w:tcPr>
          <w:p>
            <w:pPr>
              <w:spacing w:after="0"/>
              <w:rPr>
                <w:sz w:val="16"/>
                <w:szCs w:val="16"/>
                <w:color w:val="auto"/>
              </w:rPr>
            </w:pPr>
          </w:p>
        </w:tc>
        <w:tc>
          <w:tcPr>
            <w:tcW w:w="800" w:type="dxa"/>
            <w:vAlign w:val="bottom"/>
            <w:shd w:val="clear" w:color="auto" w:fill="E5EAF5"/>
          </w:tcPr>
          <w:p>
            <w:pPr>
              <w:spacing w:after="0"/>
              <w:rPr>
                <w:sz w:val="16"/>
                <w:szCs w:val="16"/>
                <w:color w:val="auto"/>
              </w:rPr>
            </w:pPr>
          </w:p>
        </w:tc>
      </w:tr>
      <w:tr>
        <w:trPr>
          <w:trHeight w:val="189"/>
        </w:trPr>
        <w:tc>
          <w:tcPr>
            <w:tcW w:w="2860" w:type="dxa"/>
            <w:vAlign w:val="bottom"/>
            <w:shd w:val="clear" w:color="auto" w:fill="E5EAF5"/>
          </w:tcPr>
          <w:p>
            <w:pPr>
              <w:ind w:left="60"/>
              <w:spacing w:after="0"/>
              <w:rPr>
                <w:sz w:val="20"/>
                <w:szCs w:val="20"/>
                <w:color w:val="auto"/>
              </w:rPr>
            </w:pPr>
            <w:r>
              <w:rPr>
                <w:rFonts w:ascii="Arial" w:cs="Arial" w:eastAsia="Arial" w:hAnsi="Arial"/>
                <w:sz w:val="14"/>
                <w:szCs w:val="14"/>
                <w:color w:val="auto"/>
              </w:rPr>
              <w:t>2/22/2018</w:t>
            </w:r>
          </w:p>
        </w:tc>
        <w:tc>
          <w:tcPr>
            <w:tcW w:w="860" w:type="dxa"/>
            <w:vAlign w:val="bottom"/>
            <w:shd w:val="clear" w:color="auto" w:fill="E5EAF5"/>
          </w:tcPr>
          <w:p>
            <w:pPr>
              <w:jc w:val="right"/>
              <w:spacing w:after="0"/>
              <w:rPr>
                <w:sz w:val="20"/>
                <w:szCs w:val="20"/>
                <w:color w:val="auto"/>
              </w:rPr>
            </w:pPr>
            <w:r>
              <w:rPr>
                <w:rFonts w:ascii="Arial" w:cs="Arial" w:eastAsia="Arial" w:hAnsi="Arial"/>
                <w:sz w:val="14"/>
                <w:szCs w:val="14"/>
                <w:color w:val="auto"/>
              </w:rPr>
              <w:t>IM PSU</w:t>
            </w:r>
          </w:p>
        </w:tc>
        <w:tc>
          <w:tcPr>
            <w:tcW w:w="1140" w:type="dxa"/>
            <w:vAlign w:val="bottom"/>
            <w:shd w:val="clear" w:color="auto" w:fill="E5EAF5"/>
          </w:tcPr>
          <w:p>
            <w:pPr>
              <w:spacing w:after="0"/>
              <w:rPr>
                <w:sz w:val="16"/>
                <w:szCs w:val="16"/>
                <w:color w:val="auto"/>
              </w:rPr>
            </w:pPr>
          </w:p>
        </w:tc>
        <w:tc>
          <w:tcPr>
            <w:tcW w:w="1340" w:type="dxa"/>
            <w:vAlign w:val="bottom"/>
            <w:shd w:val="clear" w:color="auto" w:fill="E5EAF5"/>
          </w:tcPr>
          <w:p>
            <w:pPr>
              <w:spacing w:after="0"/>
              <w:rPr>
                <w:sz w:val="16"/>
                <w:szCs w:val="16"/>
                <w:color w:val="auto"/>
              </w:rPr>
            </w:pPr>
          </w:p>
        </w:tc>
        <w:tc>
          <w:tcPr>
            <w:tcW w:w="640" w:type="dxa"/>
            <w:vAlign w:val="bottom"/>
            <w:shd w:val="clear" w:color="auto" w:fill="E5EAF5"/>
          </w:tcPr>
          <w:p>
            <w:pPr>
              <w:spacing w:after="0"/>
              <w:rPr>
                <w:sz w:val="16"/>
                <w:szCs w:val="16"/>
                <w:color w:val="auto"/>
              </w:rPr>
            </w:pPr>
          </w:p>
        </w:tc>
        <w:tc>
          <w:tcPr>
            <w:tcW w:w="860" w:type="dxa"/>
            <w:vAlign w:val="bottom"/>
            <w:shd w:val="clear" w:color="auto" w:fill="E5EAF5"/>
          </w:tcPr>
          <w:p>
            <w:pPr>
              <w:spacing w:after="0"/>
              <w:rPr>
                <w:sz w:val="16"/>
                <w:szCs w:val="16"/>
                <w:color w:val="auto"/>
              </w:rPr>
            </w:pPr>
          </w:p>
        </w:tc>
        <w:tc>
          <w:tcPr>
            <w:tcW w:w="880" w:type="dxa"/>
            <w:vAlign w:val="bottom"/>
            <w:shd w:val="clear" w:color="auto" w:fill="E5EAF5"/>
          </w:tcPr>
          <w:p>
            <w:pPr>
              <w:spacing w:after="0"/>
              <w:rPr>
                <w:sz w:val="16"/>
                <w:szCs w:val="16"/>
                <w:color w:val="auto"/>
              </w:rPr>
            </w:pPr>
          </w:p>
        </w:tc>
        <w:tc>
          <w:tcPr>
            <w:tcW w:w="840" w:type="dxa"/>
            <w:vAlign w:val="bottom"/>
            <w:shd w:val="clear" w:color="auto" w:fill="E5EAF5"/>
          </w:tcPr>
          <w:p>
            <w:pPr>
              <w:spacing w:after="0"/>
              <w:rPr>
                <w:sz w:val="16"/>
                <w:szCs w:val="16"/>
                <w:color w:val="auto"/>
              </w:rPr>
            </w:pPr>
          </w:p>
        </w:tc>
        <w:tc>
          <w:tcPr>
            <w:tcW w:w="800" w:type="dxa"/>
            <w:vAlign w:val="bottom"/>
            <w:shd w:val="clear" w:color="auto" w:fill="E5EAF5"/>
          </w:tcPr>
          <w:p>
            <w:pPr>
              <w:jc w:val="right"/>
              <w:ind w:right="35"/>
              <w:spacing w:after="0"/>
              <w:rPr>
                <w:sz w:val="20"/>
                <w:szCs w:val="20"/>
                <w:color w:val="auto"/>
              </w:rPr>
            </w:pPr>
            <w:r>
              <w:rPr>
                <w:rFonts w:ascii="Arial" w:cs="Arial" w:eastAsia="Arial" w:hAnsi="Arial"/>
                <w:sz w:val="14"/>
                <w:szCs w:val="14"/>
                <w:color w:val="auto"/>
              </w:rPr>
              <w:t>2,091</w:t>
            </w:r>
          </w:p>
        </w:tc>
        <w:tc>
          <w:tcPr>
            <w:tcW w:w="800" w:type="dxa"/>
            <w:vAlign w:val="bottom"/>
            <w:shd w:val="clear" w:color="auto" w:fill="E5EAF5"/>
          </w:tcPr>
          <w:p>
            <w:pPr>
              <w:jc w:val="right"/>
              <w:ind w:right="55"/>
              <w:spacing w:after="0"/>
              <w:rPr>
                <w:sz w:val="20"/>
                <w:szCs w:val="20"/>
                <w:color w:val="auto"/>
              </w:rPr>
            </w:pPr>
            <w:r>
              <w:rPr>
                <w:rFonts w:ascii="Arial" w:cs="Arial" w:eastAsia="Arial" w:hAnsi="Arial"/>
                <w:sz w:val="14"/>
                <w:szCs w:val="14"/>
                <w:color w:val="auto"/>
              </w:rPr>
              <w:t>135,183</w:t>
            </w:r>
          </w:p>
        </w:tc>
      </w:tr>
      <w:tr>
        <w:trPr>
          <w:trHeight w:val="189"/>
        </w:trPr>
        <w:tc>
          <w:tcPr>
            <w:tcW w:w="2860" w:type="dxa"/>
            <w:vAlign w:val="bottom"/>
            <w:shd w:val="clear" w:color="auto" w:fill="E5EAF5"/>
          </w:tcPr>
          <w:p>
            <w:pPr>
              <w:ind w:left="60"/>
              <w:spacing w:after="0"/>
              <w:rPr>
                <w:sz w:val="20"/>
                <w:szCs w:val="20"/>
                <w:color w:val="auto"/>
              </w:rPr>
            </w:pPr>
            <w:r>
              <w:rPr>
                <w:rFonts w:ascii="Arial" w:cs="Arial" w:eastAsia="Arial" w:hAnsi="Arial"/>
                <w:sz w:val="14"/>
                <w:szCs w:val="14"/>
                <w:color w:val="auto"/>
              </w:rPr>
              <w:t>2/22/2018</w:t>
            </w:r>
          </w:p>
        </w:tc>
        <w:tc>
          <w:tcPr>
            <w:tcW w:w="860" w:type="dxa"/>
            <w:vAlign w:val="bottom"/>
            <w:shd w:val="clear" w:color="auto" w:fill="E5EAF5"/>
          </w:tcPr>
          <w:p>
            <w:pPr>
              <w:jc w:val="right"/>
              <w:spacing w:after="0"/>
              <w:rPr>
                <w:sz w:val="20"/>
                <w:szCs w:val="20"/>
                <w:color w:val="auto"/>
              </w:rPr>
            </w:pPr>
            <w:r>
              <w:rPr>
                <w:rFonts w:ascii="Arial" w:cs="Arial" w:eastAsia="Arial" w:hAnsi="Arial"/>
                <w:sz w:val="14"/>
                <w:szCs w:val="14"/>
                <w:color w:val="auto"/>
              </w:rPr>
              <w:t>TSR PSU</w:t>
            </w:r>
          </w:p>
        </w:tc>
        <w:tc>
          <w:tcPr>
            <w:tcW w:w="1140" w:type="dxa"/>
            <w:vAlign w:val="bottom"/>
            <w:shd w:val="clear" w:color="auto" w:fill="E5EAF5"/>
          </w:tcPr>
          <w:p>
            <w:pPr>
              <w:spacing w:after="0"/>
              <w:rPr>
                <w:sz w:val="16"/>
                <w:szCs w:val="16"/>
                <w:color w:val="auto"/>
              </w:rPr>
            </w:pPr>
          </w:p>
        </w:tc>
        <w:tc>
          <w:tcPr>
            <w:tcW w:w="1340" w:type="dxa"/>
            <w:vAlign w:val="bottom"/>
            <w:shd w:val="clear" w:color="auto" w:fill="E5EAF5"/>
          </w:tcPr>
          <w:p>
            <w:pPr>
              <w:spacing w:after="0"/>
              <w:rPr>
                <w:sz w:val="16"/>
                <w:szCs w:val="16"/>
                <w:color w:val="auto"/>
              </w:rPr>
            </w:pPr>
          </w:p>
        </w:tc>
        <w:tc>
          <w:tcPr>
            <w:tcW w:w="640" w:type="dxa"/>
            <w:vAlign w:val="bottom"/>
            <w:shd w:val="clear" w:color="auto" w:fill="E5EAF5"/>
          </w:tcPr>
          <w:p>
            <w:pPr>
              <w:spacing w:after="0"/>
              <w:rPr>
                <w:sz w:val="16"/>
                <w:szCs w:val="16"/>
                <w:color w:val="auto"/>
              </w:rPr>
            </w:pPr>
          </w:p>
        </w:tc>
        <w:tc>
          <w:tcPr>
            <w:tcW w:w="860" w:type="dxa"/>
            <w:vAlign w:val="bottom"/>
            <w:shd w:val="clear" w:color="auto" w:fill="E5EAF5"/>
          </w:tcPr>
          <w:p>
            <w:pPr>
              <w:spacing w:after="0"/>
              <w:rPr>
                <w:sz w:val="16"/>
                <w:szCs w:val="16"/>
                <w:color w:val="auto"/>
              </w:rPr>
            </w:pPr>
          </w:p>
        </w:tc>
        <w:tc>
          <w:tcPr>
            <w:tcW w:w="880" w:type="dxa"/>
            <w:vAlign w:val="bottom"/>
            <w:shd w:val="clear" w:color="auto" w:fill="E5EAF5"/>
          </w:tcPr>
          <w:p>
            <w:pPr>
              <w:spacing w:after="0"/>
              <w:rPr>
                <w:sz w:val="16"/>
                <w:szCs w:val="16"/>
                <w:color w:val="auto"/>
              </w:rPr>
            </w:pPr>
          </w:p>
        </w:tc>
        <w:tc>
          <w:tcPr>
            <w:tcW w:w="840" w:type="dxa"/>
            <w:vAlign w:val="bottom"/>
            <w:shd w:val="clear" w:color="auto" w:fill="E5EAF5"/>
          </w:tcPr>
          <w:p>
            <w:pPr>
              <w:spacing w:after="0"/>
              <w:rPr>
                <w:sz w:val="16"/>
                <w:szCs w:val="16"/>
                <w:color w:val="auto"/>
              </w:rPr>
            </w:pPr>
          </w:p>
        </w:tc>
        <w:tc>
          <w:tcPr>
            <w:tcW w:w="800" w:type="dxa"/>
            <w:vAlign w:val="bottom"/>
            <w:shd w:val="clear" w:color="auto" w:fill="E5EAF5"/>
          </w:tcPr>
          <w:p>
            <w:pPr>
              <w:jc w:val="right"/>
              <w:ind w:right="35"/>
              <w:spacing w:after="0"/>
              <w:rPr>
                <w:sz w:val="20"/>
                <w:szCs w:val="20"/>
                <w:color w:val="auto"/>
              </w:rPr>
            </w:pPr>
            <w:r>
              <w:rPr>
                <w:rFonts w:ascii="Arial" w:cs="Arial" w:eastAsia="Arial" w:hAnsi="Arial"/>
                <w:sz w:val="14"/>
                <w:szCs w:val="14"/>
                <w:color w:val="auto"/>
              </w:rPr>
              <w:t>1,897</w:t>
            </w:r>
          </w:p>
        </w:tc>
        <w:tc>
          <w:tcPr>
            <w:tcW w:w="800" w:type="dxa"/>
            <w:vAlign w:val="bottom"/>
            <w:shd w:val="clear" w:color="auto" w:fill="E5EAF5"/>
          </w:tcPr>
          <w:p>
            <w:pPr>
              <w:jc w:val="right"/>
              <w:ind w:right="55"/>
              <w:spacing w:after="0"/>
              <w:rPr>
                <w:sz w:val="20"/>
                <w:szCs w:val="20"/>
                <w:color w:val="auto"/>
              </w:rPr>
            </w:pPr>
            <w:r>
              <w:rPr>
                <w:rFonts w:ascii="Arial" w:cs="Arial" w:eastAsia="Arial" w:hAnsi="Arial"/>
                <w:sz w:val="14"/>
                <w:szCs w:val="14"/>
                <w:color w:val="auto"/>
              </w:rPr>
              <w:t>122,641</w:t>
            </w:r>
          </w:p>
        </w:tc>
      </w:tr>
      <w:tr>
        <w:trPr>
          <w:trHeight w:val="237"/>
        </w:trPr>
        <w:tc>
          <w:tcPr>
            <w:tcW w:w="2860" w:type="dxa"/>
            <w:vAlign w:val="bottom"/>
            <w:tcBorders>
              <w:bottom w:val="single" w:sz="8" w:color="0033A0"/>
            </w:tcBorders>
            <w:shd w:val="clear" w:color="auto" w:fill="E5EAF5"/>
          </w:tcPr>
          <w:p>
            <w:pPr>
              <w:spacing w:after="0"/>
              <w:rPr>
                <w:sz w:val="20"/>
                <w:szCs w:val="20"/>
                <w:color w:val="auto"/>
              </w:rPr>
            </w:pPr>
          </w:p>
        </w:tc>
        <w:tc>
          <w:tcPr>
            <w:tcW w:w="860" w:type="dxa"/>
            <w:vAlign w:val="bottom"/>
            <w:tcBorders>
              <w:bottom w:val="single" w:sz="8" w:color="0033A0"/>
            </w:tcBorders>
            <w:shd w:val="clear" w:color="auto" w:fill="E5EAF5"/>
          </w:tcPr>
          <w:p>
            <w:pPr>
              <w:spacing w:after="0"/>
              <w:rPr>
                <w:sz w:val="20"/>
                <w:szCs w:val="20"/>
                <w:color w:val="auto"/>
              </w:rPr>
            </w:pPr>
          </w:p>
        </w:tc>
        <w:tc>
          <w:tcPr>
            <w:tcW w:w="1140" w:type="dxa"/>
            <w:vAlign w:val="bottom"/>
            <w:tcBorders>
              <w:bottom w:val="single" w:sz="8" w:color="0033A0"/>
            </w:tcBorders>
            <w:shd w:val="clear" w:color="auto" w:fill="E5EAF5"/>
          </w:tcPr>
          <w:p>
            <w:pPr>
              <w:spacing w:after="0"/>
              <w:rPr>
                <w:sz w:val="20"/>
                <w:szCs w:val="20"/>
                <w:color w:val="auto"/>
              </w:rPr>
            </w:pPr>
          </w:p>
        </w:tc>
        <w:tc>
          <w:tcPr>
            <w:tcW w:w="1340" w:type="dxa"/>
            <w:vAlign w:val="bottom"/>
            <w:tcBorders>
              <w:bottom w:val="single" w:sz="8" w:color="0033A0"/>
            </w:tcBorders>
            <w:shd w:val="clear" w:color="auto" w:fill="E5EAF5"/>
          </w:tcPr>
          <w:p>
            <w:pPr>
              <w:spacing w:after="0"/>
              <w:rPr>
                <w:sz w:val="20"/>
                <w:szCs w:val="20"/>
                <w:color w:val="auto"/>
              </w:rPr>
            </w:pPr>
          </w:p>
        </w:tc>
        <w:tc>
          <w:tcPr>
            <w:tcW w:w="640" w:type="dxa"/>
            <w:vAlign w:val="bottom"/>
            <w:tcBorders>
              <w:bottom w:val="single" w:sz="8" w:color="0033A0"/>
            </w:tcBorders>
            <w:shd w:val="clear" w:color="auto" w:fill="E5EAF5"/>
          </w:tcPr>
          <w:p>
            <w:pPr>
              <w:spacing w:after="0"/>
              <w:rPr>
                <w:sz w:val="20"/>
                <w:szCs w:val="20"/>
                <w:color w:val="auto"/>
              </w:rPr>
            </w:pPr>
          </w:p>
        </w:tc>
        <w:tc>
          <w:tcPr>
            <w:tcW w:w="860" w:type="dxa"/>
            <w:vAlign w:val="bottom"/>
            <w:tcBorders>
              <w:bottom w:val="single" w:sz="8" w:color="0033A0"/>
            </w:tcBorders>
            <w:shd w:val="clear" w:color="auto" w:fill="E5EAF5"/>
          </w:tcPr>
          <w:p>
            <w:pPr>
              <w:spacing w:after="0"/>
              <w:rPr>
                <w:sz w:val="20"/>
                <w:szCs w:val="20"/>
                <w:color w:val="auto"/>
              </w:rPr>
            </w:pPr>
          </w:p>
        </w:tc>
        <w:tc>
          <w:tcPr>
            <w:tcW w:w="880" w:type="dxa"/>
            <w:vAlign w:val="bottom"/>
            <w:tcBorders>
              <w:bottom w:val="single" w:sz="8" w:color="0033A0"/>
            </w:tcBorders>
            <w:shd w:val="clear" w:color="auto" w:fill="E5EAF5"/>
          </w:tcPr>
          <w:p>
            <w:pPr>
              <w:spacing w:after="0"/>
              <w:rPr>
                <w:sz w:val="20"/>
                <w:szCs w:val="20"/>
                <w:color w:val="auto"/>
              </w:rPr>
            </w:pPr>
          </w:p>
        </w:tc>
        <w:tc>
          <w:tcPr>
            <w:tcW w:w="840" w:type="dxa"/>
            <w:vAlign w:val="bottom"/>
            <w:tcBorders>
              <w:bottom w:val="single" w:sz="8" w:color="0033A0"/>
            </w:tcBorders>
            <w:shd w:val="clear" w:color="auto" w:fill="E5EAF5"/>
          </w:tcPr>
          <w:p>
            <w:pPr>
              <w:spacing w:after="0"/>
              <w:rPr>
                <w:sz w:val="20"/>
                <w:szCs w:val="20"/>
                <w:color w:val="auto"/>
              </w:rPr>
            </w:pPr>
          </w:p>
        </w:tc>
        <w:tc>
          <w:tcPr>
            <w:tcW w:w="800" w:type="dxa"/>
            <w:vAlign w:val="bottom"/>
            <w:tcBorders>
              <w:bottom w:val="single" w:sz="8" w:color="0033A0"/>
            </w:tcBorders>
            <w:shd w:val="clear" w:color="auto" w:fill="E5EAF5"/>
          </w:tcPr>
          <w:p>
            <w:pPr>
              <w:spacing w:after="0"/>
              <w:rPr>
                <w:sz w:val="20"/>
                <w:szCs w:val="20"/>
                <w:color w:val="auto"/>
              </w:rPr>
            </w:pPr>
          </w:p>
        </w:tc>
        <w:tc>
          <w:tcPr>
            <w:tcW w:w="800" w:type="dxa"/>
            <w:vAlign w:val="bottom"/>
            <w:tcBorders>
              <w:bottom w:val="single" w:sz="8" w:color="0033A0"/>
            </w:tcBorders>
            <w:shd w:val="clear" w:color="auto" w:fill="E5EAF5"/>
          </w:tcPr>
          <w:p>
            <w:pPr>
              <w:spacing w:after="0"/>
              <w:rPr>
                <w:sz w:val="20"/>
                <w:szCs w:val="20"/>
                <w:color w:val="auto"/>
              </w:rPr>
            </w:pPr>
          </w:p>
        </w:tc>
      </w:tr>
    </w:tbl>
    <w:p>
      <w:pPr>
        <w:spacing w:after="0" w:line="149" w:lineRule="exact"/>
        <w:rPr>
          <w:sz w:val="20"/>
          <w:szCs w:val="20"/>
          <w:color w:val="auto"/>
        </w:rPr>
      </w:pPr>
    </w:p>
    <w:tbl>
      <w:tblPr>
        <w:tblLayout w:type="fixed"/>
        <w:tblInd w:w="200" w:type="dxa"/>
        <w:tblCellMar>
          <w:top w:w="0" w:type="dxa"/>
          <w:left w:w="0" w:type="dxa"/>
          <w:bottom w:w="0" w:type="dxa"/>
          <w:right w:w="0" w:type="dxa"/>
        </w:tblCellMar>
      </w:tblPr>
      <w:tr>
        <w:trPr>
          <w:trHeight w:val="297"/>
        </w:trPr>
        <w:tc>
          <w:tcPr>
            <w:tcW w:w="360" w:type="dxa"/>
            <w:vAlign w:val="bottom"/>
            <w:tcBorders>
              <w:right w:val="single" w:sz="8" w:color="0033A0"/>
            </w:tcBorders>
          </w:tcPr>
          <w:p>
            <w:pPr>
              <w:jc w:val="right"/>
              <w:ind w:right="70"/>
              <w:spacing w:after="0"/>
              <w:rPr>
                <w:sz w:val="20"/>
                <w:szCs w:val="20"/>
                <w:color w:val="auto"/>
              </w:rPr>
            </w:pPr>
            <w:r>
              <w:rPr>
                <w:rFonts w:ascii="Arial" w:cs="Arial" w:eastAsia="Arial" w:hAnsi="Arial"/>
                <w:sz w:val="18"/>
                <w:szCs w:val="18"/>
                <w:b w:val="1"/>
                <w:bCs w:val="1"/>
                <w:color w:val="auto"/>
                <w:w w:val="89"/>
              </w:rPr>
              <w:t>50</w:t>
            </w:r>
          </w:p>
        </w:tc>
        <w:tc>
          <w:tcPr>
            <w:tcW w:w="3380" w:type="dxa"/>
            <w:vAlign w:val="bottom"/>
          </w:tcPr>
          <w:p>
            <w:pPr>
              <w:ind w:left="1600"/>
              <w:spacing w:after="0"/>
              <w:rPr>
                <w:sz w:val="20"/>
                <w:szCs w:val="20"/>
                <w:color w:val="auto"/>
              </w:rPr>
            </w:pPr>
            <w:r>
              <w:rPr>
                <w:rFonts w:ascii="Arial" w:cs="Arial" w:eastAsia="Arial" w:hAnsi="Arial"/>
                <w:sz w:val="18"/>
                <w:szCs w:val="18"/>
                <w:i w:val="1"/>
                <w:iCs w:val="1"/>
                <w:color w:val="auto"/>
                <w:w w:val="98"/>
              </w:rPr>
              <w:t>2019 Proxy Statement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-170815</wp:posOffset>
            </wp:positionV>
            <wp:extent cx="720090" cy="12890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0090" cy="12890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7620"/>
        <w:spacing w:after="0"/>
        <w:rPr>
          <w:sz w:val="20"/>
          <w:szCs w:val="20"/>
          <w:color w:val="auto"/>
        </w:rPr>
      </w:pPr>
      <w:r>
        <w:rPr>
          <w:rFonts w:ascii="Arial" w:cs="Arial" w:eastAsia="Arial" w:hAnsi="Arial"/>
          <w:sz w:val="19"/>
          <w:szCs w:val="19"/>
          <w:b w:val="1"/>
          <w:bCs w:val="1"/>
          <w:color w:val="0033A0"/>
        </w:rPr>
        <w:t>EXECUTIVE COMPENSATION TABLES</w:t>
      </w:r>
    </w:p>
    <w:p>
      <w:pPr>
        <w:spacing w:after="0" w:line="152" w:lineRule="exact"/>
        <w:rPr>
          <w:sz w:val="20"/>
          <w:szCs w:val="20"/>
          <w:color w:val="auto"/>
        </w:rPr>
      </w:pPr>
    </w:p>
    <w:tbl>
      <w:tblPr>
        <w:tblLayout w:type="fixed"/>
        <w:tblInd w:w="220" w:type="dxa"/>
        <w:tblCellMar>
          <w:top w:w="0" w:type="dxa"/>
          <w:left w:w="0" w:type="dxa"/>
          <w:bottom w:w="0" w:type="dxa"/>
          <w:right w:w="0" w:type="dxa"/>
        </w:tblCellMar>
      </w:tblPr>
      <w:tr>
        <w:trPr>
          <w:trHeight w:val="157"/>
        </w:trPr>
        <w:tc>
          <w:tcPr>
            <w:tcW w:w="17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20" w:type="dxa"/>
            <w:vAlign w:val="bottom"/>
            <w:tcBorders>
              <w:bottom w:val="single" w:sz="8" w:color="0033A0"/>
            </w:tcBorders>
          </w:tcPr>
          <w:p>
            <w:pPr>
              <w:spacing w:after="0"/>
              <w:rPr>
                <w:sz w:val="13"/>
                <w:szCs w:val="13"/>
                <w:color w:val="auto"/>
              </w:rPr>
            </w:pPr>
          </w:p>
        </w:tc>
        <w:tc>
          <w:tcPr>
            <w:tcW w:w="1120" w:type="dxa"/>
            <w:vAlign w:val="bottom"/>
            <w:tcBorders>
              <w:bottom w:val="single" w:sz="8" w:color="0033A0"/>
            </w:tcBorders>
          </w:tcPr>
          <w:p>
            <w:pPr>
              <w:spacing w:after="0"/>
              <w:rPr>
                <w:sz w:val="13"/>
                <w:szCs w:val="13"/>
                <w:color w:val="auto"/>
              </w:rPr>
            </w:pPr>
          </w:p>
        </w:tc>
        <w:tc>
          <w:tcPr>
            <w:tcW w:w="1320" w:type="dxa"/>
            <w:vAlign w:val="bottom"/>
            <w:tcBorders>
              <w:bottom w:val="single" w:sz="8" w:color="0033A0"/>
            </w:tcBorders>
          </w:tcPr>
          <w:p>
            <w:pPr>
              <w:jc w:val="right"/>
              <w:spacing w:after="0"/>
              <w:rPr>
                <w:sz w:val="20"/>
                <w:szCs w:val="20"/>
                <w:color w:val="auto"/>
              </w:rPr>
            </w:pPr>
            <w:r>
              <w:rPr>
                <w:rFonts w:ascii="Arial" w:cs="Arial" w:eastAsia="Arial" w:hAnsi="Arial"/>
                <w:sz w:val="13"/>
                <w:szCs w:val="13"/>
                <w:b w:val="1"/>
                <w:bCs w:val="1"/>
                <w:color w:val="0033A0"/>
              </w:rPr>
              <w:t>Option Awards</w:t>
            </w:r>
          </w:p>
        </w:tc>
        <w:tc>
          <w:tcPr>
            <w:tcW w:w="620" w:type="dxa"/>
            <w:vAlign w:val="bottom"/>
            <w:tcBorders>
              <w:bottom w:val="single" w:sz="8" w:color="0033A0"/>
            </w:tcBorders>
          </w:tcPr>
          <w:p>
            <w:pPr>
              <w:spacing w:after="0"/>
              <w:rPr>
                <w:sz w:val="13"/>
                <w:szCs w:val="13"/>
                <w:color w:val="auto"/>
              </w:rPr>
            </w:pPr>
          </w:p>
        </w:tc>
        <w:tc>
          <w:tcPr>
            <w:tcW w:w="860" w:type="dxa"/>
            <w:vAlign w:val="bottom"/>
            <w:tcBorders>
              <w:bottom w:val="single" w:sz="8" w:color="0033A0"/>
            </w:tcBorders>
          </w:tcPr>
          <w:p>
            <w:pPr>
              <w:spacing w:after="0"/>
              <w:rPr>
                <w:sz w:val="13"/>
                <w:szCs w:val="13"/>
                <w:color w:val="auto"/>
              </w:rPr>
            </w:pPr>
          </w:p>
        </w:tc>
        <w:tc>
          <w:tcPr>
            <w:tcW w:w="860" w:type="dxa"/>
            <w:vAlign w:val="bottom"/>
            <w:tcBorders>
              <w:bottom w:val="single" w:sz="8" w:color="0033A0"/>
            </w:tcBorders>
          </w:tcPr>
          <w:p>
            <w:pPr>
              <w:spacing w:after="0"/>
              <w:rPr>
                <w:sz w:val="13"/>
                <w:szCs w:val="13"/>
                <w:color w:val="auto"/>
              </w:rPr>
            </w:pPr>
          </w:p>
        </w:tc>
        <w:tc>
          <w:tcPr>
            <w:tcW w:w="1640" w:type="dxa"/>
            <w:vAlign w:val="bottom"/>
            <w:tcBorders>
              <w:bottom w:val="single" w:sz="8" w:color="0033A0"/>
            </w:tcBorders>
            <w:gridSpan w:val="2"/>
          </w:tcPr>
          <w:p>
            <w:pPr>
              <w:jc w:val="right"/>
              <w:ind w:right="375"/>
              <w:spacing w:after="0"/>
              <w:rPr>
                <w:sz w:val="20"/>
                <w:szCs w:val="20"/>
                <w:color w:val="auto"/>
              </w:rPr>
            </w:pPr>
            <w:r>
              <w:rPr>
                <w:rFonts w:ascii="Arial" w:cs="Arial" w:eastAsia="Arial" w:hAnsi="Arial"/>
                <w:sz w:val="13"/>
                <w:szCs w:val="13"/>
                <w:b w:val="1"/>
                <w:bCs w:val="1"/>
                <w:color w:val="0033A0"/>
              </w:rPr>
              <w:t>Stock Awards</w:t>
            </w:r>
          </w:p>
        </w:tc>
        <w:tc>
          <w:tcPr>
            <w:tcW w:w="740" w:type="dxa"/>
            <w:vAlign w:val="bottom"/>
            <w:tcBorders>
              <w:bottom w:val="single" w:sz="8" w:color="0033A0"/>
            </w:tcBorders>
          </w:tcPr>
          <w:p>
            <w:pPr>
              <w:spacing w:after="0"/>
              <w:rPr>
                <w:sz w:val="13"/>
                <w:szCs w:val="13"/>
                <w:color w:val="auto"/>
              </w:rPr>
            </w:pPr>
          </w:p>
        </w:tc>
      </w:tr>
      <w:tr>
        <w:trPr>
          <w:trHeight w:val="134"/>
        </w:trPr>
        <w:tc>
          <w:tcPr>
            <w:tcW w:w="1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jc w:val="center"/>
              <w:spacing w:after="0" w:line="134" w:lineRule="exact"/>
              <w:rPr>
                <w:sz w:val="20"/>
                <w:szCs w:val="20"/>
                <w:color w:val="auto"/>
              </w:rPr>
            </w:pPr>
            <w:r>
              <w:rPr>
                <w:rFonts w:ascii="Arial" w:cs="Arial" w:eastAsia="Arial" w:hAnsi="Arial"/>
                <w:sz w:val="13"/>
                <w:szCs w:val="13"/>
                <w:b w:val="1"/>
                <w:bCs w:val="1"/>
                <w:color w:val="0033A0"/>
                <w:w w:val="95"/>
              </w:rPr>
              <w:t>Equity</w:t>
            </w:r>
          </w:p>
        </w:tc>
        <w:tc>
          <w:tcPr>
            <w:tcW w:w="740" w:type="dxa"/>
            <w:vAlign w:val="bottom"/>
          </w:tcPr>
          <w:p>
            <w:pPr>
              <w:ind w:left="200"/>
              <w:spacing w:after="0" w:line="134" w:lineRule="exact"/>
              <w:rPr>
                <w:sz w:val="20"/>
                <w:szCs w:val="20"/>
                <w:color w:val="auto"/>
              </w:rPr>
            </w:pPr>
            <w:r>
              <w:rPr>
                <w:rFonts w:ascii="Arial" w:cs="Arial" w:eastAsia="Arial" w:hAnsi="Arial"/>
                <w:sz w:val="13"/>
                <w:szCs w:val="13"/>
                <w:b w:val="1"/>
                <w:bCs w:val="1"/>
                <w:color w:val="0033A0"/>
              </w:rPr>
              <w:t>Equity</w:t>
            </w:r>
          </w:p>
        </w:tc>
      </w:tr>
      <w:tr>
        <w:trPr>
          <w:trHeight w:val="135"/>
        </w:trPr>
        <w:tc>
          <w:tcPr>
            <w:tcW w:w="1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0033A0"/>
                <w:w w:val="95"/>
              </w:rPr>
              <w:t>Incentive</w:t>
            </w:r>
          </w:p>
        </w:tc>
        <w:tc>
          <w:tcPr>
            <w:tcW w:w="740" w:type="dxa"/>
            <w:vAlign w:val="bottom"/>
          </w:tcPr>
          <w:p>
            <w:pPr>
              <w:jc w:val="center"/>
              <w:spacing w:after="0" w:line="135" w:lineRule="exact"/>
              <w:rPr>
                <w:sz w:val="20"/>
                <w:szCs w:val="20"/>
                <w:color w:val="auto"/>
              </w:rPr>
            </w:pPr>
            <w:r>
              <w:rPr>
                <w:rFonts w:ascii="Arial" w:cs="Arial" w:eastAsia="Arial" w:hAnsi="Arial"/>
                <w:sz w:val="13"/>
                <w:szCs w:val="13"/>
                <w:b w:val="1"/>
                <w:bCs w:val="1"/>
                <w:color w:val="0033A0"/>
                <w:w w:val="95"/>
              </w:rPr>
              <w:t>Incentive</w:t>
            </w:r>
          </w:p>
        </w:tc>
      </w:tr>
      <w:tr>
        <w:trPr>
          <w:trHeight w:val="135"/>
        </w:trPr>
        <w:tc>
          <w:tcPr>
            <w:tcW w:w="1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0033A0"/>
                <w:w w:val="94"/>
              </w:rPr>
              <w:t>Plan</w:t>
            </w:r>
          </w:p>
        </w:tc>
        <w:tc>
          <w:tcPr>
            <w:tcW w:w="740" w:type="dxa"/>
            <w:vAlign w:val="bottom"/>
          </w:tcPr>
          <w:p>
            <w:pPr>
              <w:jc w:val="center"/>
              <w:spacing w:after="0" w:line="135" w:lineRule="exact"/>
              <w:rPr>
                <w:sz w:val="20"/>
                <w:szCs w:val="20"/>
                <w:color w:val="auto"/>
              </w:rPr>
            </w:pPr>
            <w:r>
              <w:rPr>
                <w:rFonts w:ascii="Arial" w:cs="Arial" w:eastAsia="Arial" w:hAnsi="Arial"/>
                <w:sz w:val="13"/>
                <w:szCs w:val="13"/>
                <w:b w:val="1"/>
                <w:bCs w:val="1"/>
                <w:color w:val="0033A0"/>
                <w:w w:val="94"/>
              </w:rPr>
              <w:t>Plan</w:t>
            </w:r>
          </w:p>
        </w:tc>
      </w:tr>
      <w:tr>
        <w:trPr>
          <w:trHeight w:val="135"/>
        </w:trPr>
        <w:tc>
          <w:tcPr>
            <w:tcW w:w="1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0033A0"/>
                <w:w w:val="97"/>
              </w:rPr>
              <w:t>Awards:</w:t>
            </w:r>
          </w:p>
        </w:tc>
        <w:tc>
          <w:tcPr>
            <w:tcW w:w="740" w:type="dxa"/>
            <w:vAlign w:val="bottom"/>
          </w:tcPr>
          <w:p>
            <w:pPr>
              <w:jc w:val="center"/>
              <w:spacing w:after="0" w:line="135" w:lineRule="exact"/>
              <w:rPr>
                <w:sz w:val="20"/>
                <w:szCs w:val="20"/>
                <w:color w:val="auto"/>
              </w:rPr>
            </w:pPr>
            <w:r>
              <w:rPr>
                <w:rFonts w:ascii="Arial" w:cs="Arial" w:eastAsia="Arial" w:hAnsi="Arial"/>
                <w:sz w:val="13"/>
                <w:szCs w:val="13"/>
                <w:b w:val="1"/>
                <w:bCs w:val="1"/>
                <w:color w:val="0033A0"/>
                <w:w w:val="97"/>
              </w:rPr>
              <w:t>Awards:</w:t>
            </w:r>
          </w:p>
        </w:tc>
      </w:tr>
      <w:tr>
        <w:trPr>
          <w:trHeight w:val="135"/>
        </w:trPr>
        <w:tc>
          <w:tcPr>
            <w:tcW w:w="1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0033A0"/>
                <w:w w:val="93"/>
              </w:rPr>
              <w:t>Number</w:t>
            </w:r>
          </w:p>
        </w:tc>
        <w:tc>
          <w:tcPr>
            <w:tcW w:w="740" w:type="dxa"/>
            <w:vAlign w:val="bottom"/>
          </w:tcPr>
          <w:p>
            <w:pPr>
              <w:jc w:val="center"/>
              <w:spacing w:after="0" w:line="135" w:lineRule="exact"/>
              <w:rPr>
                <w:sz w:val="20"/>
                <w:szCs w:val="20"/>
                <w:color w:val="auto"/>
              </w:rPr>
            </w:pPr>
            <w:r>
              <w:rPr>
                <w:rFonts w:ascii="Arial" w:cs="Arial" w:eastAsia="Arial" w:hAnsi="Arial"/>
                <w:sz w:val="13"/>
                <w:szCs w:val="13"/>
                <w:b w:val="1"/>
                <w:bCs w:val="1"/>
                <w:color w:val="0033A0"/>
                <w:w w:val="99"/>
              </w:rPr>
              <w:t>Market or</w:t>
            </w:r>
          </w:p>
        </w:tc>
      </w:tr>
      <w:tr>
        <w:trPr>
          <w:trHeight w:val="135"/>
        </w:trPr>
        <w:tc>
          <w:tcPr>
            <w:tcW w:w="1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0033A0"/>
                <w:w w:val="95"/>
              </w:rPr>
              <w:t>Market</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0033A0"/>
                <w:w w:val="81"/>
              </w:rPr>
              <w:t>of</w:t>
            </w:r>
          </w:p>
        </w:tc>
        <w:tc>
          <w:tcPr>
            <w:tcW w:w="740" w:type="dxa"/>
            <w:vAlign w:val="bottom"/>
          </w:tcPr>
          <w:p>
            <w:pPr>
              <w:ind w:left="180"/>
              <w:spacing w:after="0" w:line="135" w:lineRule="exact"/>
              <w:rPr>
                <w:sz w:val="20"/>
                <w:szCs w:val="20"/>
                <w:color w:val="auto"/>
              </w:rPr>
            </w:pPr>
            <w:r>
              <w:rPr>
                <w:rFonts w:ascii="Arial" w:cs="Arial" w:eastAsia="Arial" w:hAnsi="Arial"/>
                <w:sz w:val="13"/>
                <w:szCs w:val="13"/>
                <w:b w:val="1"/>
                <w:bCs w:val="1"/>
                <w:color w:val="0033A0"/>
              </w:rPr>
              <w:t>Payout</w:t>
            </w:r>
          </w:p>
        </w:tc>
      </w:tr>
      <w:tr>
        <w:trPr>
          <w:trHeight w:val="135"/>
        </w:trPr>
        <w:tc>
          <w:tcPr>
            <w:tcW w:w="1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0033A0"/>
                <w:w w:val="94"/>
              </w:rPr>
              <w:t>Value of</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0033A0"/>
                <w:w w:val="96"/>
              </w:rPr>
              <w:t>Unearned</w:t>
            </w:r>
          </w:p>
        </w:tc>
        <w:tc>
          <w:tcPr>
            <w:tcW w:w="740" w:type="dxa"/>
            <w:vAlign w:val="bottom"/>
          </w:tcPr>
          <w:p>
            <w:pPr>
              <w:jc w:val="center"/>
              <w:spacing w:after="0" w:line="135" w:lineRule="exact"/>
              <w:rPr>
                <w:sz w:val="20"/>
                <w:szCs w:val="20"/>
                <w:color w:val="auto"/>
              </w:rPr>
            </w:pPr>
            <w:r>
              <w:rPr>
                <w:rFonts w:ascii="Arial" w:cs="Arial" w:eastAsia="Arial" w:hAnsi="Arial"/>
                <w:sz w:val="13"/>
                <w:szCs w:val="13"/>
                <w:b w:val="1"/>
                <w:bCs w:val="1"/>
                <w:color w:val="0033A0"/>
                <w:w w:val="94"/>
              </w:rPr>
              <w:t>Value of</w:t>
            </w:r>
          </w:p>
        </w:tc>
      </w:tr>
      <w:tr>
        <w:trPr>
          <w:trHeight w:val="135"/>
        </w:trPr>
        <w:tc>
          <w:tcPr>
            <w:tcW w:w="1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0033A0"/>
                <w:w w:val="96"/>
              </w:rPr>
              <w:t>Shares</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0033A0"/>
                <w:w w:val="97"/>
              </w:rPr>
              <w:t>Shares,</w:t>
            </w:r>
          </w:p>
        </w:tc>
        <w:tc>
          <w:tcPr>
            <w:tcW w:w="740" w:type="dxa"/>
            <w:vAlign w:val="bottom"/>
          </w:tcPr>
          <w:p>
            <w:pPr>
              <w:jc w:val="center"/>
              <w:spacing w:after="0" w:line="135" w:lineRule="exact"/>
              <w:rPr>
                <w:sz w:val="20"/>
                <w:szCs w:val="20"/>
                <w:color w:val="auto"/>
              </w:rPr>
            </w:pPr>
            <w:r>
              <w:rPr>
                <w:rFonts w:ascii="Arial" w:cs="Arial" w:eastAsia="Arial" w:hAnsi="Arial"/>
                <w:sz w:val="13"/>
                <w:szCs w:val="13"/>
                <w:b w:val="1"/>
                <w:bCs w:val="1"/>
                <w:color w:val="0033A0"/>
                <w:w w:val="96"/>
              </w:rPr>
              <w:t>Unearned</w:t>
            </w:r>
          </w:p>
        </w:tc>
      </w:tr>
      <w:tr>
        <w:trPr>
          <w:trHeight w:val="144"/>
        </w:trPr>
        <w:tc>
          <w:tcPr>
            <w:tcW w:w="17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jc w:val="center"/>
              <w:spacing w:after="0" w:line="144" w:lineRule="exact"/>
              <w:rPr>
                <w:sz w:val="20"/>
                <w:szCs w:val="20"/>
                <w:color w:val="auto"/>
              </w:rPr>
            </w:pPr>
            <w:r>
              <w:rPr>
                <w:rFonts w:ascii="Arial" w:cs="Arial" w:eastAsia="Arial" w:hAnsi="Arial"/>
                <w:sz w:val="13"/>
                <w:szCs w:val="13"/>
                <w:b w:val="1"/>
                <w:bCs w:val="1"/>
                <w:color w:val="0033A0"/>
                <w:w w:val="95"/>
              </w:rPr>
              <w:t>Number of</w:t>
            </w: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0033A0"/>
                <w:w w:val="91"/>
              </w:rPr>
              <w:t>or</w:t>
            </w: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0033A0"/>
                <w:w w:val="94"/>
              </w:rPr>
              <w:t>Units, or</w:t>
            </w:r>
          </w:p>
        </w:tc>
        <w:tc>
          <w:tcPr>
            <w:tcW w:w="740" w:type="dxa"/>
            <w:vAlign w:val="bottom"/>
          </w:tcPr>
          <w:p>
            <w:pPr>
              <w:jc w:val="center"/>
              <w:spacing w:after="0" w:line="144" w:lineRule="exact"/>
              <w:rPr>
                <w:sz w:val="20"/>
                <w:szCs w:val="20"/>
                <w:color w:val="auto"/>
              </w:rPr>
            </w:pPr>
            <w:r>
              <w:rPr>
                <w:rFonts w:ascii="Arial" w:cs="Arial" w:eastAsia="Arial" w:hAnsi="Arial"/>
                <w:sz w:val="13"/>
                <w:szCs w:val="13"/>
                <w:b w:val="1"/>
                <w:bCs w:val="1"/>
                <w:color w:val="0033A0"/>
                <w:w w:val="97"/>
              </w:rPr>
              <w:t>Shares,</w:t>
            </w:r>
          </w:p>
        </w:tc>
      </w:tr>
      <w:tr>
        <w:trPr>
          <w:trHeight w:val="135"/>
        </w:trPr>
        <w:tc>
          <w:tcPr>
            <w:tcW w:w="1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Arial" w:cs="Arial" w:eastAsia="Arial" w:hAnsi="Arial"/>
                <w:sz w:val="13"/>
                <w:szCs w:val="13"/>
                <w:b w:val="1"/>
                <w:bCs w:val="1"/>
                <w:color w:val="0033A0"/>
                <w:w w:val="98"/>
              </w:rPr>
              <w:t>Number of</w:t>
            </w:r>
          </w:p>
        </w:tc>
        <w:tc>
          <w:tcPr>
            <w:tcW w:w="1320" w:type="dxa"/>
            <w:vAlign w:val="bottom"/>
          </w:tcPr>
          <w:p>
            <w:pPr>
              <w:jc w:val="center"/>
              <w:ind w:right="55"/>
              <w:spacing w:after="0" w:line="135" w:lineRule="exact"/>
              <w:rPr>
                <w:sz w:val="20"/>
                <w:szCs w:val="20"/>
                <w:color w:val="auto"/>
              </w:rPr>
            </w:pPr>
            <w:r>
              <w:rPr>
                <w:rFonts w:ascii="Arial" w:cs="Arial" w:eastAsia="Arial" w:hAnsi="Arial"/>
                <w:sz w:val="13"/>
                <w:szCs w:val="13"/>
                <w:b w:val="1"/>
                <w:bCs w:val="1"/>
                <w:color w:val="0033A0"/>
                <w:w w:val="98"/>
              </w:rPr>
              <w:t>Number of</w:t>
            </w: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Arial" w:cs="Arial" w:eastAsia="Arial" w:hAnsi="Arial"/>
                <w:sz w:val="13"/>
                <w:szCs w:val="13"/>
                <w:b w:val="1"/>
                <w:bCs w:val="1"/>
                <w:color w:val="0033A0"/>
                <w:w w:val="96"/>
              </w:rPr>
              <w:t>Shares or</w:t>
            </w: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0033A0"/>
                <w:w w:val="94"/>
              </w:rPr>
              <w:t>Units of</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0033A0"/>
                <w:w w:val="97"/>
              </w:rPr>
              <w:t>Other</w:t>
            </w:r>
          </w:p>
        </w:tc>
        <w:tc>
          <w:tcPr>
            <w:tcW w:w="740" w:type="dxa"/>
            <w:vAlign w:val="bottom"/>
          </w:tcPr>
          <w:p>
            <w:pPr>
              <w:ind w:left="220"/>
              <w:spacing w:after="0" w:line="135" w:lineRule="exact"/>
              <w:rPr>
                <w:sz w:val="20"/>
                <w:szCs w:val="20"/>
                <w:color w:val="auto"/>
              </w:rPr>
            </w:pPr>
            <w:r>
              <w:rPr>
                <w:rFonts w:ascii="Arial" w:cs="Arial" w:eastAsia="Arial" w:hAnsi="Arial"/>
                <w:sz w:val="13"/>
                <w:szCs w:val="13"/>
                <w:b w:val="1"/>
                <w:bCs w:val="1"/>
                <w:color w:val="0033A0"/>
              </w:rPr>
              <w:t>Units,</w:t>
            </w:r>
          </w:p>
        </w:tc>
      </w:tr>
      <w:tr>
        <w:trPr>
          <w:trHeight w:val="135"/>
        </w:trPr>
        <w:tc>
          <w:tcPr>
            <w:tcW w:w="1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Arial" w:cs="Arial" w:eastAsia="Arial" w:hAnsi="Arial"/>
                <w:sz w:val="13"/>
                <w:szCs w:val="13"/>
                <w:b w:val="1"/>
                <w:bCs w:val="1"/>
                <w:color w:val="0033A0"/>
                <w:w w:val="96"/>
              </w:rPr>
              <w:t>Securities</w:t>
            </w:r>
          </w:p>
        </w:tc>
        <w:tc>
          <w:tcPr>
            <w:tcW w:w="1320" w:type="dxa"/>
            <w:vAlign w:val="bottom"/>
          </w:tcPr>
          <w:p>
            <w:pPr>
              <w:jc w:val="center"/>
              <w:ind w:right="55"/>
              <w:spacing w:after="0" w:line="135" w:lineRule="exact"/>
              <w:rPr>
                <w:sz w:val="20"/>
                <w:szCs w:val="20"/>
                <w:color w:val="auto"/>
              </w:rPr>
            </w:pPr>
            <w:r>
              <w:rPr>
                <w:rFonts w:ascii="Arial" w:cs="Arial" w:eastAsia="Arial" w:hAnsi="Arial"/>
                <w:sz w:val="13"/>
                <w:szCs w:val="13"/>
                <w:b w:val="1"/>
                <w:bCs w:val="1"/>
                <w:color w:val="0033A0"/>
                <w:w w:val="96"/>
              </w:rPr>
              <w:t>Securities</w:t>
            </w: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Arial" w:cs="Arial" w:eastAsia="Arial" w:hAnsi="Arial"/>
                <w:sz w:val="13"/>
                <w:szCs w:val="13"/>
                <w:b w:val="1"/>
                <w:bCs w:val="1"/>
                <w:color w:val="0033A0"/>
                <w:w w:val="94"/>
              </w:rPr>
              <w:t>Units of</w:t>
            </w: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0033A0"/>
                <w:w w:val="95"/>
              </w:rPr>
              <w:t>Stock</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0033A0"/>
                <w:w w:val="93"/>
              </w:rPr>
              <w:t>Rights</w:t>
            </w:r>
          </w:p>
        </w:tc>
        <w:tc>
          <w:tcPr>
            <w:tcW w:w="740" w:type="dxa"/>
            <w:vAlign w:val="bottom"/>
          </w:tcPr>
          <w:p>
            <w:pPr>
              <w:jc w:val="center"/>
              <w:spacing w:after="0" w:line="135" w:lineRule="exact"/>
              <w:rPr>
                <w:sz w:val="20"/>
                <w:szCs w:val="20"/>
                <w:color w:val="auto"/>
              </w:rPr>
            </w:pPr>
            <w:r>
              <w:rPr>
                <w:rFonts w:ascii="Arial" w:cs="Arial" w:eastAsia="Arial" w:hAnsi="Arial"/>
                <w:sz w:val="13"/>
                <w:szCs w:val="13"/>
                <w:b w:val="1"/>
                <w:bCs w:val="1"/>
                <w:color w:val="0033A0"/>
                <w:w w:val="97"/>
              </w:rPr>
              <w:t>or Other</w:t>
            </w:r>
          </w:p>
        </w:tc>
      </w:tr>
      <w:tr>
        <w:trPr>
          <w:trHeight w:val="135"/>
        </w:trPr>
        <w:tc>
          <w:tcPr>
            <w:tcW w:w="1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Arial" w:cs="Arial" w:eastAsia="Arial" w:hAnsi="Arial"/>
                <w:sz w:val="13"/>
                <w:szCs w:val="13"/>
                <w:b w:val="1"/>
                <w:bCs w:val="1"/>
                <w:color w:val="0033A0"/>
                <w:w w:val="94"/>
              </w:rPr>
              <w:t>Underlying</w:t>
            </w:r>
          </w:p>
        </w:tc>
        <w:tc>
          <w:tcPr>
            <w:tcW w:w="1320" w:type="dxa"/>
            <w:vAlign w:val="bottom"/>
          </w:tcPr>
          <w:p>
            <w:pPr>
              <w:jc w:val="center"/>
              <w:ind w:right="35"/>
              <w:spacing w:after="0" w:line="135" w:lineRule="exact"/>
              <w:rPr>
                <w:sz w:val="20"/>
                <w:szCs w:val="20"/>
                <w:color w:val="auto"/>
              </w:rPr>
            </w:pPr>
            <w:r>
              <w:rPr>
                <w:rFonts w:ascii="Arial" w:cs="Arial" w:eastAsia="Arial" w:hAnsi="Arial"/>
                <w:sz w:val="13"/>
                <w:szCs w:val="13"/>
                <w:b w:val="1"/>
                <w:bCs w:val="1"/>
                <w:color w:val="0033A0"/>
                <w:w w:val="97"/>
              </w:rPr>
              <w:t>Underlying</w:t>
            </w:r>
          </w:p>
        </w:tc>
        <w:tc>
          <w:tcPr>
            <w:tcW w:w="620" w:type="dxa"/>
            <w:vAlign w:val="bottom"/>
          </w:tcPr>
          <w:p>
            <w:pPr>
              <w:jc w:val="center"/>
              <w:ind w:right="34"/>
              <w:spacing w:after="0" w:line="135" w:lineRule="exact"/>
              <w:rPr>
                <w:sz w:val="20"/>
                <w:szCs w:val="20"/>
                <w:color w:val="auto"/>
              </w:rPr>
            </w:pPr>
            <w:r>
              <w:rPr>
                <w:rFonts w:ascii="Arial" w:cs="Arial" w:eastAsia="Arial" w:hAnsi="Arial"/>
                <w:sz w:val="13"/>
                <w:szCs w:val="13"/>
                <w:b w:val="1"/>
                <w:bCs w:val="1"/>
                <w:color w:val="0033A0"/>
                <w:w w:val="95"/>
              </w:rPr>
              <w:t>Option</w:t>
            </w:r>
          </w:p>
        </w:tc>
        <w:tc>
          <w:tcPr>
            <w:tcW w:w="86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Arial" w:cs="Arial" w:eastAsia="Arial" w:hAnsi="Arial"/>
                <w:sz w:val="13"/>
                <w:szCs w:val="13"/>
                <w:b w:val="1"/>
                <w:bCs w:val="1"/>
                <w:color w:val="0033A0"/>
                <w:w w:val="96"/>
              </w:rPr>
              <w:t>Stock That</w:t>
            </w: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0033A0"/>
                <w:w w:val="94"/>
              </w:rPr>
              <w:t>That</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0033A0"/>
                <w:w w:val="94"/>
              </w:rPr>
              <w:t>That</w:t>
            </w:r>
          </w:p>
        </w:tc>
        <w:tc>
          <w:tcPr>
            <w:tcW w:w="740" w:type="dxa"/>
            <w:vAlign w:val="bottom"/>
          </w:tcPr>
          <w:p>
            <w:pPr>
              <w:ind w:left="200"/>
              <w:spacing w:after="0" w:line="135" w:lineRule="exact"/>
              <w:rPr>
                <w:sz w:val="20"/>
                <w:szCs w:val="20"/>
                <w:color w:val="auto"/>
              </w:rPr>
            </w:pPr>
            <w:r>
              <w:rPr>
                <w:rFonts w:ascii="Arial" w:cs="Arial" w:eastAsia="Arial" w:hAnsi="Arial"/>
                <w:sz w:val="13"/>
                <w:szCs w:val="13"/>
                <w:b w:val="1"/>
                <w:bCs w:val="1"/>
                <w:color w:val="0033A0"/>
              </w:rPr>
              <w:t>Rights</w:t>
            </w:r>
          </w:p>
        </w:tc>
      </w:tr>
      <w:tr>
        <w:trPr>
          <w:trHeight w:val="135"/>
        </w:trPr>
        <w:tc>
          <w:tcPr>
            <w:tcW w:w="1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Arial" w:cs="Arial" w:eastAsia="Arial" w:hAnsi="Arial"/>
                <w:sz w:val="13"/>
                <w:szCs w:val="13"/>
                <w:b w:val="1"/>
                <w:bCs w:val="1"/>
                <w:color w:val="0033A0"/>
                <w:w w:val="98"/>
              </w:rPr>
              <w:t>Unexercised</w:t>
            </w:r>
          </w:p>
        </w:tc>
        <w:tc>
          <w:tcPr>
            <w:tcW w:w="1320" w:type="dxa"/>
            <w:vAlign w:val="bottom"/>
          </w:tcPr>
          <w:p>
            <w:pPr>
              <w:jc w:val="center"/>
              <w:ind w:right="55"/>
              <w:spacing w:after="0" w:line="135" w:lineRule="exact"/>
              <w:rPr>
                <w:sz w:val="20"/>
                <w:szCs w:val="20"/>
                <w:color w:val="auto"/>
              </w:rPr>
            </w:pPr>
            <w:r>
              <w:rPr>
                <w:rFonts w:ascii="Arial" w:cs="Arial" w:eastAsia="Arial" w:hAnsi="Arial"/>
                <w:sz w:val="13"/>
                <w:szCs w:val="13"/>
                <w:b w:val="1"/>
                <w:bCs w:val="1"/>
                <w:color w:val="0033A0"/>
                <w:w w:val="98"/>
              </w:rPr>
              <w:t>Unexercised</w:t>
            </w:r>
          </w:p>
        </w:tc>
        <w:tc>
          <w:tcPr>
            <w:tcW w:w="620" w:type="dxa"/>
            <w:vAlign w:val="bottom"/>
          </w:tcPr>
          <w:p>
            <w:pPr>
              <w:jc w:val="center"/>
              <w:ind w:right="34"/>
              <w:spacing w:after="0" w:line="135" w:lineRule="exact"/>
              <w:rPr>
                <w:sz w:val="20"/>
                <w:szCs w:val="20"/>
                <w:color w:val="auto"/>
              </w:rPr>
            </w:pPr>
            <w:r>
              <w:rPr>
                <w:rFonts w:ascii="Arial" w:cs="Arial" w:eastAsia="Arial" w:hAnsi="Arial"/>
                <w:sz w:val="13"/>
                <w:szCs w:val="13"/>
                <w:b w:val="1"/>
                <w:bCs w:val="1"/>
                <w:color w:val="0033A0"/>
                <w:w w:val="97"/>
              </w:rPr>
              <w:t>Exercise</w:t>
            </w:r>
          </w:p>
        </w:tc>
        <w:tc>
          <w:tcPr>
            <w:tcW w:w="860" w:type="dxa"/>
            <w:vAlign w:val="bottom"/>
          </w:tcPr>
          <w:p>
            <w:pPr>
              <w:jc w:val="center"/>
              <w:spacing w:after="0" w:line="135" w:lineRule="exact"/>
              <w:rPr>
                <w:sz w:val="20"/>
                <w:szCs w:val="20"/>
                <w:color w:val="auto"/>
              </w:rPr>
            </w:pPr>
            <w:r>
              <w:rPr>
                <w:rFonts w:ascii="Arial" w:cs="Arial" w:eastAsia="Arial" w:hAnsi="Arial"/>
                <w:sz w:val="13"/>
                <w:szCs w:val="13"/>
                <w:b w:val="1"/>
                <w:bCs w:val="1"/>
                <w:color w:val="0033A0"/>
                <w:w w:val="95"/>
              </w:rPr>
              <w:t>Option</w:t>
            </w:r>
          </w:p>
        </w:tc>
        <w:tc>
          <w:tcPr>
            <w:tcW w:w="860" w:type="dxa"/>
            <w:vAlign w:val="bottom"/>
          </w:tcPr>
          <w:p>
            <w:pPr>
              <w:jc w:val="center"/>
              <w:spacing w:after="0" w:line="135" w:lineRule="exact"/>
              <w:rPr>
                <w:sz w:val="20"/>
                <w:szCs w:val="20"/>
                <w:color w:val="auto"/>
              </w:rPr>
            </w:pPr>
            <w:r>
              <w:rPr>
                <w:rFonts w:ascii="Arial" w:cs="Arial" w:eastAsia="Arial" w:hAnsi="Arial"/>
                <w:sz w:val="13"/>
                <w:szCs w:val="13"/>
                <w:b w:val="1"/>
                <w:bCs w:val="1"/>
                <w:color w:val="0033A0"/>
                <w:w w:val="95"/>
              </w:rPr>
              <w:t>Have Not</w:t>
            </w: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0033A0"/>
                <w:w w:val="95"/>
              </w:rPr>
              <w:t>Have Not</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0033A0"/>
                <w:w w:val="96"/>
              </w:rPr>
              <w:t>Have</w:t>
            </w:r>
          </w:p>
        </w:tc>
        <w:tc>
          <w:tcPr>
            <w:tcW w:w="740" w:type="dxa"/>
            <w:vAlign w:val="bottom"/>
          </w:tcPr>
          <w:p>
            <w:pPr>
              <w:jc w:val="center"/>
              <w:spacing w:after="0" w:line="135" w:lineRule="exact"/>
              <w:rPr>
                <w:sz w:val="20"/>
                <w:szCs w:val="20"/>
                <w:color w:val="auto"/>
              </w:rPr>
            </w:pPr>
            <w:r>
              <w:rPr>
                <w:rFonts w:ascii="Arial" w:cs="Arial" w:eastAsia="Arial" w:hAnsi="Arial"/>
                <w:sz w:val="13"/>
                <w:szCs w:val="13"/>
                <w:b w:val="1"/>
                <w:bCs w:val="1"/>
                <w:color w:val="0033A0"/>
                <w:w w:val="94"/>
              </w:rPr>
              <w:t>That</w:t>
            </w:r>
          </w:p>
        </w:tc>
      </w:tr>
      <w:tr>
        <w:trPr>
          <w:trHeight w:val="135"/>
        </w:trPr>
        <w:tc>
          <w:tcPr>
            <w:tcW w:w="1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20" w:type="dxa"/>
            <w:vAlign w:val="bottom"/>
          </w:tcPr>
          <w:p>
            <w:pPr>
              <w:jc w:val="right"/>
              <w:ind w:right="293"/>
              <w:spacing w:after="0" w:line="135" w:lineRule="exact"/>
              <w:rPr>
                <w:sz w:val="20"/>
                <w:szCs w:val="20"/>
                <w:color w:val="auto"/>
              </w:rPr>
            </w:pPr>
            <w:r>
              <w:rPr>
                <w:rFonts w:ascii="Arial" w:cs="Arial" w:eastAsia="Arial" w:hAnsi="Arial"/>
                <w:sz w:val="13"/>
                <w:szCs w:val="13"/>
                <w:b w:val="1"/>
                <w:bCs w:val="1"/>
                <w:color w:val="0033A0"/>
              </w:rPr>
              <w:t>Award</w:t>
            </w:r>
          </w:p>
        </w:tc>
        <w:tc>
          <w:tcPr>
            <w:tcW w:w="1120" w:type="dxa"/>
            <w:vAlign w:val="bottom"/>
          </w:tcPr>
          <w:p>
            <w:pPr>
              <w:jc w:val="center"/>
              <w:spacing w:after="0" w:line="135" w:lineRule="exact"/>
              <w:rPr>
                <w:sz w:val="20"/>
                <w:szCs w:val="20"/>
                <w:color w:val="auto"/>
              </w:rPr>
            </w:pPr>
            <w:r>
              <w:rPr>
                <w:rFonts w:ascii="Arial" w:cs="Arial" w:eastAsia="Arial" w:hAnsi="Arial"/>
                <w:sz w:val="13"/>
                <w:szCs w:val="13"/>
                <w:b w:val="1"/>
                <w:bCs w:val="1"/>
                <w:color w:val="0033A0"/>
                <w:w w:val="97"/>
              </w:rPr>
              <w:t>Options</w:t>
            </w:r>
          </w:p>
        </w:tc>
        <w:tc>
          <w:tcPr>
            <w:tcW w:w="1320" w:type="dxa"/>
            <w:vAlign w:val="bottom"/>
          </w:tcPr>
          <w:p>
            <w:pPr>
              <w:jc w:val="center"/>
              <w:ind w:right="55"/>
              <w:spacing w:after="0" w:line="135" w:lineRule="exact"/>
              <w:rPr>
                <w:sz w:val="20"/>
                <w:szCs w:val="20"/>
                <w:color w:val="auto"/>
              </w:rPr>
            </w:pPr>
            <w:r>
              <w:rPr>
                <w:rFonts w:ascii="Arial" w:cs="Arial" w:eastAsia="Arial" w:hAnsi="Arial"/>
                <w:sz w:val="13"/>
                <w:szCs w:val="13"/>
                <w:b w:val="1"/>
                <w:bCs w:val="1"/>
                <w:color w:val="0033A0"/>
                <w:w w:val="97"/>
              </w:rPr>
              <w:t>Options</w:t>
            </w:r>
          </w:p>
        </w:tc>
        <w:tc>
          <w:tcPr>
            <w:tcW w:w="620" w:type="dxa"/>
            <w:vAlign w:val="bottom"/>
          </w:tcPr>
          <w:p>
            <w:pPr>
              <w:jc w:val="center"/>
              <w:ind w:right="34"/>
              <w:spacing w:after="0" w:line="135" w:lineRule="exact"/>
              <w:rPr>
                <w:sz w:val="20"/>
                <w:szCs w:val="20"/>
                <w:color w:val="auto"/>
              </w:rPr>
            </w:pPr>
            <w:r>
              <w:rPr>
                <w:rFonts w:ascii="Arial" w:cs="Arial" w:eastAsia="Arial" w:hAnsi="Arial"/>
                <w:sz w:val="13"/>
                <w:szCs w:val="13"/>
                <w:b w:val="1"/>
                <w:bCs w:val="1"/>
                <w:color w:val="0033A0"/>
                <w:w w:val="99"/>
              </w:rPr>
              <w:t>Price</w:t>
            </w:r>
            <w:r>
              <w:rPr>
                <w:rFonts w:ascii="Arial" w:cs="Arial" w:eastAsia="Arial" w:hAnsi="Arial"/>
                <w:sz w:val="10"/>
                <w:szCs w:val="10"/>
                <w:b w:val="1"/>
                <w:bCs w:val="1"/>
                <w:color w:val="0033A0"/>
                <w:w w:val="99"/>
              </w:rPr>
              <w:t>(1)</w:t>
            </w:r>
          </w:p>
        </w:tc>
        <w:tc>
          <w:tcPr>
            <w:tcW w:w="860" w:type="dxa"/>
            <w:vAlign w:val="bottom"/>
          </w:tcPr>
          <w:p>
            <w:pPr>
              <w:jc w:val="center"/>
              <w:spacing w:after="0" w:line="135" w:lineRule="exact"/>
              <w:rPr>
                <w:sz w:val="20"/>
                <w:szCs w:val="20"/>
                <w:color w:val="auto"/>
              </w:rPr>
            </w:pPr>
            <w:r>
              <w:rPr>
                <w:rFonts w:ascii="Arial" w:cs="Arial" w:eastAsia="Arial" w:hAnsi="Arial"/>
                <w:sz w:val="13"/>
                <w:szCs w:val="13"/>
                <w:b w:val="1"/>
                <w:bCs w:val="1"/>
                <w:color w:val="0033A0"/>
                <w:w w:val="97"/>
              </w:rPr>
              <w:t>Expiration</w:t>
            </w:r>
          </w:p>
        </w:tc>
        <w:tc>
          <w:tcPr>
            <w:tcW w:w="860" w:type="dxa"/>
            <w:vAlign w:val="bottom"/>
          </w:tcPr>
          <w:p>
            <w:pPr>
              <w:jc w:val="center"/>
              <w:spacing w:after="0" w:line="135" w:lineRule="exact"/>
              <w:rPr>
                <w:sz w:val="20"/>
                <w:szCs w:val="20"/>
                <w:color w:val="auto"/>
              </w:rPr>
            </w:pPr>
            <w:r>
              <w:rPr>
                <w:rFonts w:ascii="Arial" w:cs="Arial" w:eastAsia="Arial" w:hAnsi="Arial"/>
                <w:sz w:val="13"/>
                <w:szCs w:val="13"/>
                <w:b w:val="1"/>
                <w:bCs w:val="1"/>
                <w:color w:val="0033A0"/>
                <w:w w:val="98"/>
              </w:rPr>
              <w:t>Vested</w:t>
            </w:r>
            <w:r>
              <w:rPr>
                <w:rFonts w:ascii="Arial" w:cs="Arial" w:eastAsia="Arial" w:hAnsi="Arial"/>
                <w:sz w:val="10"/>
                <w:szCs w:val="10"/>
                <w:b w:val="1"/>
                <w:bCs w:val="1"/>
                <w:color w:val="0033A0"/>
                <w:w w:val="98"/>
              </w:rPr>
              <w:t>(2)</w:t>
            </w: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0033A0"/>
                <w:w w:val="98"/>
              </w:rPr>
              <w:t>Vested</w:t>
            </w:r>
            <w:r>
              <w:rPr>
                <w:rFonts w:ascii="Arial" w:cs="Arial" w:eastAsia="Arial" w:hAnsi="Arial"/>
                <w:sz w:val="10"/>
                <w:szCs w:val="10"/>
                <w:b w:val="1"/>
                <w:bCs w:val="1"/>
                <w:color w:val="0033A0"/>
                <w:w w:val="98"/>
              </w:rPr>
              <w:t>(3)</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0033A0"/>
              </w:rPr>
              <w:t>Not</w:t>
            </w:r>
          </w:p>
        </w:tc>
        <w:tc>
          <w:tcPr>
            <w:tcW w:w="740" w:type="dxa"/>
            <w:vAlign w:val="bottom"/>
          </w:tcPr>
          <w:p>
            <w:pPr>
              <w:jc w:val="center"/>
              <w:spacing w:after="0" w:line="135" w:lineRule="exact"/>
              <w:rPr>
                <w:sz w:val="20"/>
                <w:szCs w:val="20"/>
                <w:color w:val="auto"/>
              </w:rPr>
            </w:pPr>
            <w:r>
              <w:rPr>
                <w:rFonts w:ascii="Arial" w:cs="Arial" w:eastAsia="Arial" w:hAnsi="Arial"/>
                <w:sz w:val="13"/>
                <w:szCs w:val="13"/>
                <w:b w:val="1"/>
                <w:bCs w:val="1"/>
                <w:color w:val="0033A0"/>
                <w:w w:val="95"/>
              </w:rPr>
              <w:t>Have Not</w:t>
            </w:r>
          </w:p>
        </w:tc>
      </w:tr>
      <w:tr>
        <w:trPr>
          <w:trHeight w:val="162"/>
        </w:trPr>
        <w:tc>
          <w:tcPr>
            <w:tcW w:w="2840" w:type="dxa"/>
            <w:vAlign w:val="bottom"/>
            <w:tcBorders>
              <w:bottom w:val="single" w:sz="8" w:color="0033A0"/>
            </w:tcBorders>
            <w:gridSpan w:val="2"/>
          </w:tcPr>
          <w:p>
            <w:pPr>
              <w:ind w:left="60"/>
              <w:spacing w:after="0"/>
              <w:rPr>
                <w:sz w:val="20"/>
                <w:szCs w:val="20"/>
                <w:color w:val="auto"/>
              </w:rPr>
            </w:pPr>
            <w:r>
              <w:rPr>
                <w:rFonts w:ascii="Arial" w:cs="Arial" w:eastAsia="Arial" w:hAnsi="Arial"/>
                <w:sz w:val="13"/>
                <w:szCs w:val="13"/>
                <w:b w:val="1"/>
                <w:bCs w:val="1"/>
                <w:color w:val="0033A0"/>
              </w:rPr>
              <w:t>Name</w:t>
            </w:r>
          </w:p>
        </w:tc>
        <w:tc>
          <w:tcPr>
            <w:tcW w:w="1020" w:type="dxa"/>
            <w:vAlign w:val="bottom"/>
            <w:tcBorders>
              <w:bottom w:val="single" w:sz="8" w:color="0033A0"/>
            </w:tcBorders>
          </w:tcPr>
          <w:p>
            <w:pPr>
              <w:jc w:val="right"/>
              <w:ind w:right="333"/>
              <w:spacing w:after="0"/>
              <w:rPr>
                <w:sz w:val="20"/>
                <w:szCs w:val="20"/>
                <w:color w:val="auto"/>
              </w:rPr>
            </w:pPr>
            <w:r>
              <w:rPr>
                <w:rFonts w:ascii="Arial" w:cs="Arial" w:eastAsia="Arial" w:hAnsi="Arial"/>
                <w:sz w:val="13"/>
                <w:szCs w:val="13"/>
                <w:b w:val="1"/>
                <w:bCs w:val="1"/>
                <w:color w:val="0033A0"/>
              </w:rPr>
              <w:t>Type</w:t>
            </w:r>
          </w:p>
        </w:tc>
        <w:tc>
          <w:tcPr>
            <w:tcW w:w="1120" w:type="dxa"/>
            <w:vAlign w:val="bottom"/>
            <w:tcBorders>
              <w:bottom w:val="single" w:sz="8" w:color="0033A0"/>
            </w:tcBorders>
          </w:tcPr>
          <w:p>
            <w:pPr>
              <w:jc w:val="center"/>
              <w:spacing w:after="0"/>
              <w:rPr>
                <w:sz w:val="20"/>
                <w:szCs w:val="20"/>
                <w:color w:val="auto"/>
              </w:rPr>
            </w:pPr>
            <w:r>
              <w:rPr>
                <w:rFonts w:ascii="Arial" w:cs="Arial" w:eastAsia="Arial" w:hAnsi="Arial"/>
                <w:sz w:val="13"/>
                <w:szCs w:val="13"/>
                <w:b w:val="1"/>
                <w:bCs w:val="1"/>
                <w:color w:val="0033A0"/>
                <w:w w:val="95"/>
              </w:rPr>
              <w:t>(#)Exercisable</w:t>
            </w:r>
          </w:p>
        </w:tc>
        <w:tc>
          <w:tcPr>
            <w:tcW w:w="1320" w:type="dxa"/>
            <w:vAlign w:val="bottom"/>
            <w:tcBorders>
              <w:bottom w:val="single" w:sz="8" w:color="0033A0"/>
            </w:tcBorders>
          </w:tcPr>
          <w:p>
            <w:pPr>
              <w:jc w:val="right"/>
              <w:ind w:right="155"/>
              <w:spacing w:after="0"/>
              <w:rPr>
                <w:sz w:val="20"/>
                <w:szCs w:val="20"/>
                <w:color w:val="auto"/>
              </w:rPr>
            </w:pPr>
            <w:r>
              <w:rPr>
                <w:rFonts w:ascii="Arial" w:cs="Arial" w:eastAsia="Arial" w:hAnsi="Arial"/>
                <w:sz w:val="13"/>
                <w:szCs w:val="13"/>
                <w:b w:val="1"/>
                <w:bCs w:val="1"/>
                <w:color w:val="0033A0"/>
              </w:rPr>
              <w:t>(#)Unexercisable</w:t>
            </w:r>
          </w:p>
        </w:tc>
        <w:tc>
          <w:tcPr>
            <w:tcW w:w="620" w:type="dxa"/>
            <w:vAlign w:val="bottom"/>
            <w:tcBorders>
              <w:bottom w:val="single" w:sz="8" w:color="0033A0"/>
            </w:tcBorders>
          </w:tcPr>
          <w:p>
            <w:pPr>
              <w:ind w:left="180"/>
              <w:spacing w:after="0"/>
              <w:rPr>
                <w:sz w:val="20"/>
                <w:szCs w:val="20"/>
                <w:color w:val="auto"/>
              </w:rPr>
            </w:pPr>
            <w:r>
              <w:rPr>
                <w:rFonts w:ascii="Arial" w:cs="Arial" w:eastAsia="Arial" w:hAnsi="Arial"/>
                <w:sz w:val="13"/>
                <w:szCs w:val="13"/>
                <w:b w:val="1"/>
                <w:bCs w:val="1"/>
                <w:color w:val="0033A0"/>
              </w:rPr>
              <w:t>($)</w:t>
            </w:r>
          </w:p>
        </w:tc>
        <w:tc>
          <w:tcPr>
            <w:tcW w:w="860" w:type="dxa"/>
            <w:vAlign w:val="bottom"/>
            <w:tcBorders>
              <w:bottom w:val="single" w:sz="8" w:color="0033A0"/>
            </w:tcBorders>
          </w:tcPr>
          <w:p>
            <w:pPr>
              <w:jc w:val="center"/>
              <w:spacing w:after="0"/>
              <w:rPr>
                <w:sz w:val="20"/>
                <w:szCs w:val="20"/>
                <w:color w:val="auto"/>
              </w:rPr>
            </w:pPr>
            <w:r>
              <w:rPr>
                <w:rFonts w:ascii="Arial" w:cs="Arial" w:eastAsia="Arial" w:hAnsi="Arial"/>
                <w:sz w:val="13"/>
                <w:szCs w:val="13"/>
                <w:b w:val="1"/>
                <w:bCs w:val="1"/>
                <w:color w:val="0033A0"/>
                <w:w w:val="99"/>
              </w:rPr>
              <w:t>Date</w:t>
            </w:r>
          </w:p>
        </w:tc>
        <w:tc>
          <w:tcPr>
            <w:tcW w:w="860" w:type="dxa"/>
            <w:vAlign w:val="bottom"/>
            <w:tcBorders>
              <w:bottom w:val="single" w:sz="8" w:color="0033A0"/>
            </w:tcBorders>
          </w:tcPr>
          <w:p>
            <w:pPr>
              <w:jc w:val="center"/>
              <w:spacing w:after="0"/>
              <w:rPr>
                <w:sz w:val="20"/>
                <w:szCs w:val="20"/>
                <w:color w:val="auto"/>
              </w:rPr>
            </w:pPr>
            <w:r>
              <w:rPr>
                <w:rFonts w:ascii="Arial" w:cs="Arial" w:eastAsia="Arial" w:hAnsi="Arial"/>
                <w:sz w:val="13"/>
                <w:szCs w:val="13"/>
                <w:b w:val="1"/>
                <w:bCs w:val="1"/>
                <w:color w:val="0033A0"/>
              </w:rPr>
              <w:t>(#)</w:t>
            </w:r>
          </w:p>
        </w:tc>
        <w:tc>
          <w:tcPr>
            <w:tcW w:w="840" w:type="dxa"/>
            <w:vAlign w:val="bottom"/>
            <w:tcBorders>
              <w:bottom w:val="single" w:sz="8" w:color="0033A0"/>
            </w:tcBorders>
          </w:tcPr>
          <w:p>
            <w:pPr>
              <w:jc w:val="center"/>
              <w:spacing w:after="0"/>
              <w:rPr>
                <w:sz w:val="20"/>
                <w:szCs w:val="20"/>
                <w:color w:val="auto"/>
              </w:rPr>
            </w:pPr>
            <w:r>
              <w:rPr>
                <w:rFonts w:ascii="Arial" w:cs="Arial" w:eastAsia="Arial" w:hAnsi="Arial"/>
                <w:sz w:val="13"/>
                <w:szCs w:val="13"/>
                <w:b w:val="1"/>
                <w:bCs w:val="1"/>
                <w:color w:val="0033A0"/>
              </w:rPr>
              <w:t>($)</w:t>
            </w:r>
          </w:p>
        </w:tc>
        <w:tc>
          <w:tcPr>
            <w:tcW w:w="800" w:type="dxa"/>
            <w:vAlign w:val="bottom"/>
            <w:tcBorders>
              <w:bottom w:val="single" w:sz="8" w:color="0033A0"/>
            </w:tcBorders>
          </w:tcPr>
          <w:p>
            <w:pPr>
              <w:jc w:val="center"/>
              <w:spacing w:after="0"/>
              <w:rPr>
                <w:sz w:val="20"/>
                <w:szCs w:val="20"/>
                <w:color w:val="auto"/>
              </w:rPr>
            </w:pPr>
            <w:r>
              <w:rPr>
                <w:rFonts w:ascii="Arial" w:cs="Arial" w:eastAsia="Arial" w:hAnsi="Arial"/>
                <w:sz w:val="13"/>
                <w:szCs w:val="13"/>
                <w:b w:val="1"/>
                <w:bCs w:val="1"/>
                <w:color w:val="0033A0"/>
                <w:w w:val="98"/>
              </w:rPr>
              <w:t>Vested</w:t>
            </w:r>
          </w:p>
        </w:tc>
        <w:tc>
          <w:tcPr>
            <w:tcW w:w="740" w:type="dxa"/>
            <w:vAlign w:val="bottom"/>
            <w:tcBorders>
              <w:bottom w:val="single" w:sz="8" w:color="0033A0"/>
            </w:tcBorders>
          </w:tcPr>
          <w:p>
            <w:pPr>
              <w:jc w:val="center"/>
              <w:spacing w:after="0"/>
              <w:rPr>
                <w:sz w:val="20"/>
                <w:szCs w:val="20"/>
                <w:color w:val="auto"/>
              </w:rPr>
            </w:pPr>
            <w:r>
              <w:rPr>
                <w:rFonts w:ascii="Arial" w:cs="Arial" w:eastAsia="Arial" w:hAnsi="Arial"/>
                <w:sz w:val="13"/>
                <w:szCs w:val="13"/>
                <w:b w:val="1"/>
                <w:bCs w:val="1"/>
                <w:color w:val="0033A0"/>
                <w:w w:val="98"/>
              </w:rPr>
              <w:t>Vested</w:t>
            </w:r>
            <w:r>
              <w:rPr>
                <w:rFonts w:ascii="Arial" w:cs="Arial" w:eastAsia="Arial" w:hAnsi="Arial"/>
                <w:sz w:val="10"/>
                <w:szCs w:val="10"/>
                <w:b w:val="1"/>
                <w:bCs w:val="1"/>
                <w:color w:val="0033A0"/>
                <w:w w:val="98"/>
              </w:rPr>
              <w:t>(4)</w:t>
            </w:r>
          </w:p>
        </w:tc>
      </w:tr>
      <w:tr>
        <w:trPr>
          <w:trHeight w:val="182"/>
        </w:trPr>
        <w:tc>
          <w:tcPr>
            <w:tcW w:w="2840" w:type="dxa"/>
            <w:vAlign w:val="bottom"/>
            <w:gridSpan w:val="2"/>
          </w:tcPr>
          <w:p>
            <w:pPr>
              <w:ind w:left="60"/>
              <w:spacing w:after="0"/>
              <w:rPr>
                <w:sz w:val="20"/>
                <w:szCs w:val="20"/>
                <w:color w:val="auto"/>
              </w:rPr>
            </w:pPr>
            <w:r>
              <w:rPr>
                <w:rFonts w:ascii="Arial" w:cs="Arial" w:eastAsia="Arial" w:hAnsi="Arial"/>
                <w:sz w:val="14"/>
                <w:szCs w:val="14"/>
                <w:color w:val="auto"/>
              </w:rPr>
              <w:t>McAlister C. Marshall, II</w:t>
            </w:r>
          </w:p>
        </w:tc>
        <w:tc>
          <w:tcPr>
            <w:tcW w:w="10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03"/>
        </w:trPr>
        <w:tc>
          <w:tcPr>
            <w:tcW w:w="1740" w:type="dxa"/>
            <w:vAlign w:val="bottom"/>
          </w:tcPr>
          <w:p>
            <w:pPr>
              <w:ind w:left="60"/>
              <w:spacing w:after="0"/>
              <w:rPr>
                <w:sz w:val="20"/>
                <w:szCs w:val="20"/>
                <w:color w:val="auto"/>
              </w:rPr>
            </w:pPr>
            <w:r>
              <w:rPr>
                <w:rFonts w:ascii="Arial" w:cs="Arial" w:eastAsia="Arial" w:hAnsi="Arial"/>
                <w:sz w:val="14"/>
                <w:szCs w:val="14"/>
                <w:color w:val="auto"/>
              </w:rPr>
              <w:t>02/24/2016</w:t>
            </w:r>
          </w:p>
        </w:tc>
        <w:tc>
          <w:tcPr>
            <w:tcW w:w="1100" w:type="dxa"/>
            <w:vAlign w:val="bottom"/>
          </w:tcPr>
          <w:p>
            <w:pPr>
              <w:spacing w:after="0"/>
              <w:rPr>
                <w:sz w:val="17"/>
                <w:szCs w:val="17"/>
                <w:color w:val="auto"/>
              </w:rPr>
            </w:pPr>
          </w:p>
        </w:tc>
        <w:tc>
          <w:tcPr>
            <w:tcW w:w="1020" w:type="dxa"/>
            <w:vAlign w:val="bottom"/>
          </w:tcPr>
          <w:p>
            <w:pPr>
              <w:jc w:val="right"/>
              <w:ind w:right="153"/>
              <w:spacing w:after="0"/>
              <w:rPr>
                <w:sz w:val="20"/>
                <w:szCs w:val="20"/>
                <w:color w:val="auto"/>
              </w:rPr>
            </w:pPr>
            <w:r>
              <w:rPr>
                <w:rFonts w:ascii="Arial" w:cs="Arial" w:eastAsia="Arial" w:hAnsi="Arial"/>
                <w:sz w:val="14"/>
                <w:szCs w:val="14"/>
                <w:color w:val="auto"/>
              </w:rPr>
              <w:t>IM PSU</w:t>
            </w:r>
          </w:p>
        </w:tc>
        <w:tc>
          <w:tcPr>
            <w:tcW w:w="1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0" w:type="dxa"/>
            <w:vAlign w:val="bottom"/>
          </w:tcPr>
          <w:p>
            <w:pPr>
              <w:jc w:val="right"/>
              <w:ind w:right="55"/>
              <w:spacing w:after="0"/>
              <w:rPr>
                <w:sz w:val="20"/>
                <w:szCs w:val="20"/>
                <w:color w:val="auto"/>
              </w:rPr>
            </w:pPr>
            <w:r>
              <w:rPr>
                <w:rFonts w:ascii="Arial" w:cs="Arial" w:eastAsia="Arial" w:hAnsi="Arial"/>
                <w:sz w:val="14"/>
                <w:szCs w:val="14"/>
                <w:color w:val="auto"/>
              </w:rPr>
              <w:t>7,466</w:t>
            </w:r>
          </w:p>
        </w:tc>
        <w:tc>
          <w:tcPr>
            <w:tcW w:w="740" w:type="dxa"/>
            <w:vAlign w:val="bottom"/>
          </w:tcPr>
          <w:p>
            <w:pPr>
              <w:ind w:left="200"/>
              <w:spacing w:after="0"/>
              <w:rPr>
                <w:sz w:val="20"/>
                <w:szCs w:val="20"/>
                <w:color w:val="auto"/>
              </w:rPr>
            </w:pPr>
            <w:r>
              <w:rPr>
                <w:rFonts w:ascii="Arial" w:cs="Arial" w:eastAsia="Arial" w:hAnsi="Arial"/>
                <w:sz w:val="14"/>
                <w:szCs w:val="14"/>
                <w:color w:val="auto"/>
              </w:rPr>
              <w:t>482,677</w:t>
            </w:r>
          </w:p>
        </w:tc>
      </w:tr>
      <w:tr>
        <w:trPr>
          <w:trHeight w:val="189"/>
        </w:trPr>
        <w:tc>
          <w:tcPr>
            <w:tcW w:w="1740" w:type="dxa"/>
            <w:vAlign w:val="bottom"/>
          </w:tcPr>
          <w:p>
            <w:pPr>
              <w:ind w:left="60"/>
              <w:spacing w:after="0"/>
              <w:rPr>
                <w:sz w:val="20"/>
                <w:szCs w:val="20"/>
                <w:color w:val="auto"/>
              </w:rPr>
            </w:pPr>
            <w:r>
              <w:rPr>
                <w:rFonts w:ascii="Arial" w:cs="Arial" w:eastAsia="Arial" w:hAnsi="Arial"/>
                <w:sz w:val="14"/>
                <w:szCs w:val="14"/>
                <w:color w:val="auto"/>
              </w:rPr>
              <w:t>02/24/2016</w:t>
            </w:r>
          </w:p>
        </w:tc>
        <w:tc>
          <w:tcPr>
            <w:tcW w:w="1100" w:type="dxa"/>
            <w:vAlign w:val="bottom"/>
          </w:tcPr>
          <w:p>
            <w:pPr>
              <w:spacing w:after="0"/>
              <w:rPr>
                <w:sz w:val="16"/>
                <w:szCs w:val="16"/>
                <w:color w:val="auto"/>
              </w:rPr>
            </w:pPr>
          </w:p>
        </w:tc>
        <w:tc>
          <w:tcPr>
            <w:tcW w:w="1020" w:type="dxa"/>
            <w:vAlign w:val="bottom"/>
          </w:tcPr>
          <w:p>
            <w:pPr>
              <w:jc w:val="right"/>
              <w:ind w:right="153"/>
              <w:spacing w:after="0"/>
              <w:rPr>
                <w:sz w:val="20"/>
                <w:szCs w:val="20"/>
                <w:color w:val="auto"/>
              </w:rPr>
            </w:pPr>
            <w:r>
              <w:rPr>
                <w:rFonts w:ascii="Arial" w:cs="Arial" w:eastAsia="Arial" w:hAnsi="Arial"/>
                <w:sz w:val="14"/>
                <w:szCs w:val="14"/>
                <w:color w:val="auto"/>
              </w:rPr>
              <w:t>TSR PSU</w:t>
            </w:r>
          </w:p>
        </w:tc>
        <w:tc>
          <w:tcPr>
            <w:tcW w:w="1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jc w:val="right"/>
              <w:ind w:right="55"/>
              <w:spacing w:after="0"/>
              <w:rPr>
                <w:sz w:val="20"/>
                <w:szCs w:val="20"/>
                <w:color w:val="auto"/>
              </w:rPr>
            </w:pPr>
            <w:r>
              <w:rPr>
                <w:rFonts w:ascii="Arial" w:cs="Arial" w:eastAsia="Arial" w:hAnsi="Arial"/>
                <w:sz w:val="14"/>
                <w:szCs w:val="14"/>
                <w:color w:val="auto"/>
              </w:rPr>
              <w:t>6,232</w:t>
            </w:r>
          </w:p>
        </w:tc>
        <w:tc>
          <w:tcPr>
            <w:tcW w:w="740" w:type="dxa"/>
            <w:vAlign w:val="bottom"/>
          </w:tcPr>
          <w:p>
            <w:pPr>
              <w:ind w:left="200"/>
              <w:spacing w:after="0"/>
              <w:rPr>
                <w:sz w:val="20"/>
                <w:szCs w:val="20"/>
                <w:color w:val="auto"/>
              </w:rPr>
            </w:pPr>
            <w:r>
              <w:rPr>
                <w:rFonts w:ascii="Arial" w:cs="Arial" w:eastAsia="Arial" w:hAnsi="Arial"/>
                <w:sz w:val="14"/>
                <w:szCs w:val="14"/>
                <w:color w:val="auto"/>
              </w:rPr>
              <w:t>402,899</w:t>
            </w:r>
          </w:p>
        </w:tc>
      </w:tr>
      <w:tr>
        <w:trPr>
          <w:trHeight w:val="176"/>
        </w:trPr>
        <w:tc>
          <w:tcPr>
            <w:tcW w:w="1740" w:type="dxa"/>
            <w:vAlign w:val="bottom"/>
          </w:tcPr>
          <w:p>
            <w:pPr>
              <w:ind w:left="60"/>
              <w:spacing w:after="0"/>
              <w:rPr>
                <w:sz w:val="20"/>
                <w:szCs w:val="20"/>
                <w:color w:val="auto"/>
              </w:rPr>
            </w:pPr>
            <w:r>
              <w:rPr>
                <w:rFonts w:ascii="Arial" w:cs="Arial" w:eastAsia="Arial" w:hAnsi="Arial"/>
                <w:sz w:val="14"/>
                <w:szCs w:val="14"/>
                <w:color w:val="auto"/>
              </w:rPr>
              <w:t>02/24/2016</w:t>
            </w:r>
          </w:p>
        </w:tc>
        <w:tc>
          <w:tcPr>
            <w:tcW w:w="1100" w:type="dxa"/>
            <w:vAlign w:val="bottom"/>
          </w:tcPr>
          <w:p>
            <w:pPr>
              <w:spacing w:after="0"/>
              <w:rPr>
                <w:sz w:val="15"/>
                <w:szCs w:val="15"/>
                <w:color w:val="auto"/>
              </w:rPr>
            </w:pPr>
          </w:p>
        </w:tc>
        <w:tc>
          <w:tcPr>
            <w:tcW w:w="1020" w:type="dxa"/>
            <w:vAlign w:val="bottom"/>
          </w:tcPr>
          <w:p>
            <w:pPr>
              <w:jc w:val="right"/>
              <w:ind w:right="153"/>
              <w:spacing w:after="0"/>
              <w:rPr>
                <w:sz w:val="20"/>
                <w:szCs w:val="20"/>
                <w:color w:val="auto"/>
              </w:rPr>
            </w:pPr>
            <w:r>
              <w:rPr>
                <w:rFonts w:ascii="Arial" w:cs="Arial" w:eastAsia="Arial" w:hAnsi="Arial"/>
                <w:sz w:val="14"/>
                <w:szCs w:val="14"/>
                <w:color w:val="auto"/>
              </w:rPr>
              <w:t>RSU</w:t>
            </w:r>
          </w:p>
        </w:tc>
        <w:tc>
          <w:tcPr>
            <w:tcW w:w="1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60" w:type="dxa"/>
            <w:vAlign w:val="bottom"/>
          </w:tcPr>
          <w:p>
            <w:pPr>
              <w:jc w:val="right"/>
              <w:ind w:right="55"/>
              <w:spacing w:after="0"/>
              <w:rPr>
                <w:sz w:val="20"/>
                <w:szCs w:val="20"/>
                <w:color w:val="auto"/>
              </w:rPr>
            </w:pPr>
            <w:r>
              <w:rPr>
                <w:rFonts w:ascii="Arial" w:cs="Arial" w:eastAsia="Arial" w:hAnsi="Arial"/>
                <w:sz w:val="14"/>
                <w:szCs w:val="14"/>
                <w:color w:val="auto"/>
              </w:rPr>
              <w:t>1,591</w:t>
            </w:r>
          </w:p>
        </w:tc>
        <w:tc>
          <w:tcPr>
            <w:tcW w:w="840" w:type="dxa"/>
            <w:vAlign w:val="bottom"/>
          </w:tcPr>
          <w:p>
            <w:pPr>
              <w:jc w:val="right"/>
              <w:ind w:right="35"/>
              <w:spacing w:after="0"/>
              <w:rPr>
                <w:sz w:val="20"/>
                <w:szCs w:val="20"/>
                <w:color w:val="auto"/>
              </w:rPr>
            </w:pPr>
            <w:r>
              <w:rPr>
                <w:rFonts w:ascii="Arial" w:cs="Arial" w:eastAsia="Arial" w:hAnsi="Arial"/>
                <w:sz w:val="14"/>
                <w:szCs w:val="14"/>
                <w:color w:val="auto"/>
              </w:rPr>
              <w:t>102,858</w:t>
            </w: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9"/>
        </w:trPr>
        <w:tc>
          <w:tcPr>
            <w:tcW w:w="1740" w:type="dxa"/>
            <w:vAlign w:val="bottom"/>
          </w:tcPr>
          <w:p>
            <w:pPr>
              <w:ind w:left="60"/>
              <w:spacing w:after="0"/>
              <w:rPr>
                <w:sz w:val="20"/>
                <w:szCs w:val="20"/>
                <w:color w:val="auto"/>
              </w:rPr>
            </w:pPr>
            <w:r>
              <w:rPr>
                <w:rFonts w:ascii="Arial" w:cs="Arial" w:eastAsia="Arial" w:hAnsi="Arial"/>
                <w:sz w:val="14"/>
                <w:szCs w:val="14"/>
                <w:color w:val="auto"/>
              </w:rPr>
              <w:t>12/07/2016</w:t>
            </w:r>
          </w:p>
        </w:tc>
        <w:tc>
          <w:tcPr>
            <w:tcW w:w="1100" w:type="dxa"/>
            <w:vAlign w:val="bottom"/>
          </w:tcPr>
          <w:p>
            <w:pPr>
              <w:spacing w:after="0"/>
              <w:rPr>
                <w:sz w:val="16"/>
                <w:szCs w:val="16"/>
                <w:color w:val="auto"/>
              </w:rPr>
            </w:pPr>
          </w:p>
        </w:tc>
        <w:tc>
          <w:tcPr>
            <w:tcW w:w="1020" w:type="dxa"/>
            <w:vAlign w:val="bottom"/>
          </w:tcPr>
          <w:p>
            <w:pPr>
              <w:jc w:val="right"/>
              <w:ind w:right="153"/>
              <w:spacing w:after="0"/>
              <w:rPr>
                <w:sz w:val="20"/>
                <w:szCs w:val="20"/>
                <w:color w:val="auto"/>
              </w:rPr>
            </w:pPr>
            <w:r>
              <w:rPr>
                <w:rFonts w:ascii="Arial" w:cs="Arial" w:eastAsia="Arial" w:hAnsi="Arial"/>
                <w:sz w:val="14"/>
                <w:szCs w:val="14"/>
                <w:color w:val="auto"/>
              </w:rPr>
              <w:t>RSU</w:t>
            </w:r>
          </w:p>
        </w:tc>
        <w:tc>
          <w:tcPr>
            <w:tcW w:w="1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60" w:type="dxa"/>
            <w:vAlign w:val="bottom"/>
          </w:tcPr>
          <w:p>
            <w:pPr>
              <w:jc w:val="right"/>
              <w:ind w:right="55"/>
              <w:spacing w:after="0"/>
              <w:rPr>
                <w:sz w:val="20"/>
                <w:szCs w:val="20"/>
                <w:color w:val="auto"/>
              </w:rPr>
            </w:pPr>
            <w:r>
              <w:rPr>
                <w:rFonts w:ascii="Arial" w:cs="Arial" w:eastAsia="Arial" w:hAnsi="Arial"/>
                <w:sz w:val="14"/>
                <w:szCs w:val="14"/>
                <w:color w:val="auto"/>
              </w:rPr>
              <w:t>5,073</w:t>
            </w:r>
          </w:p>
        </w:tc>
        <w:tc>
          <w:tcPr>
            <w:tcW w:w="840" w:type="dxa"/>
            <w:vAlign w:val="bottom"/>
          </w:tcPr>
          <w:p>
            <w:pPr>
              <w:jc w:val="right"/>
              <w:ind w:right="35"/>
              <w:spacing w:after="0"/>
              <w:rPr>
                <w:sz w:val="20"/>
                <w:szCs w:val="20"/>
                <w:color w:val="auto"/>
              </w:rPr>
            </w:pPr>
            <w:r>
              <w:rPr>
                <w:rFonts w:ascii="Arial" w:cs="Arial" w:eastAsia="Arial" w:hAnsi="Arial"/>
                <w:sz w:val="14"/>
                <w:szCs w:val="14"/>
                <w:color w:val="auto"/>
              </w:rPr>
              <w:t>327,969</w:t>
            </w: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9"/>
        </w:trPr>
        <w:tc>
          <w:tcPr>
            <w:tcW w:w="1740" w:type="dxa"/>
            <w:vAlign w:val="bottom"/>
          </w:tcPr>
          <w:p>
            <w:pPr>
              <w:ind w:left="60"/>
              <w:spacing w:after="0"/>
              <w:rPr>
                <w:sz w:val="20"/>
                <w:szCs w:val="20"/>
                <w:color w:val="auto"/>
              </w:rPr>
            </w:pPr>
            <w:r>
              <w:rPr>
                <w:rFonts w:ascii="Arial" w:cs="Arial" w:eastAsia="Arial" w:hAnsi="Arial"/>
                <w:sz w:val="14"/>
                <w:szCs w:val="14"/>
                <w:color w:val="auto"/>
              </w:rPr>
              <w:t>2/17/2017</w:t>
            </w:r>
          </w:p>
        </w:tc>
        <w:tc>
          <w:tcPr>
            <w:tcW w:w="1100" w:type="dxa"/>
            <w:vAlign w:val="bottom"/>
          </w:tcPr>
          <w:p>
            <w:pPr>
              <w:spacing w:after="0"/>
              <w:rPr>
                <w:sz w:val="16"/>
                <w:szCs w:val="16"/>
                <w:color w:val="auto"/>
              </w:rPr>
            </w:pPr>
          </w:p>
        </w:tc>
        <w:tc>
          <w:tcPr>
            <w:tcW w:w="1020" w:type="dxa"/>
            <w:vAlign w:val="bottom"/>
          </w:tcPr>
          <w:p>
            <w:pPr>
              <w:jc w:val="right"/>
              <w:ind w:right="153"/>
              <w:spacing w:after="0"/>
              <w:rPr>
                <w:sz w:val="20"/>
                <w:szCs w:val="20"/>
                <w:color w:val="auto"/>
              </w:rPr>
            </w:pPr>
            <w:r>
              <w:rPr>
                <w:rFonts w:ascii="Arial" w:cs="Arial" w:eastAsia="Arial" w:hAnsi="Arial"/>
                <w:sz w:val="14"/>
                <w:szCs w:val="14"/>
                <w:color w:val="auto"/>
              </w:rPr>
              <w:t>Option</w:t>
            </w:r>
          </w:p>
        </w:tc>
        <w:tc>
          <w:tcPr>
            <w:tcW w:w="1120" w:type="dxa"/>
            <w:vAlign w:val="bottom"/>
          </w:tcPr>
          <w:p>
            <w:pPr>
              <w:spacing w:after="0"/>
              <w:rPr>
                <w:sz w:val="16"/>
                <w:szCs w:val="16"/>
                <w:color w:val="auto"/>
              </w:rPr>
            </w:pPr>
          </w:p>
        </w:tc>
        <w:tc>
          <w:tcPr>
            <w:tcW w:w="1320" w:type="dxa"/>
            <w:vAlign w:val="bottom"/>
          </w:tcPr>
          <w:p>
            <w:pPr>
              <w:jc w:val="right"/>
              <w:ind w:right="155"/>
              <w:spacing w:after="0"/>
              <w:rPr>
                <w:sz w:val="20"/>
                <w:szCs w:val="20"/>
                <w:color w:val="auto"/>
              </w:rPr>
            </w:pPr>
            <w:r>
              <w:rPr>
                <w:rFonts w:ascii="Arial" w:cs="Arial" w:eastAsia="Arial" w:hAnsi="Arial"/>
                <w:sz w:val="14"/>
                <w:szCs w:val="14"/>
                <w:color w:val="auto"/>
              </w:rPr>
              <w:t>13,575</w:t>
            </w:r>
          </w:p>
        </w:tc>
        <w:tc>
          <w:tcPr>
            <w:tcW w:w="620" w:type="dxa"/>
            <w:vAlign w:val="bottom"/>
          </w:tcPr>
          <w:p>
            <w:pPr>
              <w:ind w:left="180"/>
              <w:spacing w:after="0"/>
              <w:rPr>
                <w:sz w:val="20"/>
                <w:szCs w:val="20"/>
                <w:color w:val="auto"/>
              </w:rPr>
            </w:pPr>
            <w:r>
              <w:rPr>
                <w:rFonts w:ascii="Arial" w:cs="Arial" w:eastAsia="Arial" w:hAnsi="Arial"/>
                <w:sz w:val="14"/>
                <w:szCs w:val="14"/>
                <w:color w:val="auto"/>
              </w:rPr>
              <w:t>52.75</w:t>
            </w:r>
          </w:p>
        </w:tc>
        <w:tc>
          <w:tcPr>
            <w:tcW w:w="860" w:type="dxa"/>
            <w:vAlign w:val="bottom"/>
          </w:tcPr>
          <w:p>
            <w:pPr>
              <w:jc w:val="right"/>
              <w:ind w:right="54"/>
              <w:spacing w:after="0"/>
              <w:rPr>
                <w:sz w:val="20"/>
                <w:szCs w:val="20"/>
                <w:color w:val="auto"/>
              </w:rPr>
            </w:pPr>
            <w:r>
              <w:rPr>
                <w:rFonts w:ascii="Arial" w:cs="Arial" w:eastAsia="Arial" w:hAnsi="Arial"/>
                <w:sz w:val="14"/>
                <w:szCs w:val="14"/>
                <w:color w:val="auto"/>
              </w:rPr>
              <w:t>2/17/2023</w:t>
            </w:r>
          </w:p>
        </w:tc>
        <w:tc>
          <w:tcPr>
            <w:tcW w:w="8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9"/>
        </w:trPr>
        <w:tc>
          <w:tcPr>
            <w:tcW w:w="1740" w:type="dxa"/>
            <w:vAlign w:val="bottom"/>
          </w:tcPr>
          <w:p>
            <w:pPr>
              <w:ind w:left="60"/>
              <w:spacing w:after="0"/>
              <w:rPr>
                <w:sz w:val="20"/>
                <w:szCs w:val="20"/>
                <w:color w:val="auto"/>
              </w:rPr>
            </w:pPr>
            <w:r>
              <w:rPr>
                <w:rFonts w:ascii="Arial" w:cs="Arial" w:eastAsia="Arial" w:hAnsi="Arial"/>
                <w:sz w:val="14"/>
                <w:szCs w:val="14"/>
                <w:color w:val="auto"/>
              </w:rPr>
              <w:t>2/17/2017</w:t>
            </w:r>
          </w:p>
        </w:tc>
        <w:tc>
          <w:tcPr>
            <w:tcW w:w="1100" w:type="dxa"/>
            <w:vAlign w:val="bottom"/>
          </w:tcPr>
          <w:p>
            <w:pPr>
              <w:spacing w:after="0"/>
              <w:rPr>
                <w:sz w:val="16"/>
                <w:szCs w:val="16"/>
                <w:color w:val="auto"/>
              </w:rPr>
            </w:pPr>
          </w:p>
        </w:tc>
        <w:tc>
          <w:tcPr>
            <w:tcW w:w="1020" w:type="dxa"/>
            <w:vAlign w:val="bottom"/>
          </w:tcPr>
          <w:p>
            <w:pPr>
              <w:jc w:val="right"/>
              <w:ind w:right="153"/>
              <w:spacing w:after="0"/>
              <w:rPr>
                <w:sz w:val="20"/>
                <w:szCs w:val="20"/>
                <w:color w:val="auto"/>
              </w:rPr>
            </w:pPr>
            <w:r>
              <w:rPr>
                <w:rFonts w:ascii="Arial" w:cs="Arial" w:eastAsia="Arial" w:hAnsi="Arial"/>
                <w:sz w:val="14"/>
                <w:szCs w:val="14"/>
                <w:color w:val="auto"/>
              </w:rPr>
              <w:t>IM PSU</w:t>
            </w:r>
          </w:p>
        </w:tc>
        <w:tc>
          <w:tcPr>
            <w:tcW w:w="1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jc w:val="right"/>
              <w:ind w:right="55"/>
              <w:spacing w:after="0"/>
              <w:rPr>
                <w:sz w:val="20"/>
                <w:szCs w:val="20"/>
                <w:color w:val="auto"/>
              </w:rPr>
            </w:pPr>
            <w:r>
              <w:rPr>
                <w:rFonts w:ascii="Arial" w:cs="Arial" w:eastAsia="Arial" w:hAnsi="Arial"/>
                <w:sz w:val="14"/>
                <w:szCs w:val="14"/>
                <w:color w:val="auto"/>
              </w:rPr>
              <w:t>3,151</w:t>
            </w:r>
          </w:p>
        </w:tc>
        <w:tc>
          <w:tcPr>
            <w:tcW w:w="740" w:type="dxa"/>
            <w:vAlign w:val="bottom"/>
          </w:tcPr>
          <w:p>
            <w:pPr>
              <w:ind w:left="200"/>
              <w:spacing w:after="0"/>
              <w:rPr>
                <w:sz w:val="20"/>
                <w:szCs w:val="20"/>
                <w:color w:val="auto"/>
              </w:rPr>
            </w:pPr>
            <w:r>
              <w:rPr>
                <w:rFonts w:ascii="Arial" w:cs="Arial" w:eastAsia="Arial" w:hAnsi="Arial"/>
                <w:sz w:val="14"/>
                <w:szCs w:val="14"/>
                <w:color w:val="auto"/>
              </w:rPr>
              <w:t>203,712</w:t>
            </w:r>
          </w:p>
        </w:tc>
      </w:tr>
      <w:tr>
        <w:trPr>
          <w:trHeight w:val="189"/>
        </w:trPr>
        <w:tc>
          <w:tcPr>
            <w:tcW w:w="1740" w:type="dxa"/>
            <w:vAlign w:val="bottom"/>
          </w:tcPr>
          <w:p>
            <w:pPr>
              <w:ind w:left="60"/>
              <w:spacing w:after="0"/>
              <w:rPr>
                <w:sz w:val="20"/>
                <w:szCs w:val="20"/>
                <w:color w:val="auto"/>
              </w:rPr>
            </w:pPr>
            <w:r>
              <w:rPr>
                <w:rFonts w:ascii="Arial" w:cs="Arial" w:eastAsia="Arial" w:hAnsi="Arial"/>
                <w:sz w:val="14"/>
                <w:szCs w:val="14"/>
                <w:color w:val="auto"/>
              </w:rPr>
              <w:t>2/17/2017</w:t>
            </w:r>
          </w:p>
        </w:tc>
        <w:tc>
          <w:tcPr>
            <w:tcW w:w="1100" w:type="dxa"/>
            <w:vAlign w:val="bottom"/>
          </w:tcPr>
          <w:p>
            <w:pPr>
              <w:spacing w:after="0"/>
              <w:rPr>
                <w:sz w:val="16"/>
                <w:szCs w:val="16"/>
                <w:color w:val="auto"/>
              </w:rPr>
            </w:pPr>
          </w:p>
        </w:tc>
        <w:tc>
          <w:tcPr>
            <w:tcW w:w="1020" w:type="dxa"/>
            <w:vAlign w:val="bottom"/>
          </w:tcPr>
          <w:p>
            <w:pPr>
              <w:jc w:val="right"/>
              <w:ind w:right="153"/>
              <w:spacing w:after="0"/>
              <w:rPr>
                <w:sz w:val="20"/>
                <w:szCs w:val="20"/>
                <w:color w:val="auto"/>
              </w:rPr>
            </w:pPr>
            <w:r>
              <w:rPr>
                <w:rFonts w:ascii="Arial" w:cs="Arial" w:eastAsia="Arial" w:hAnsi="Arial"/>
                <w:sz w:val="14"/>
                <w:szCs w:val="14"/>
                <w:color w:val="auto"/>
              </w:rPr>
              <w:t>TSR PSU</w:t>
            </w:r>
          </w:p>
        </w:tc>
        <w:tc>
          <w:tcPr>
            <w:tcW w:w="1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jc w:val="right"/>
              <w:ind w:right="55"/>
              <w:spacing w:after="0"/>
              <w:rPr>
                <w:sz w:val="20"/>
                <w:szCs w:val="20"/>
                <w:color w:val="auto"/>
              </w:rPr>
            </w:pPr>
            <w:r>
              <w:rPr>
                <w:rFonts w:ascii="Arial" w:cs="Arial" w:eastAsia="Arial" w:hAnsi="Arial"/>
                <w:sz w:val="14"/>
                <w:szCs w:val="14"/>
                <w:color w:val="auto"/>
              </w:rPr>
              <w:t>2,422</w:t>
            </w:r>
          </w:p>
        </w:tc>
        <w:tc>
          <w:tcPr>
            <w:tcW w:w="740" w:type="dxa"/>
            <w:vAlign w:val="bottom"/>
          </w:tcPr>
          <w:p>
            <w:pPr>
              <w:ind w:left="200"/>
              <w:spacing w:after="0"/>
              <w:rPr>
                <w:sz w:val="20"/>
                <w:szCs w:val="20"/>
                <w:color w:val="auto"/>
              </w:rPr>
            </w:pPr>
            <w:r>
              <w:rPr>
                <w:rFonts w:ascii="Arial" w:cs="Arial" w:eastAsia="Arial" w:hAnsi="Arial"/>
                <w:sz w:val="14"/>
                <w:szCs w:val="14"/>
                <w:color w:val="auto"/>
              </w:rPr>
              <w:t>156,582</w:t>
            </w:r>
          </w:p>
        </w:tc>
      </w:tr>
      <w:tr>
        <w:trPr>
          <w:trHeight w:val="189"/>
        </w:trPr>
        <w:tc>
          <w:tcPr>
            <w:tcW w:w="1740" w:type="dxa"/>
            <w:vAlign w:val="bottom"/>
          </w:tcPr>
          <w:p>
            <w:pPr>
              <w:ind w:left="60"/>
              <w:spacing w:after="0"/>
              <w:rPr>
                <w:sz w:val="20"/>
                <w:szCs w:val="20"/>
                <w:color w:val="auto"/>
              </w:rPr>
            </w:pPr>
            <w:r>
              <w:rPr>
                <w:rFonts w:ascii="Arial" w:cs="Arial" w:eastAsia="Arial" w:hAnsi="Arial"/>
                <w:sz w:val="14"/>
                <w:szCs w:val="14"/>
                <w:color w:val="auto"/>
              </w:rPr>
              <w:t>2/17/2017</w:t>
            </w:r>
          </w:p>
        </w:tc>
        <w:tc>
          <w:tcPr>
            <w:tcW w:w="1100" w:type="dxa"/>
            <w:vAlign w:val="bottom"/>
          </w:tcPr>
          <w:p>
            <w:pPr>
              <w:spacing w:after="0"/>
              <w:rPr>
                <w:sz w:val="16"/>
                <w:szCs w:val="16"/>
                <w:color w:val="auto"/>
              </w:rPr>
            </w:pPr>
          </w:p>
        </w:tc>
        <w:tc>
          <w:tcPr>
            <w:tcW w:w="1020" w:type="dxa"/>
            <w:vAlign w:val="bottom"/>
          </w:tcPr>
          <w:p>
            <w:pPr>
              <w:jc w:val="right"/>
              <w:ind w:right="13"/>
              <w:spacing w:after="0"/>
              <w:rPr>
                <w:sz w:val="20"/>
                <w:szCs w:val="20"/>
                <w:color w:val="auto"/>
              </w:rPr>
            </w:pPr>
            <w:r>
              <w:rPr>
                <w:rFonts w:ascii="Arial" w:cs="Arial" w:eastAsia="Arial" w:hAnsi="Arial"/>
                <w:sz w:val="14"/>
                <w:szCs w:val="14"/>
                <w:color w:val="auto"/>
              </w:rPr>
              <w:t>RSU</w:t>
            </w:r>
            <w:r>
              <w:rPr>
                <w:rFonts w:ascii="Arial" w:cs="Arial" w:eastAsia="Arial" w:hAnsi="Arial"/>
                <w:sz w:val="11"/>
                <w:szCs w:val="11"/>
                <w:color w:val="auto"/>
              </w:rPr>
              <w:t>(5)</w:t>
            </w:r>
          </w:p>
        </w:tc>
        <w:tc>
          <w:tcPr>
            <w:tcW w:w="1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60" w:type="dxa"/>
            <w:vAlign w:val="bottom"/>
          </w:tcPr>
          <w:p>
            <w:pPr>
              <w:jc w:val="right"/>
              <w:ind w:right="55"/>
              <w:spacing w:after="0"/>
              <w:rPr>
                <w:sz w:val="20"/>
                <w:szCs w:val="20"/>
                <w:color w:val="auto"/>
              </w:rPr>
            </w:pPr>
            <w:r>
              <w:rPr>
                <w:rFonts w:ascii="Arial" w:cs="Arial" w:eastAsia="Arial" w:hAnsi="Arial"/>
                <w:sz w:val="14"/>
                <w:szCs w:val="14"/>
                <w:color w:val="auto"/>
              </w:rPr>
              <w:t>2,084</w:t>
            </w:r>
          </w:p>
        </w:tc>
        <w:tc>
          <w:tcPr>
            <w:tcW w:w="840" w:type="dxa"/>
            <w:vAlign w:val="bottom"/>
          </w:tcPr>
          <w:p>
            <w:pPr>
              <w:jc w:val="right"/>
              <w:ind w:right="35"/>
              <w:spacing w:after="0"/>
              <w:rPr>
                <w:sz w:val="20"/>
                <w:szCs w:val="20"/>
                <w:color w:val="auto"/>
              </w:rPr>
            </w:pPr>
            <w:r>
              <w:rPr>
                <w:rFonts w:ascii="Arial" w:cs="Arial" w:eastAsia="Arial" w:hAnsi="Arial"/>
                <w:sz w:val="14"/>
                <w:szCs w:val="14"/>
                <w:color w:val="auto"/>
              </w:rPr>
              <w:t>134,731</w:t>
            </w: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9"/>
        </w:trPr>
        <w:tc>
          <w:tcPr>
            <w:tcW w:w="1740" w:type="dxa"/>
            <w:vAlign w:val="bottom"/>
          </w:tcPr>
          <w:p>
            <w:pPr>
              <w:ind w:left="60"/>
              <w:spacing w:after="0"/>
              <w:rPr>
                <w:sz w:val="20"/>
                <w:szCs w:val="20"/>
                <w:color w:val="auto"/>
              </w:rPr>
            </w:pPr>
            <w:r>
              <w:rPr>
                <w:rFonts w:ascii="Arial" w:cs="Arial" w:eastAsia="Arial" w:hAnsi="Arial"/>
                <w:sz w:val="14"/>
                <w:szCs w:val="14"/>
                <w:color w:val="auto"/>
              </w:rPr>
              <w:t>2/22/2018</w:t>
            </w:r>
          </w:p>
        </w:tc>
        <w:tc>
          <w:tcPr>
            <w:tcW w:w="1100" w:type="dxa"/>
            <w:vAlign w:val="bottom"/>
          </w:tcPr>
          <w:p>
            <w:pPr>
              <w:spacing w:after="0"/>
              <w:rPr>
                <w:sz w:val="16"/>
                <w:szCs w:val="16"/>
                <w:color w:val="auto"/>
              </w:rPr>
            </w:pPr>
          </w:p>
        </w:tc>
        <w:tc>
          <w:tcPr>
            <w:tcW w:w="1020" w:type="dxa"/>
            <w:vAlign w:val="bottom"/>
          </w:tcPr>
          <w:p>
            <w:pPr>
              <w:jc w:val="right"/>
              <w:ind w:right="13"/>
              <w:spacing w:after="0"/>
              <w:rPr>
                <w:sz w:val="20"/>
                <w:szCs w:val="20"/>
                <w:color w:val="auto"/>
              </w:rPr>
            </w:pPr>
            <w:r>
              <w:rPr>
                <w:rFonts w:ascii="Arial" w:cs="Arial" w:eastAsia="Arial" w:hAnsi="Arial"/>
                <w:sz w:val="14"/>
                <w:szCs w:val="14"/>
                <w:color w:val="auto"/>
              </w:rPr>
              <w:t>Option</w:t>
            </w:r>
            <w:r>
              <w:rPr>
                <w:rFonts w:ascii="Arial" w:cs="Arial" w:eastAsia="Arial" w:hAnsi="Arial"/>
                <w:sz w:val="11"/>
                <w:szCs w:val="11"/>
                <w:color w:val="auto"/>
              </w:rPr>
              <w:t>(5)</w:t>
            </w:r>
          </w:p>
        </w:tc>
        <w:tc>
          <w:tcPr>
            <w:tcW w:w="1120" w:type="dxa"/>
            <w:vAlign w:val="bottom"/>
          </w:tcPr>
          <w:p>
            <w:pPr>
              <w:spacing w:after="0"/>
              <w:rPr>
                <w:sz w:val="16"/>
                <w:szCs w:val="16"/>
                <w:color w:val="auto"/>
              </w:rPr>
            </w:pPr>
          </w:p>
        </w:tc>
        <w:tc>
          <w:tcPr>
            <w:tcW w:w="1320" w:type="dxa"/>
            <w:vAlign w:val="bottom"/>
          </w:tcPr>
          <w:p>
            <w:pPr>
              <w:jc w:val="right"/>
              <w:ind w:right="155"/>
              <w:spacing w:after="0"/>
              <w:rPr>
                <w:sz w:val="20"/>
                <w:szCs w:val="20"/>
                <w:color w:val="auto"/>
              </w:rPr>
            </w:pPr>
            <w:r>
              <w:rPr>
                <w:rFonts w:ascii="Arial" w:cs="Arial" w:eastAsia="Arial" w:hAnsi="Arial"/>
                <w:sz w:val="14"/>
                <w:szCs w:val="14"/>
                <w:color w:val="auto"/>
              </w:rPr>
              <w:t>10,463</w:t>
            </w:r>
          </w:p>
        </w:tc>
        <w:tc>
          <w:tcPr>
            <w:tcW w:w="620" w:type="dxa"/>
            <w:vAlign w:val="bottom"/>
          </w:tcPr>
          <w:p>
            <w:pPr>
              <w:ind w:left="180"/>
              <w:spacing w:after="0"/>
              <w:rPr>
                <w:sz w:val="20"/>
                <w:szCs w:val="20"/>
                <w:color w:val="auto"/>
              </w:rPr>
            </w:pPr>
            <w:r>
              <w:rPr>
                <w:rFonts w:ascii="Arial" w:cs="Arial" w:eastAsia="Arial" w:hAnsi="Arial"/>
                <w:sz w:val="14"/>
                <w:szCs w:val="14"/>
                <w:color w:val="auto"/>
              </w:rPr>
              <w:t>73.45</w:t>
            </w:r>
          </w:p>
        </w:tc>
        <w:tc>
          <w:tcPr>
            <w:tcW w:w="860" w:type="dxa"/>
            <w:vAlign w:val="bottom"/>
          </w:tcPr>
          <w:p>
            <w:pPr>
              <w:jc w:val="right"/>
              <w:ind w:right="54"/>
              <w:spacing w:after="0"/>
              <w:rPr>
                <w:sz w:val="20"/>
                <w:szCs w:val="20"/>
                <w:color w:val="auto"/>
              </w:rPr>
            </w:pPr>
            <w:r>
              <w:rPr>
                <w:rFonts w:ascii="Arial" w:cs="Arial" w:eastAsia="Arial" w:hAnsi="Arial"/>
                <w:sz w:val="14"/>
                <w:szCs w:val="14"/>
                <w:color w:val="auto"/>
              </w:rPr>
              <w:t>2/22/2024</w:t>
            </w:r>
          </w:p>
        </w:tc>
        <w:tc>
          <w:tcPr>
            <w:tcW w:w="8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9"/>
        </w:trPr>
        <w:tc>
          <w:tcPr>
            <w:tcW w:w="1740" w:type="dxa"/>
            <w:vAlign w:val="bottom"/>
          </w:tcPr>
          <w:p>
            <w:pPr>
              <w:ind w:left="60"/>
              <w:spacing w:after="0"/>
              <w:rPr>
                <w:sz w:val="20"/>
                <w:szCs w:val="20"/>
                <w:color w:val="auto"/>
              </w:rPr>
            </w:pPr>
            <w:r>
              <w:rPr>
                <w:rFonts w:ascii="Arial" w:cs="Arial" w:eastAsia="Arial" w:hAnsi="Arial"/>
                <w:sz w:val="14"/>
                <w:szCs w:val="14"/>
                <w:color w:val="auto"/>
              </w:rPr>
              <w:t>2/22/2018</w:t>
            </w:r>
          </w:p>
        </w:tc>
        <w:tc>
          <w:tcPr>
            <w:tcW w:w="1100" w:type="dxa"/>
            <w:vAlign w:val="bottom"/>
          </w:tcPr>
          <w:p>
            <w:pPr>
              <w:spacing w:after="0"/>
              <w:rPr>
                <w:sz w:val="16"/>
                <w:szCs w:val="16"/>
                <w:color w:val="auto"/>
              </w:rPr>
            </w:pPr>
          </w:p>
        </w:tc>
        <w:tc>
          <w:tcPr>
            <w:tcW w:w="1020" w:type="dxa"/>
            <w:vAlign w:val="bottom"/>
          </w:tcPr>
          <w:p>
            <w:pPr>
              <w:jc w:val="right"/>
              <w:ind w:right="13"/>
              <w:spacing w:after="0"/>
              <w:rPr>
                <w:sz w:val="20"/>
                <w:szCs w:val="20"/>
                <w:color w:val="auto"/>
              </w:rPr>
            </w:pPr>
            <w:r>
              <w:rPr>
                <w:rFonts w:ascii="Arial" w:cs="Arial" w:eastAsia="Arial" w:hAnsi="Arial"/>
                <w:sz w:val="14"/>
                <w:szCs w:val="14"/>
                <w:color w:val="auto"/>
              </w:rPr>
              <w:t>RSU</w:t>
            </w:r>
            <w:r>
              <w:rPr>
                <w:rFonts w:ascii="Arial" w:cs="Arial" w:eastAsia="Arial" w:hAnsi="Arial"/>
                <w:sz w:val="11"/>
                <w:szCs w:val="11"/>
                <w:color w:val="auto"/>
              </w:rPr>
              <w:t>(5)</w:t>
            </w:r>
          </w:p>
        </w:tc>
        <w:tc>
          <w:tcPr>
            <w:tcW w:w="1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60" w:type="dxa"/>
            <w:vAlign w:val="bottom"/>
          </w:tcPr>
          <w:p>
            <w:pPr>
              <w:jc w:val="right"/>
              <w:ind w:right="55"/>
              <w:spacing w:after="0"/>
              <w:rPr>
                <w:sz w:val="20"/>
                <w:szCs w:val="20"/>
                <w:color w:val="auto"/>
              </w:rPr>
            </w:pPr>
            <w:r>
              <w:rPr>
                <w:rFonts w:ascii="Arial" w:cs="Arial" w:eastAsia="Arial" w:hAnsi="Arial"/>
                <w:sz w:val="14"/>
                <w:szCs w:val="14"/>
                <w:color w:val="auto"/>
              </w:rPr>
              <w:t>2,593</w:t>
            </w:r>
          </w:p>
        </w:tc>
        <w:tc>
          <w:tcPr>
            <w:tcW w:w="840" w:type="dxa"/>
            <w:vAlign w:val="bottom"/>
          </w:tcPr>
          <w:p>
            <w:pPr>
              <w:jc w:val="right"/>
              <w:ind w:right="35"/>
              <w:spacing w:after="0"/>
              <w:rPr>
                <w:sz w:val="20"/>
                <w:szCs w:val="20"/>
                <w:color w:val="auto"/>
              </w:rPr>
            </w:pPr>
            <w:r>
              <w:rPr>
                <w:rFonts w:ascii="Arial" w:cs="Arial" w:eastAsia="Arial" w:hAnsi="Arial"/>
                <w:sz w:val="14"/>
                <w:szCs w:val="14"/>
                <w:color w:val="auto"/>
              </w:rPr>
              <w:t>167,637</w:t>
            </w: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9"/>
        </w:trPr>
        <w:tc>
          <w:tcPr>
            <w:tcW w:w="1740" w:type="dxa"/>
            <w:vAlign w:val="bottom"/>
          </w:tcPr>
          <w:p>
            <w:pPr>
              <w:ind w:left="60"/>
              <w:spacing w:after="0"/>
              <w:rPr>
                <w:sz w:val="20"/>
                <w:szCs w:val="20"/>
                <w:color w:val="auto"/>
              </w:rPr>
            </w:pPr>
            <w:r>
              <w:rPr>
                <w:rFonts w:ascii="Arial" w:cs="Arial" w:eastAsia="Arial" w:hAnsi="Arial"/>
                <w:sz w:val="14"/>
                <w:szCs w:val="14"/>
                <w:color w:val="auto"/>
              </w:rPr>
              <w:t>2/22/2018</w:t>
            </w:r>
          </w:p>
        </w:tc>
        <w:tc>
          <w:tcPr>
            <w:tcW w:w="1100" w:type="dxa"/>
            <w:vAlign w:val="bottom"/>
          </w:tcPr>
          <w:p>
            <w:pPr>
              <w:spacing w:after="0"/>
              <w:rPr>
                <w:sz w:val="16"/>
                <w:szCs w:val="16"/>
                <w:color w:val="auto"/>
              </w:rPr>
            </w:pPr>
          </w:p>
        </w:tc>
        <w:tc>
          <w:tcPr>
            <w:tcW w:w="1020" w:type="dxa"/>
            <w:vAlign w:val="bottom"/>
          </w:tcPr>
          <w:p>
            <w:pPr>
              <w:jc w:val="right"/>
              <w:ind w:right="13"/>
              <w:spacing w:after="0"/>
              <w:rPr>
                <w:sz w:val="20"/>
                <w:szCs w:val="20"/>
                <w:color w:val="auto"/>
              </w:rPr>
            </w:pPr>
            <w:r>
              <w:rPr>
                <w:rFonts w:ascii="Arial" w:cs="Arial" w:eastAsia="Arial" w:hAnsi="Arial"/>
                <w:sz w:val="14"/>
                <w:szCs w:val="14"/>
                <w:color w:val="auto"/>
              </w:rPr>
              <w:t>IM PSU</w:t>
            </w:r>
            <w:r>
              <w:rPr>
                <w:rFonts w:ascii="Arial" w:cs="Arial" w:eastAsia="Arial" w:hAnsi="Arial"/>
                <w:sz w:val="11"/>
                <w:szCs w:val="11"/>
                <w:color w:val="auto"/>
              </w:rPr>
              <w:t>(5)</w:t>
            </w:r>
          </w:p>
        </w:tc>
        <w:tc>
          <w:tcPr>
            <w:tcW w:w="1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jc w:val="right"/>
              <w:ind w:right="55"/>
              <w:spacing w:after="0"/>
              <w:rPr>
                <w:sz w:val="20"/>
                <w:szCs w:val="20"/>
                <w:color w:val="auto"/>
              </w:rPr>
            </w:pPr>
            <w:r>
              <w:rPr>
                <w:rFonts w:ascii="Arial" w:cs="Arial" w:eastAsia="Arial" w:hAnsi="Arial"/>
                <w:sz w:val="14"/>
                <w:szCs w:val="14"/>
                <w:color w:val="auto"/>
              </w:rPr>
              <w:t>2,614</w:t>
            </w:r>
          </w:p>
        </w:tc>
        <w:tc>
          <w:tcPr>
            <w:tcW w:w="740" w:type="dxa"/>
            <w:vAlign w:val="bottom"/>
          </w:tcPr>
          <w:p>
            <w:pPr>
              <w:ind w:left="200"/>
              <w:spacing w:after="0"/>
              <w:rPr>
                <w:sz w:val="20"/>
                <w:szCs w:val="20"/>
                <w:color w:val="auto"/>
              </w:rPr>
            </w:pPr>
            <w:r>
              <w:rPr>
                <w:rFonts w:ascii="Arial" w:cs="Arial" w:eastAsia="Arial" w:hAnsi="Arial"/>
                <w:sz w:val="14"/>
                <w:szCs w:val="14"/>
                <w:color w:val="auto"/>
              </w:rPr>
              <w:t>168,995</w:t>
            </w:r>
          </w:p>
        </w:tc>
      </w:tr>
      <w:tr>
        <w:trPr>
          <w:trHeight w:val="189"/>
        </w:trPr>
        <w:tc>
          <w:tcPr>
            <w:tcW w:w="1740" w:type="dxa"/>
            <w:vAlign w:val="bottom"/>
          </w:tcPr>
          <w:p>
            <w:pPr>
              <w:ind w:left="60"/>
              <w:spacing w:after="0"/>
              <w:rPr>
                <w:sz w:val="20"/>
                <w:szCs w:val="20"/>
                <w:color w:val="auto"/>
              </w:rPr>
            </w:pPr>
            <w:r>
              <w:rPr>
                <w:rFonts w:ascii="Arial" w:cs="Arial" w:eastAsia="Arial" w:hAnsi="Arial"/>
                <w:sz w:val="14"/>
                <w:szCs w:val="14"/>
                <w:color w:val="auto"/>
              </w:rPr>
              <w:t>2/22/2018</w:t>
            </w:r>
          </w:p>
        </w:tc>
        <w:tc>
          <w:tcPr>
            <w:tcW w:w="1100" w:type="dxa"/>
            <w:vAlign w:val="bottom"/>
          </w:tcPr>
          <w:p>
            <w:pPr>
              <w:spacing w:after="0"/>
              <w:rPr>
                <w:sz w:val="16"/>
                <w:szCs w:val="16"/>
                <w:color w:val="auto"/>
              </w:rPr>
            </w:pPr>
          </w:p>
        </w:tc>
        <w:tc>
          <w:tcPr>
            <w:tcW w:w="1020" w:type="dxa"/>
            <w:vAlign w:val="bottom"/>
          </w:tcPr>
          <w:p>
            <w:pPr>
              <w:jc w:val="right"/>
              <w:ind w:right="13"/>
              <w:spacing w:after="0"/>
              <w:rPr>
                <w:sz w:val="20"/>
                <w:szCs w:val="20"/>
                <w:color w:val="auto"/>
              </w:rPr>
            </w:pPr>
            <w:r>
              <w:rPr>
                <w:rFonts w:ascii="Arial" w:cs="Arial" w:eastAsia="Arial" w:hAnsi="Arial"/>
                <w:sz w:val="14"/>
                <w:szCs w:val="14"/>
                <w:color w:val="auto"/>
              </w:rPr>
              <w:t>TSR PSU</w:t>
            </w:r>
            <w:r>
              <w:rPr>
                <w:rFonts w:ascii="Arial" w:cs="Arial" w:eastAsia="Arial" w:hAnsi="Arial"/>
                <w:sz w:val="11"/>
                <w:szCs w:val="11"/>
                <w:color w:val="auto"/>
              </w:rPr>
              <w:t>(5)</w:t>
            </w:r>
          </w:p>
        </w:tc>
        <w:tc>
          <w:tcPr>
            <w:tcW w:w="1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jc w:val="right"/>
              <w:ind w:right="55"/>
              <w:spacing w:after="0"/>
              <w:rPr>
                <w:sz w:val="20"/>
                <w:szCs w:val="20"/>
                <w:color w:val="auto"/>
              </w:rPr>
            </w:pPr>
            <w:r>
              <w:rPr>
                <w:rFonts w:ascii="Arial" w:cs="Arial" w:eastAsia="Arial" w:hAnsi="Arial"/>
                <w:sz w:val="14"/>
                <w:szCs w:val="14"/>
                <w:color w:val="auto"/>
              </w:rPr>
              <w:t>2,371</w:t>
            </w:r>
          </w:p>
        </w:tc>
        <w:tc>
          <w:tcPr>
            <w:tcW w:w="740" w:type="dxa"/>
            <w:vAlign w:val="bottom"/>
          </w:tcPr>
          <w:p>
            <w:pPr>
              <w:ind w:left="200"/>
              <w:spacing w:after="0"/>
              <w:rPr>
                <w:sz w:val="20"/>
                <w:szCs w:val="20"/>
                <w:color w:val="auto"/>
              </w:rPr>
            </w:pPr>
            <w:r>
              <w:rPr>
                <w:rFonts w:ascii="Arial" w:cs="Arial" w:eastAsia="Arial" w:hAnsi="Arial"/>
                <w:sz w:val="14"/>
                <w:szCs w:val="14"/>
                <w:color w:val="auto"/>
              </w:rPr>
              <w:t>153,285</w:t>
            </w:r>
          </w:p>
        </w:tc>
      </w:tr>
      <w:tr>
        <w:trPr>
          <w:trHeight w:val="203"/>
        </w:trPr>
        <w:tc>
          <w:tcPr>
            <w:tcW w:w="1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162"/>
        </w:trPr>
        <w:tc>
          <w:tcPr>
            <w:tcW w:w="2840" w:type="dxa"/>
            <w:vAlign w:val="bottom"/>
            <w:gridSpan w:val="2"/>
            <w:shd w:val="clear" w:color="auto" w:fill="E5EAF5"/>
          </w:tcPr>
          <w:p>
            <w:pPr>
              <w:ind w:left="60"/>
              <w:spacing w:after="0"/>
              <w:rPr>
                <w:sz w:val="20"/>
                <w:szCs w:val="20"/>
                <w:color w:val="auto"/>
              </w:rPr>
            </w:pPr>
            <w:r>
              <w:rPr>
                <w:rFonts w:ascii="Arial" w:cs="Arial" w:eastAsia="Arial" w:hAnsi="Arial"/>
                <w:sz w:val="14"/>
                <w:szCs w:val="14"/>
                <w:color w:val="auto"/>
              </w:rPr>
              <w:t>Amit Zukerman</w:t>
            </w:r>
          </w:p>
        </w:tc>
        <w:tc>
          <w:tcPr>
            <w:tcW w:w="1020" w:type="dxa"/>
            <w:vAlign w:val="bottom"/>
            <w:shd w:val="clear" w:color="auto" w:fill="E5EAF5"/>
          </w:tcPr>
          <w:p>
            <w:pPr>
              <w:spacing w:after="0"/>
              <w:rPr>
                <w:sz w:val="14"/>
                <w:szCs w:val="14"/>
                <w:color w:val="auto"/>
              </w:rPr>
            </w:pPr>
          </w:p>
        </w:tc>
        <w:tc>
          <w:tcPr>
            <w:tcW w:w="1120" w:type="dxa"/>
            <w:vAlign w:val="bottom"/>
            <w:shd w:val="clear" w:color="auto" w:fill="E5EAF5"/>
          </w:tcPr>
          <w:p>
            <w:pPr>
              <w:spacing w:after="0"/>
              <w:rPr>
                <w:sz w:val="14"/>
                <w:szCs w:val="14"/>
                <w:color w:val="auto"/>
              </w:rPr>
            </w:pPr>
          </w:p>
        </w:tc>
        <w:tc>
          <w:tcPr>
            <w:tcW w:w="1320" w:type="dxa"/>
            <w:vAlign w:val="bottom"/>
            <w:shd w:val="clear" w:color="auto" w:fill="E5EAF5"/>
          </w:tcPr>
          <w:p>
            <w:pPr>
              <w:spacing w:after="0"/>
              <w:rPr>
                <w:sz w:val="14"/>
                <w:szCs w:val="14"/>
                <w:color w:val="auto"/>
              </w:rPr>
            </w:pPr>
          </w:p>
        </w:tc>
        <w:tc>
          <w:tcPr>
            <w:tcW w:w="620" w:type="dxa"/>
            <w:vAlign w:val="bottom"/>
            <w:shd w:val="clear" w:color="auto" w:fill="E5EAF5"/>
          </w:tcPr>
          <w:p>
            <w:pPr>
              <w:spacing w:after="0"/>
              <w:rPr>
                <w:sz w:val="14"/>
                <w:szCs w:val="14"/>
                <w:color w:val="auto"/>
              </w:rPr>
            </w:pPr>
          </w:p>
        </w:tc>
        <w:tc>
          <w:tcPr>
            <w:tcW w:w="860" w:type="dxa"/>
            <w:vAlign w:val="bottom"/>
            <w:shd w:val="clear" w:color="auto" w:fill="E5EAF5"/>
          </w:tcPr>
          <w:p>
            <w:pPr>
              <w:spacing w:after="0"/>
              <w:rPr>
                <w:sz w:val="14"/>
                <w:szCs w:val="14"/>
                <w:color w:val="auto"/>
              </w:rPr>
            </w:pPr>
          </w:p>
        </w:tc>
        <w:tc>
          <w:tcPr>
            <w:tcW w:w="860" w:type="dxa"/>
            <w:vAlign w:val="bottom"/>
            <w:shd w:val="clear" w:color="auto" w:fill="E5EAF5"/>
          </w:tcPr>
          <w:p>
            <w:pPr>
              <w:spacing w:after="0"/>
              <w:rPr>
                <w:sz w:val="14"/>
                <w:szCs w:val="14"/>
                <w:color w:val="auto"/>
              </w:rPr>
            </w:pPr>
          </w:p>
        </w:tc>
        <w:tc>
          <w:tcPr>
            <w:tcW w:w="840" w:type="dxa"/>
            <w:vAlign w:val="bottom"/>
            <w:shd w:val="clear" w:color="auto" w:fill="E5EAF5"/>
          </w:tcPr>
          <w:p>
            <w:pPr>
              <w:spacing w:after="0"/>
              <w:rPr>
                <w:sz w:val="14"/>
                <w:szCs w:val="14"/>
                <w:color w:val="auto"/>
              </w:rPr>
            </w:pPr>
          </w:p>
        </w:tc>
        <w:tc>
          <w:tcPr>
            <w:tcW w:w="800" w:type="dxa"/>
            <w:vAlign w:val="bottom"/>
            <w:shd w:val="clear" w:color="auto" w:fill="E5EAF5"/>
          </w:tcPr>
          <w:p>
            <w:pPr>
              <w:spacing w:after="0"/>
              <w:rPr>
                <w:sz w:val="14"/>
                <w:szCs w:val="14"/>
                <w:color w:val="auto"/>
              </w:rPr>
            </w:pPr>
          </w:p>
        </w:tc>
        <w:tc>
          <w:tcPr>
            <w:tcW w:w="740" w:type="dxa"/>
            <w:vAlign w:val="bottom"/>
            <w:shd w:val="clear" w:color="auto" w:fill="E5EAF5"/>
          </w:tcPr>
          <w:p>
            <w:pPr>
              <w:spacing w:after="0"/>
              <w:rPr>
                <w:sz w:val="14"/>
                <w:szCs w:val="14"/>
                <w:color w:val="auto"/>
              </w:rPr>
            </w:pPr>
          </w:p>
        </w:tc>
      </w:tr>
      <w:tr>
        <w:trPr>
          <w:trHeight w:val="189"/>
        </w:trPr>
        <w:tc>
          <w:tcPr>
            <w:tcW w:w="1740" w:type="dxa"/>
            <w:vAlign w:val="bottom"/>
            <w:shd w:val="clear" w:color="auto" w:fill="E5EAF5"/>
          </w:tcPr>
          <w:p>
            <w:pPr>
              <w:ind w:left="60"/>
              <w:spacing w:after="0"/>
              <w:rPr>
                <w:sz w:val="20"/>
                <w:szCs w:val="20"/>
                <w:color w:val="auto"/>
              </w:rPr>
            </w:pPr>
            <w:r>
              <w:rPr>
                <w:rFonts w:ascii="Arial" w:cs="Arial" w:eastAsia="Arial" w:hAnsi="Arial"/>
                <w:sz w:val="14"/>
                <w:szCs w:val="14"/>
                <w:color w:val="auto"/>
              </w:rPr>
              <w:t>02/24/2016</w:t>
            </w:r>
          </w:p>
        </w:tc>
        <w:tc>
          <w:tcPr>
            <w:tcW w:w="1100" w:type="dxa"/>
            <w:vAlign w:val="bottom"/>
            <w:shd w:val="clear" w:color="auto" w:fill="E5EAF5"/>
          </w:tcPr>
          <w:p>
            <w:pPr>
              <w:spacing w:after="0"/>
              <w:rPr>
                <w:sz w:val="16"/>
                <w:szCs w:val="16"/>
                <w:color w:val="auto"/>
              </w:rPr>
            </w:pPr>
          </w:p>
        </w:tc>
        <w:tc>
          <w:tcPr>
            <w:tcW w:w="1020" w:type="dxa"/>
            <w:vAlign w:val="bottom"/>
            <w:shd w:val="clear" w:color="auto" w:fill="E5EAF5"/>
          </w:tcPr>
          <w:p>
            <w:pPr>
              <w:jc w:val="right"/>
              <w:ind w:right="153"/>
              <w:spacing w:after="0"/>
              <w:rPr>
                <w:sz w:val="20"/>
                <w:szCs w:val="20"/>
                <w:color w:val="auto"/>
              </w:rPr>
            </w:pPr>
            <w:r>
              <w:rPr>
                <w:rFonts w:ascii="Arial" w:cs="Arial" w:eastAsia="Arial" w:hAnsi="Arial"/>
                <w:sz w:val="14"/>
                <w:szCs w:val="14"/>
                <w:color w:val="auto"/>
              </w:rPr>
              <w:t>IM PSU</w:t>
            </w:r>
          </w:p>
        </w:tc>
        <w:tc>
          <w:tcPr>
            <w:tcW w:w="1120" w:type="dxa"/>
            <w:vAlign w:val="bottom"/>
            <w:shd w:val="clear" w:color="auto" w:fill="E5EAF5"/>
          </w:tcPr>
          <w:p>
            <w:pPr>
              <w:spacing w:after="0"/>
              <w:rPr>
                <w:sz w:val="16"/>
                <w:szCs w:val="16"/>
                <w:color w:val="auto"/>
              </w:rPr>
            </w:pPr>
          </w:p>
        </w:tc>
        <w:tc>
          <w:tcPr>
            <w:tcW w:w="1320" w:type="dxa"/>
            <w:vAlign w:val="bottom"/>
            <w:shd w:val="clear" w:color="auto" w:fill="E5EAF5"/>
          </w:tcPr>
          <w:p>
            <w:pPr>
              <w:spacing w:after="0"/>
              <w:rPr>
                <w:sz w:val="16"/>
                <w:szCs w:val="16"/>
                <w:color w:val="auto"/>
              </w:rPr>
            </w:pPr>
          </w:p>
        </w:tc>
        <w:tc>
          <w:tcPr>
            <w:tcW w:w="620" w:type="dxa"/>
            <w:vAlign w:val="bottom"/>
            <w:shd w:val="clear" w:color="auto" w:fill="E5EAF5"/>
          </w:tcPr>
          <w:p>
            <w:pPr>
              <w:spacing w:after="0"/>
              <w:rPr>
                <w:sz w:val="16"/>
                <w:szCs w:val="16"/>
                <w:color w:val="auto"/>
              </w:rPr>
            </w:pPr>
          </w:p>
        </w:tc>
        <w:tc>
          <w:tcPr>
            <w:tcW w:w="860" w:type="dxa"/>
            <w:vAlign w:val="bottom"/>
            <w:shd w:val="clear" w:color="auto" w:fill="E5EAF5"/>
          </w:tcPr>
          <w:p>
            <w:pPr>
              <w:spacing w:after="0"/>
              <w:rPr>
                <w:sz w:val="16"/>
                <w:szCs w:val="16"/>
                <w:color w:val="auto"/>
              </w:rPr>
            </w:pPr>
          </w:p>
        </w:tc>
        <w:tc>
          <w:tcPr>
            <w:tcW w:w="860" w:type="dxa"/>
            <w:vAlign w:val="bottom"/>
            <w:shd w:val="clear" w:color="auto" w:fill="E5EAF5"/>
          </w:tcPr>
          <w:p>
            <w:pPr>
              <w:spacing w:after="0"/>
              <w:rPr>
                <w:sz w:val="16"/>
                <w:szCs w:val="16"/>
                <w:color w:val="auto"/>
              </w:rPr>
            </w:pPr>
          </w:p>
        </w:tc>
        <w:tc>
          <w:tcPr>
            <w:tcW w:w="840" w:type="dxa"/>
            <w:vAlign w:val="bottom"/>
            <w:shd w:val="clear" w:color="auto" w:fill="E5EAF5"/>
          </w:tcPr>
          <w:p>
            <w:pPr>
              <w:spacing w:after="0"/>
              <w:rPr>
                <w:sz w:val="16"/>
                <w:szCs w:val="16"/>
                <w:color w:val="auto"/>
              </w:rPr>
            </w:pPr>
          </w:p>
        </w:tc>
        <w:tc>
          <w:tcPr>
            <w:tcW w:w="800" w:type="dxa"/>
            <w:vAlign w:val="bottom"/>
            <w:shd w:val="clear" w:color="auto" w:fill="E5EAF5"/>
          </w:tcPr>
          <w:p>
            <w:pPr>
              <w:jc w:val="right"/>
              <w:ind w:right="55"/>
              <w:spacing w:after="0"/>
              <w:rPr>
                <w:sz w:val="20"/>
                <w:szCs w:val="20"/>
                <w:color w:val="auto"/>
              </w:rPr>
            </w:pPr>
            <w:r>
              <w:rPr>
                <w:rFonts w:ascii="Arial" w:cs="Arial" w:eastAsia="Arial" w:hAnsi="Arial"/>
                <w:sz w:val="14"/>
                <w:szCs w:val="14"/>
                <w:color w:val="auto"/>
              </w:rPr>
              <w:t>5,352</w:t>
            </w:r>
          </w:p>
        </w:tc>
        <w:tc>
          <w:tcPr>
            <w:tcW w:w="740" w:type="dxa"/>
            <w:vAlign w:val="bottom"/>
            <w:shd w:val="clear" w:color="auto" w:fill="E5EAF5"/>
          </w:tcPr>
          <w:p>
            <w:pPr>
              <w:ind w:left="200"/>
              <w:spacing w:after="0"/>
              <w:rPr>
                <w:sz w:val="20"/>
                <w:szCs w:val="20"/>
                <w:color w:val="auto"/>
              </w:rPr>
            </w:pPr>
            <w:r>
              <w:rPr>
                <w:rFonts w:ascii="Arial" w:cs="Arial" w:eastAsia="Arial" w:hAnsi="Arial"/>
                <w:sz w:val="14"/>
                <w:szCs w:val="14"/>
                <w:color w:val="auto"/>
              </w:rPr>
              <w:t>346,007</w:t>
            </w:r>
          </w:p>
        </w:tc>
      </w:tr>
      <w:tr>
        <w:trPr>
          <w:trHeight w:val="189"/>
        </w:trPr>
        <w:tc>
          <w:tcPr>
            <w:tcW w:w="1740" w:type="dxa"/>
            <w:vAlign w:val="bottom"/>
            <w:shd w:val="clear" w:color="auto" w:fill="E5EAF5"/>
          </w:tcPr>
          <w:p>
            <w:pPr>
              <w:ind w:left="60"/>
              <w:spacing w:after="0"/>
              <w:rPr>
                <w:sz w:val="20"/>
                <w:szCs w:val="20"/>
                <w:color w:val="auto"/>
              </w:rPr>
            </w:pPr>
            <w:r>
              <w:rPr>
                <w:rFonts w:ascii="Arial" w:cs="Arial" w:eastAsia="Arial" w:hAnsi="Arial"/>
                <w:sz w:val="14"/>
                <w:szCs w:val="14"/>
                <w:color w:val="auto"/>
              </w:rPr>
              <w:t>02/24/2016</w:t>
            </w:r>
          </w:p>
        </w:tc>
        <w:tc>
          <w:tcPr>
            <w:tcW w:w="1100" w:type="dxa"/>
            <w:vAlign w:val="bottom"/>
            <w:shd w:val="clear" w:color="auto" w:fill="E5EAF5"/>
          </w:tcPr>
          <w:p>
            <w:pPr>
              <w:spacing w:after="0"/>
              <w:rPr>
                <w:sz w:val="16"/>
                <w:szCs w:val="16"/>
                <w:color w:val="auto"/>
              </w:rPr>
            </w:pPr>
          </w:p>
        </w:tc>
        <w:tc>
          <w:tcPr>
            <w:tcW w:w="1020" w:type="dxa"/>
            <w:vAlign w:val="bottom"/>
            <w:shd w:val="clear" w:color="auto" w:fill="E5EAF5"/>
          </w:tcPr>
          <w:p>
            <w:pPr>
              <w:jc w:val="right"/>
              <w:ind w:right="153"/>
              <w:spacing w:after="0"/>
              <w:rPr>
                <w:sz w:val="20"/>
                <w:szCs w:val="20"/>
                <w:color w:val="auto"/>
              </w:rPr>
            </w:pPr>
            <w:r>
              <w:rPr>
                <w:rFonts w:ascii="Arial" w:cs="Arial" w:eastAsia="Arial" w:hAnsi="Arial"/>
                <w:sz w:val="14"/>
                <w:szCs w:val="14"/>
                <w:color w:val="auto"/>
              </w:rPr>
              <w:t>TSR PSU</w:t>
            </w:r>
          </w:p>
        </w:tc>
        <w:tc>
          <w:tcPr>
            <w:tcW w:w="1120" w:type="dxa"/>
            <w:vAlign w:val="bottom"/>
            <w:shd w:val="clear" w:color="auto" w:fill="E5EAF5"/>
          </w:tcPr>
          <w:p>
            <w:pPr>
              <w:spacing w:after="0"/>
              <w:rPr>
                <w:sz w:val="16"/>
                <w:szCs w:val="16"/>
                <w:color w:val="auto"/>
              </w:rPr>
            </w:pPr>
          </w:p>
        </w:tc>
        <w:tc>
          <w:tcPr>
            <w:tcW w:w="1320" w:type="dxa"/>
            <w:vAlign w:val="bottom"/>
            <w:shd w:val="clear" w:color="auto" w:fill="E5EAF5"/>
          </w:tcPr>
          <w:p>
            <w:pPr>
              <w:spacing w:after="0"/>
              <w:rPr>
                <w:sz w:val="16"/>
                <w:szCs w:val="16"/>
                <w:color w:val="auto"/>
              </w:rPr>
            </w:pPr>
          </w:p>
        </w:tc>
        <w:tc>
          <w:tcPr>
            <w:tcW w:w="620" w:type="dxa"/>
            <w:vAlign w:val="bottom"/>
            <w:shd w:val="clear" w:color="auto" w:fill="E5EAF5"/>
          </w:tcPr>
          <w:p>
            <w:pPr>
              <w:spacing w:after="0"/>
              <w:rPr>
                <w:sz w:val="16"/>
                <w:szCs w:val="16"/>
                <w:color w:val="auto"/>
              </w:rPr>
            </w:pPr>
          </w:p>
        </w:tc>
        <w:tc>
          <w:tcPr>
            <w:tcW w:w="860" w:type="dxa"/>
            <w:vAlign w:val="bottom"/>
            <w:shd w:val="clear" w:color="auto" w:fill="E5EAF5"/>
          </w:tcPr>
          <w:p>
            <w:pPr>
              <w:spacing w:after="0"/>
              <w:rPr>
                <w:sz w:val="16"/>
                <w:szCs w:val="16"/>
                <w:color w:val="auto"/>
              </w:rPr>
            </w:pPr>
          </w:p>
        </w:tc>
        <w:tc>
          <w:tcPr>
            <w:tcW w:w="860" w:type="dxa"/>
            <w:vAlign w:val="bottom"/>
            <w:shd w:val="clear" w:color="auto" w:fill="E5EAF5"/>
          </w:tcPr>
          <w:p>
            <w:pPr>
              <w:spacing w:after="0"/>
              <w:rPr>
                <w:sz w:val="16"/>
                <w:szCs w:val="16"/>
                <w:color w:val="auto"/>
              </w:rPr>
            </w:pPr>
          </w:p>
        </w:tc>
        <w:tc>
          <w:tcPr>
            <w:tcW w:w="840" w:type="dxa"/>
            <w:vAlign w:val="bottom"/>
            <w:shd w:val="clear" w:color="auto" w:fill="E5EAF5"/>
          </w:tcPr>
          <w:p>
            <w:pPr>
              <w:spacing w:after="0"/>
              <w:rPr>
                <w:sz w:val="16"/>
                <w:szCs w:val="16"/>
                <w:color w:val="auto"/>
              </w:rPr>
            </w:pPr>
          </w:p>
        </w:tc>
        <w:tc>
          <w:tcPr>
            <w:tcW w:w="800" w:type="dxa"/>
            <w:vAlign w:val="bottom"/>
            <w:shd w:val="clear" w:color="auto" w:fill="E5EAF5"/>
          </w:tcPr>
          <w:p>
            <w:pPr>
              <w:jc w:val="right"/>
              <w:ind w:right="55"/>
              <w:spacing w:after="0"/>
              <w:rPr>
                <w:sz w:val="20"/>
                <w:szCs w:val="20"/>
                <w:color w:val="auto"/>
              </w:rPr>
            </w:pPr>
            <w:r>
              <w:rPr>
                <w:rFonts w:ascii="Arial" w:cs="Arial" w:eastAsia="Arial" w:hAnsi="Arial"/>
                <w:sz w:val="14"/>
                <w:szCs w:val="14"/>
                <w:color w:val="auto"/>
              </w:rPr>
              <w:t>4,467</w:t>
            </w:r>
          </w:p>
        </w:tc>
        <w:tc>
          <w:tcPr>
            <w:tcW w:w="740" w:type="dxa"/>
            <w:vAlign w:val="bottom"/>
            <w:shd w:val="clear" w:color="auto" w:fill="E5EAF5"/>
          </w:tcPr>
          <w:p>
            <w:pPr>
              <w:ind w:left="200"/>
              <w:spacing w:after="0"/>
              <w:rPr>
                <w:sz w:val="20"/>
                <w:szCs w:val="20"/>
                <w:color w:val="auto"/>
              </w:rPr>
            </w:pPr>
            <w:r>
              <w:rPr>
                <w:rFonts w:ascii="Arial" w:cs="Arial" w:eastAsia="Arial" w:hAnsi="Arial"/>
                <w:sz w:val="14"/>
                <w:szCs w:val="14"/>
                <w:color w:val="auto"/>
              </w:rPr>
              <w:t>288,792</w:t>
            </w:r>
          </w:p>
        </w:tc>
      </w:tr>
      <w:tr>
        <w:trPr>
          <w:trHeight w:val="189"/>
        </w:trPr>
        <w:tc>
          <w:tcPr>
            <w:tcW w:w="1740" w:type="dxa"/>
            <w:vAlign w:val="bottom"/>
            <w:shd w:val="clear" w:color="auto" w:fill="E5EAF5"/>
          </w:tcPr>
          <w:p>
            <w:pPr>
              <w:ind w:left="60"/>
              <w:spacing w:after="0"/>
              <w:rPr>
                <w:sz w:val="20"/>
                <w:szCs w:val="20"/>
                <w:color w:val="auto"/>
              </w:rPr>
            </w:pPr>
            <w:r>
              <w:rPr>
                <w:rFonts w:ascii="Arial" w:cs="Arial" w:eastAsia="Arial" w:hAnsi="Arial"/>
                <w:sz w:val="14"/>
                <w:szCs w:val="14"/>
                <w:color w:val="auto"/>
              </w:rPr>
              <w:t>02/24/2016</w:t>
            </w:r>
          </w:p>
        </w:tc>
        <w:tc>
          <w:tcPr>
            <w:tcW w:w="1100" w:type="dxa"/>
            <w:vAlign w:val="bottom"/>
            <w:shd w:val="clear" w:color="auto" w:fill="E5EAF5"/>
          </w:tcPr>
          <w:p>
            <w:pPr>
              <w:spacing w:after="0"/>
              <w:rPr>
                <w:sz w:val="16"/>
                <w:szCs w:val="16"/>
                <w:color w:val="auto"/>
              </w:rPr>
            </w:pPr>
          </w:p>
        </w:tc>
        <w:tc>
          <w:tcPr>
            <w:tcW w:w="1020" w:type="dxa"/>
            <w:vAlign w:val="bottom"/>
            <w:shd w:val="clear" w:color="auto" w:fill="E5EAF5"/>
          </w:tcPr>
          <w:p>
            <w:pPr>
              <w:jc w:val="right"/>
              <w:ind w:right="153"/>
              <w:spacing w:after="0"/>
              <w:rPr>
                <w:sz w:val="20"/>
                <w:szCs w:val="20"/>
                <w:color w:val="auto"/>
              </w:rPr>
            </w:pPr>
            <w:r>
              <w:rPr>
                <w:rFonts w:ascii="Arial" w:cs="Arial" w:eastAsia="Arial" w:hAnsi="Arial"/>
                <w:sz w:val="14"/>
                <w:szCs w:val="14"/>
                <w:color w:val="auto"/>
              </w:rPr>
              <w:t>RSU</w:t>
            </w:r>
          </w:p>
        </w:tc>
        <w:tc>
          <w:tcPr>
            <w:tcW w:w="1120" w:type="dxa"/>
            <w:vAlign w:val="bottom"/>
            <w:shd w:val="clear" w:color="auto" w:fill="E5EAF5"/>
          </w:tcPr>
          <w:p>
            <w:pPr>
              <w:spacing w:after="0"/>
              <w:rPr>
                <w:sz w:val="16"/>
                <w:szCs w:val="16"/>
                <w:color w:val="auto"/>
              </w:rPr>
            </w:pPr>
          </w:p>
        </w:tc>
        <w:tc>
          <w:tcPr>
            <w:tcW w:w="1320" w:type="dxa"/>
            <w:vAlign w:val="bottom"/>
            <w:shd w:val="clear" w:color="auto" w:fill="E5EAF5"/>
          </w:tcPr>
          <w:p>
            <w:pPr>
              <w:spacing w:after="0"/>
              <w:rPr>
                <w:sz w:val="16"/>
                <w:szCs w:val="16"/>
                <w:color w:val="auto"/>
              </w:rPr>
            </w:pPr>
          </w:p>
        </w:tc>
        <w:tc>
          <w:tcPr>
            <w:tcW w:w="620" w:type="dxa"/>
            <w:vAlign w:val="bottom"/>
            <w:shd w:val="clear" w:color="auto" w:fill="E5EAF5"/>
          </w:tcPr>
          <w:p>
            <w:pPr>
              <w:spacing w:after="0"/>
              <w:rPr>
                <w:sz w:val="16"/>
                <w:szCs w:val="16"/>
                <w:color w:val="auto"/>
              </w:rPr>
            </w:pPr>
          </w:p>
        </w:tc>
        <w:tc>
          <w:tcPr>
            <w:tcW w:w="860" w:type="dxa"/>
            <w:vAlign w:val="bottom"/>
            <w:shd w:val="clear" w:color="auto" w:fill="E5EAF5"/>
          </w:tcPr>
          <w:p>
            <w:pPr>
              <w:spacing w:after="0"/>
              <w:rPr>
                <w:sz w:val="16"/>
                <w:szCs w:val="16"/>
                <w:color w:val="auto"/>
              </w:rPr>
            </w:pPr>
          </w:p>
        </w:tc>
        <w:tc>
          <w:tcPr>
            <w:tcW w:w="860" w:type="dxa"/>
            <w:vAlign w:val="bottom"/>
            <w:shd w:val="clear" w:color="auto" w:fill="E5EAF5"/>
          </w:tcPr>
          <w:p>
            <w:pPr>
              <w:jc w:val="right"/>
              <w:ind w:right="55"/>
              <w:spacing w:after="0"/>
              <w:rPr>
                <w:sz w:val="20"/>
                <w:szCs w:val="20"/>
                <w:color w:val="auto"/>
              </w:rPr>
            </w:pPr>
            <w:r>
              <w:rPr>
                <w:rFonts w:ascii="Arial" w:cs="Arial" w:eastAsia="Arial" w:hAnsi="Arial"/>
                <w:sz w:val="14"/>
                <w:szCs w:val="14"/>
                <w:color w:val="auto"/>
              </w:rPr>
              <w:t>1,141</w:t>
            </w:r>
          </w:p>
        </w:tc>
        <w:tc>
          <w:tcPr>
            <w:tcW w:w="840" w:type="dxa"/>
            <w:vAlign w:val="bottom"/>
            <w:shd w:val="clear" w:color="auto" w:fill="E5EAF5"/>
          </w:tcPr>
          <w:p>
            <w:pPr>
              <w:jc w:val="right"/>
              <w:ind w:right="35"/>
              <w:spacing w:after="0"/>
              <w:rPr>
                <w:sz w:val="20"/>
                <w:szCs w:val="20"/>
                <w:color w:val="auto"/>
              </w:rPr>
            </w:pPr>
            <w:r>
              <w:rPr>
                <w:rFonts w:ascii="Arial" w:cs="Arial" w:eastAsia="Arial" w:hAnsi="Arial"/>
                <w:sz w:val="14"/>
                <w:szCs w:val="14"/>
                <w:color w:val="auto"/>
              </w:rPr>
              <w:t>73,766</w:t>
            </w:r>
          </w:p>
        </w:tc>
        <w:tc>
          <w:tcPr>
            <w:tcW w:w="800" w:type="dxa"/>
            <w:vAlign w:val="bottom"/>
            <w:shd w:val="clear" w:color="auto" w:fill="E5EAF5"/>
          </w:tcPr>
          <w:p>
            <w:pPr>
              <w:spacing w:after="0"/>
              <w:rPr>
                <w:sz w:val="16"/>
                <w:szCs w:val="16"/>
                <w:color w:val="auto"/>
              </w:rPr>
            </w:pPr>
          </w:p>
        </w:tc>
        <w:tc>
          <w:tcPr>
            <w:tcW w:w="740" w:type="dxa"/>
            <w:vAlign w:val="bottom"/>
            <w:shd w:val="clear" w:color="auto" w:fill="E5EAF5"/>
          </w:tcPr>
          <w:p>
            <w:pPr>
              <w:spacing w:after="0"/>
              <w:rPr>
                <w:sz w:val="16"/>
                <w:szCs w:val="16"/>
                <w:color w:val="auto"/>
              </w:rPr>
            </w:pPr>
          </w:p>
        </w:tc>
      </w:tr>
      <w:tr>
        <w:trPr>
          <w:trHeight w:val="189"/>
        </w:trPr>
        <w:tc>
          <w:tcPr>
            <w:tcW w:w="1740" w:type="dxa"/>
            <w:vAlign w:val="bottom"/>
            <w:shd w:val="clear" w:color="auto" w:fill="E5EAF5"/>
          </w:tcPr>
          <w:p>
            <w:pPr>
              <w:ind w:left="60"/>
              <w:spacing w:after="0"/>
              <w:rPr>
                <w:sz w:val="20"/>
                <w:szCs w:val="20"/>
                <w:color w:val="auto"/>
              </w:rPr>
            </w:pPr>
            <w:r>
              <w:rPr>
                <w:rFonts w:ascii="Arial" w:cs="Arial" w:eastAsia="Arial" w:hAnsi="Arial"/>
                <w:sz w:val="14"/>
                <w:szCs w:val="14"/>
                <w:color w:val="auto"/>
              </w:rPr>
              <w:t>07/28/2016</w:t>
            </w:r>
          </w:p>
        </w:tc>
        <w:tc>
          <w:tcPr>
            <w:tcW w:w="1100" w:type="dxa"/>
            <w:vAlign w:val="bottom"/>
            <w:shd w:val="clear" w:color="auto" w:fill="E5EAF5"/>
          </w:tcPr>
          <w:p>
            <w:pPr>
              <w:spacing w:after="0"/>
              <w:rPr>
                <w:sz w:val="16"/>
                <w:szCs w:val="16"/>
                <w:color w:val="auto"/>
              </w:rPr>
            </w:pPr>
          </w:p>
        </w:tc>
        <w:tc>
          <w:tcPr>
            <w:tcW w:w="1020" w:type="dxa"/>
            <w:vAlign w:val="bottom"/>
            <w:shd w:val="clear" w:color="auto" w:fill="E5EAF5"/>
          </w:tcPr>
          <w:p>
            <w:pPr>
              <w:jc w:val="right"/>
              <w:ind w:right="153"/>
              <w:spacing w:after="0"/>
              <w:rPr>
                <w:sz w:val="20"/>
                <w:szCs w:val="20"/>
                <w:color w:val="auto"/>
              </w:rPr>
            </w:pPr>
            <w:r>
              <w:rPr>
                <w:rFonts w:ascii="Arial" w:cs="Arial" w:eastAsia="Arial" w:hAnsi="Arial"/>
                <w:sz w:val="14"/>
                <w:szCs w:val="14"/>
                <w:color w:val="auto"/>
              </w:rPr>
              <w:t>Option</w:t>
            </w:r>
          </w:p>
        </w:tc>
        <w:tc>
          <w:tcPr>
            <w:tcW w:w="1120" w:type="dxa"/>
            <w:vAlign w:val="bottom"/>
            <w:shd w:val="clear" w:color="auto" w:fill="E5EAF5"/>
          </w:tcPr>
          <w:p>
            <w:pPr>
              <w:spacing w:after="0"/>
              <w:rPr>
                <w:sz w:val="16"/>
                <w:szCs w:val="16"/>
                <w:color w:val="auto"/>
              </w:rPr>
            </w:pPr>
          </w:p>
        </w:tc>
        <w:tc>
          <w:tcPr>
            <w:tcW w:w="1320" w:type="dxa"/>
            <w:vAlign w:val="bottom"/>
            <w:shd w:val="clear" w:color="auto" w:fill="E5EAF5"/>
          </w:tcPr>
          <w:p>
            <w:pPr>
              <w:jc w:val="right"/>
              <w:ind w:right="155"/>
              <w:spacing w:after="0"/>
              <w:rPr>
                <w:sz w:val="20"/>
                <w:szCs w:val="20"/>
                <w:color w:val="auto"/>
              </w:rPr>
            </w:pPr>
            <w:r>
              <w:rPr>
                <w:rFonts w:ascii="Arial" w:cs="Arial" w:eastAsia="Arial" w:hAnsi="Arial"/>
                <w:sz w:val="14"/>
                <w:szCs w:val="14"/>
                <w:color w:val="auto"/>
              </w:rPr>
              <w:t>95,907</w:t>
            </w:r>
          </w:p>
        </w:tc>
        <w:tc>
          <w:tcPr>
            <w:tcW w:w="620" w:type="dxa"/>
            <w:vAlign w:val="bottom"/>
            <w:shd w:val="clear" w:color="auto" w:fill="E5EAF5"/>
          </w:tcPr>
          <w:p>
            <w:pPr>
              <w:ind w:left="180"/>
              <w:spacing w:after="0"/>
              <w:rPr>
                <w:sz w:val="20"/>
                <w:szCs w:val="20"/>
                <w:color w:val="auto"/>
              </w:rPr>
            </w:pPr>
            <w:r>
              <w:rPr>
                <w:rFonts w:ascii="Arial" w:cs="Arial" w:eastAsia="Arial" w:hAnsi="Arial"/>
                <w:sz w:val="14"/>
                <w:szCs w:val="14"/>
                <w:color w:val="auto"/>
              </w:rPr>
              <w:t>32.69</w:t>
            </w:r>
          </w:p>
        </w:tc>
        <w:tc>
          <w:tcPr>
            <w:tcW w:w="860" w:type="dxa"/>
            <w:vAlign w:val="bottom"/>
            <w:shd w:val="clear" w:color="auto" w:fill="E5EAF5"/>
          </w:tcPr>
          <w:p>
            <w:pPr>
              <w:jc w:val="right"/>
              <w:ind w:right="54"/>
              <w:spacing w:after="0"/>
              <w:rPr>
                <w:sz w:val="20"/>
                <w:szCs w:val="20"/>
                <w:color w:val="auto"/>
              </w:rPr>
            </w:pPr>
            <w:r>
              <w:rPr>
                <w:rFonts w:ascii="Arial" w:cs="Arial" w:eastAsia="Arial" w:hAnsi="Arial"/>
                <w:sz w:val="14"/>
                <w:szCs w:val="14"/>
                <w:color w:val="auto"/>
              </w:rPr>
              <w:t>7/28/2022</w:t>
            </w:r>
          </w:p>
        </w:tc>
        <w:tc>
          <w:tcPr>
            <w:tcW w:w="860" w:type="dxa"/>
            <w:vAlign w:val="bottom"/>
            <w:shd w:val="clear" w:color="auto" w:fill="E5EAF5"/>
          </w:tcPr>
          <w:p>
            <w:pPr>
              <w:spacing w:after="0"/>
              <w:rPr>
                <w:sz w:val="16"/>
                <w:szCs w:val="16"/>
                <w:color w:val="auto"/>
              </w:rPr>
            </w:pPr>
          </w:p>
        </w:tc>
        <w:tc>
          <w:tcPr>
            <w:tcW w:w="840" w:type="dxa"/>
            <w:vAlign w:val="bottom"/>
            <w:shd w:val="clear" w:color="auto" w:fill="E5EAF5"/>
          </w:tcPr>
          <w:p>
            <w:pPr>
              <w:spacing w:after="0"/>
              <w:rPr>
                <w:sz w:val="16"/>
                <w:szCs w:val="16"/>
                <w:color w:val="auto"/>
              </w:rPr>
            </w:pPr>
          </w:p>
        </w:tc>
        <w:tc>
          <w:tcPr>
            <w:tcW w:w="800" w:type="dxa"/>
            <w:vAlign w:val="bottom"/>
            <w:shd w:val="clear" w:color="auto" w:fill="E5EAF5"/>
          </w:tcPr>
          <w:p>
            <w:pPr>
              <w:spacing w:after="0"/>
              <w:rPr>
                <w:sz w:val="16"/>
                <w:szCs w:val="16"/>
                <w:color w:val="auto"/>
              </w:rPr>
            </w:pPr>
          </w:p>
        </w:tc>
        <w:tc>
          <w:tcPr>
            <w:tcW w:w="740" w:type="dxa"/>
            <w:vAlign w:val="bottom"/>
            <w:shd w:val="clear" w:color="auto" w:fill="E5EAF5"/>
          </w:tcPr>
          <w:p>
            <w:pPr>
              <w:spacing w:after="0"/>
              <w:rPr>
                <w:sz w:val="16"/>
                <w:szCs w:val="16"/>
                <w:color w:val="auto"/>
              </w:rPr>
            </w:pPr>
          </w:p>
        </w:tc>
      </w:tr>
      <w:tr>
        <w:trPr>
          <w:trHeight w:val="189"/>
        </w:trPr>
        <w:tc>
          <w:tcPr>
            <w:tcW w:w="1740" w:type="dxa"/>
            <w:vAlign w:val="bottom"/>
            <w:shd w:val="clear" w:color="auto" w:fill="E5EAF5"/>
          </w:tcPr>
          <w:p>
            <w:pPr>
              <w:ind w:left="60"/>
              <w:spacing w:after="0"/>
              <w:rPr>
                <w:sz w:val="20"/>
                <w:szCs w:val="20"/>
                <w:color w:val="auto"/>
              </w:rPr>
            </w:pPr>
            <w:r>
              <w:rPr>
                <w:rFonts w:ascii="Arial" w:cs="Arial" w:eastAsia="Arial" w:hAnsi="Arial"/>
                <w:sz w:val="14"/>
                <w:szCs w:val="14"/>
                <w:color w:val="auto"/>
              </w:rPr>
              <w:t>07/28/2016</w:t>
            </w:r>
          </w:p>
        </w:tc>
        <w:tc>
          <w:tcPr>
            <w:tcW w:w="1100" w:type="dxa"/>
            <w:vAlign w:val="bottom"/>
            <w:shd w:val="clear" w:color="auto" w:fill="E5EAF5"/>
          </w:tcPr>
          <w:p>
            <w:pPr>
              <w:spacing w:after="0"/>
              <w:rPr>
                <w:sz w:val="16"/>
                <w:szCs w:val="16"/>
                <w:color w:val="auto"/>
              </w:rPr>
            </w:pPr>
          </w:p>
        </w:tc>
        <w:tc>
          <w:tcPr>
            <w:tcW w:w="1020" w:type="dxa"/>
            <w:vAlign w:val="bottom"/>
            <w:shd w:val="clear" w:color="auto" w:fill="E5EAF5"/>
          </w:tcPr>
          <w:p>
            <w:pPr>
              <w:jc w:val="right"/>
              <w:ind w:right="153"/>
              <w:spacing w:after="0"/>
              <w:rPr>
                <w:sz w:val="20"/>
                <w:szCs w:val="20"/>
                <w:color w:val="auto"/>
              </w:rPr>
            </w:pPr>
            <w:r>
              <w:rPr>
                <w:rFonts w:ascii="Arial" w:cs="Arial" w:eastAsia="Arial" w:hAnsi="Arial"/>
                <w:sz w:val="14"/>
                <w:szCs w:val="14"/>
                <w:color w:val="auto"/>
              </w:rPr>
              <w:t>RSU</w:t>
            </w:r>
          </w:p>
        </w:tc>
        <w:tc>
          <w:tcPr>
            <w:tcW w:w="1120" w:type="dxa"/>
            <w:vAlign w:val="bottom"/>
            <w:shd w:val="clear" w:color="auto" w:fill="E5EAF5"/>
          </w:tcPr>
          <w:p>
            <w:pPr>
              <w:spacing w:after="0"/>
              <w:rPr>
                <w:sz w:val="16"/>
                <w:szCs w:val="16"/>
                <w:color w:val="auto"/>
              </w:rPr>
            </w:pPr>
          </w:p>
        </w:tc>
        <w:tc>
          <w:tcPr>
            <w:tcW w:w="1320" w:type="dxa"/>
            <w:vAlign w:val="bottom"/>
            <w:shd w:val="clear" w:color="auto" w:fill="E5EAF5"/>
          </w:tcPr>
          <w:p>
            <w:pPr>
              <w:spacing w:after="0"/>
              <w:rPr>
                <w:sz w:val="16"/>
                <w:szCs w:val="16"/>
                <w:color w:val="auto"/>
              </w:rPr>
            </w:pPr>
          </w:p>
        </w:tc>
        <w:tc>
          <w:tcPr>
            <w:tcW w:w="620" w:type="dxa"/>
            <w:vAlign w:val="bottom"/>
            <w:shd w:val="clear" w:color="auto" w:fill="E5EAF5"/>
          </w:tcPr>
          <w:p>
            <w:pPr>
              <w:spacing w:after="0"/>
              <w:rPr>
                <w:sz w:val="16"/>
                <w:szCs w:val="16"/>
                <w:color w:val="auto"/>
              </w:rPr>
            </w:pPr>
          </w:p>
        </w:tc>
        <w:tc>
          <w:tcPr>
            <w:tcW w:w="860" w:type="dxa"/>
            <w:vAlign w:val="bottom"/>
            <w:shd w:val="clear" w:color="auto" w:fill="E5EAF5"/>
          </w:tcPr>
          <w:p>
            <w:pPr>
              <w:spacing w:after="0"/>
              <w:rPr>
                <w:sz w:val="16"/>
                <w:szCs w:val="16"/>
                <w:color w:val="auto"/>
              </w:rPr>
            </w:pPr>
          </w:p>
        </w:tc>
        <w:tc>
          <w:tcPr>
            <w:tcW w:w="860" w:type="dxa"/>
            <w:vAlign w:val="bottom"/>
            <w:shd w:val="clear" w:color="auto" w:fill="E5EAF5"/>
          </w:tcPr>
          <w:p>
            <w:pPr>
              <w:jc w:val="right"/>
              <w:ind w:right="55"/>
              <w:spacing w:after="0"/>
              <w:rPr>
                <w:sz w:val="20"/>
                <w:szCs w:val="20"/>
                <w:color w:val="auto"/>
              </w:rPr>
            </w:pPr>
            <w:r>
              <w:rPr>
                <w:rFonts w:ascii="Arial" w:cs="Arial" w:eastAsia="Arial" w:hAnsi="Arial"/>
                <w:sz w:val="14"/>
                <w:szCs w:val="14"/>
                <w:color w:val="auto"/>
              </w:rPr>
              <w:t>19,841</w:t>
            </w:r>
          </w:p>
        </w:tc>
        <w:tc>
          <w:tcPr>
            <w:tcW w:w="840" w:type="dxa"/>
            <w:vAlign w:val="bottom"/>
            <w:shd w:val="clear" w:color="auto" w:fill="E5EAF5"/>
          </w:tcPr>
          <w:p>
            <w:pPr>
              <w:jc w:val="right"/>
              <w:ind w:right="35"/>
              <w:spacing w:after="0"/>
              <w:rPr>
                <w:sz w:val="20"/>
                <w:szCs w:val="20"/>
                <w:color w:val="auto"/>
              </w:rPr>
            </w:pPr>
            <w:r>
              <w:rPr>
                <w:rFonts w:ascii="Arial" w:cs="Arial" w:eastAsia="Arial" w:hAnsi="Arial"/>
                <w:sz w:val="14"/>
                <w:szCs w:val="14"/>
                <w:color w:val="auto"/>
              </w:rPr>
              <w:t>1,282,721</w:t>
            </w:r>
          </w:p>
        </w:tc>
        <w:tc>
          <w:tcPr>
            <w:tcW w:w="800" w:type="dxa"/>
            <w:vAlign w:val="bottom"/>
            <w:shd w:val="clear" w:color="auto" w:fill="E5EAF5"/>
          </w:tcPr>
          <w:p>
            <w:pPr>
              <w:spacing w:after="0"/>
              <w:rPr>
                <w:sz w:val="16"/>
                <w:szCs w:val="16"/>
                <w:color w:val="auto"/>
              </w:rPr>
            </w:pPr>
          </w:p>
        </w:tc>
        <w:tc>
          <w:tcPr>
            <w:tcW w:w="740" w:type="dxa"/>
            <w:vAlign w:val="bottom"/>
            <w:shd w:val="clear" w:color="auto" w:fill="E5EAF5"/>
          </w:tcPr>
          <w:p>
            <w:pPr>
              <w:spacing w:after="0"/>
              <w:rPr>
                <w:sz w:val="16"/>
                <w:szCs w:val="16"/>
                <w:color w:val="auto"/>
              </w:rPr>
            </w:pPr>
          </w:p>
        </w:tc>
      </w:tr>
      <w:tr>
        <w:trPr>
          <w:trHeight w:val="189"/>
        </w:trPr>
        <w:tc>
          <w:tcPr>
            <w:tcW w:w="1740" w:type="dxa"/>
            <w:vAlign w:val="bottom"/>
            <w:shd w:val="clear" w:color="auto" w:fill="E5EAF5"/>
          </w:tcPr>
          <w:p>
            <w:pPr>
              <w:ind w:left="60"/>
              <w:spacing w:after="0"/>
              <w:rPr>
                <w:sz w:val="20"/>
                <w:szCs w:val="20"/>
                <w:color w:val="auto"/>
              </w:rPr>
            </w:pPr>
            <w:r>
              <w:rPr>
                <w:rFonts w:ascii="Arial" w:cs="Arial" w:eastAsia="Arial" w:hAnsi="Arial"/>
                <w:sz w:val="14"/>
                <w:szCs w:val="14"/>
                <w:color w:val="auto"/>
              </w:rPr>
              <w:t>2/17/2017</w:t>
            </w:r>
          </w:p>
        </w:tc>
        <w:tc>
          <w:tcPr>
            <w:tcW w:w="1100" w:type="dxa"/>
            <w:vAlign w:val="bottom"/>
            <w:shd w:val="clear" w:color="auto" w:fill="E5EAF5"/>
          </w:tcPr>
          <w:p>
            <w:pPr>
              <w:spacing w:after="0"/>
              <w:rPr>
                <w:sz w:val="16"/>
                <w:szCs w:val="16"/>
                <w:color w:val="auto"/>
              </w:rPr>
            </w:pPr>
          </w:p>
        </w:tc>
        <w:tc>
          <w:tcPr>
            <w:tcW w:w="1020" w:type="dxa"/>
            <w:vAlign w:val="bottom"/>
            <w:shd w:val="clear" w:color="auto" w:fill="E5EAF5"/>
          </w:tcPr>
          <w:p>
            <w:pPr>
              <w:jc w:val="right"/>
              <w:ind w:right="153"/>
              <w:spacing w:after="0"/>
              <w:rPr>
                <w:sz w:val="20"/>
                <w:szCs w:val="20"/>
                <w:color w:val="auto"/>
              </w:rPr>
            </w:pPr>
            <w:r>
              <w:rPr>
                <w:rFonts w:ascii="Arial" w:cs="Arial" w:eastAsia="Arial" w:hAnsi="Arial"/>
                <w:sz w:val="14"/>
                <w:szCs w:val="14"/>
                <w:color w:val="auto"/>
              </w:rPr>
              <w:t>Option</w:t>
            </w:r>
          </w:p>
        </w:tc>
        <w:tc>
          <w:tcPr>
            <w:tcW w:w="1120" w:type="dxa"/>
            <w:vAlign w:val="bottom"/>
            <w:shd w:val="clear" w:color="auto" w:fill="E5EAF5"/>
          </w:tcPr>
          <w:p>
            <w:pPr>
              <w:spacing w:after="0"/>
              <w:rPr>
                <w:sz w:val="16"/>
                <w:szCs w:val="16"/>
                <w:color w:val="auto"/>
              </w:rPr>
            </w:pPr>
          </w:p>
        </w:tc>
        <w:tc>
          <w:tcPr>
            <w:tcW w:w="1320" w:type="dxa"/>
            <w:vAlign w:val="bottom"/>
            <w:shd w:val="clear" w:color="auto" w:fill="E5EAF5"/>
          </w:tcPr>
          <w:p>
            <w:pPr>
              <w:jc w:val="right"/>
              <w:ind w:right="155"/>
              <w:spacing w:after="0"/>
              <w:rPr>
                <w:sz w:val="20"/>
                <w:szCs w:val="20"/>
                <w:color w:val="auto"/>
              </w:rPr>
            </w:pPr>
            <w:r>
              <w:rPr>
                <w:rFonts w:ascii="Arial" w:cs="Arial" w:eastAsia="Arial" w:hAnsi="Arial"/>
                <w:sz w:val="14"/>
                <w:szCs w:val="14"/>
                <w:color w:val="auto"/>
              </w:rPr>
              <w:t>26,106</w:t>
            </w:r>
          </w:p>
        </w:tc>
        <w:tc>
          <w:tcPr>
            <w:tcW w:w="620" w:type="dxa"/>
            <w:vAlign w:val="bottom"/>
            <w:shd w:val="clear" w:color="auto" w:fill="E5EAF5"/>
          </w:tcPr>
          <w:p>
            <w:pPr>
              <w:ind w:left="180"/>
              <w:spacing w:after="0"/>
              <w:rPr>
                <w:sz w:val="20"/>
                <w:szCs w:val="20"/>
                <w:color w:val="auto"/>
              </w:rPr>
            </w:pPr>
            <w:r>
              <w:rPr>
                <w:rFonts w:ascii="Arial" w:cs="Arial" w:eastAsia="Arial" w:hAnsi="Arial"/>
                <w:sz w:val="14"/>
                <w:szCs w:val="14"/>
                <w:color w:val="auto"/>
              </w:rPr>
              <w:t>52.75</w:t>
            </w:r>
          </w:p>
        </w:tc>
        <w:tc>
          <w:tcPr>
            <w:tcW w:w="860" w:type="dxa"/>
            <w:vAlign w:val="bottom"/>
            <w:shd w:val="clear" w:color="auto" w:fill="E5EAF5"/>
          </w:tcPr>
          <w:p>
            <w:pPr>
              <w:jc w:val="right"/>
              <w:ind w:right="54"/>
              <w:spacing w:after="0"/>
              <w:rPr>
                <w:sz w:val="20"/>
                <w:szCs w:val="20"/>
                <w:color w:val="auto"/>
              </w:rPr>
            </w:pPr>
            <w:r>
              <w:rPr>
                <w:rFonts w:ascii="Arial" w:cs="Arial" w:eastAsia="Arial" w:hAnsi="Arial"/>
                <w:sz w:val="14"/>
                <w:szCs w:val="14"/>
                <w:color w:val="auto"/>
              </w:rPr>
              <w:t>2/17/2023</w:t>
            </w:r>
          </w:p>
        </w:tc>
        <w:tc>
          <w:tcPr>
            <w:tcW w:w="860" w:type="dxa"/>
            <w:vAlign w:val="bottom"/>
            <w:shd w:val="clear" w:color="auto" w:fill="E5EAF5"/>
          </w:tcPr>
          <w:p>
            <w:pPr>
              <w:spacing w:after="0"/>
              <w:rPr>
                <w:sz w:val="16"/>
                <w:szCs w:val="16"/>
                <w:color w:val="auto"/>
              </w:rPr>
            </w:pPr>
          </w:p>
        </w:tc>
        <w:tc>
          <w:tcPr>
            <w:tcW w:w="840" w:type="dxa"/>
            <w:vAlign w:val="bottom"/>
            <w:shd w:val="clear" w:color="auto" w:fill="E5EAF5"/>
          </w:tcPr>
          <w:p>
            <w:pPr>
              <w:spacing w:after="0"/>
              <w:rPr>
                <w:sz w:val="16"/>
                <w:szCs w:val="16"/>
                <w:color w:val="auto"/>
              </w:rPr>
            </w:pPr>
          </w:p>
        </w:tc>
        <w:tc>
          <w:tcPr>
            <w:tcW w:w="800" w:type="dxa"/>
            <w:vAlign w:val="bottom"/>
            <w:shd w:val="clear" w:color="auto" w:fill="E5EAF5"/>
          </w:tcPr>
          <w:p>
            <w:pPr>
              <w:spacing w:after="0"/>
              <w:rPr>
                <w:sz w:val="16"/>
                <w:szCs w:val="16"/>
                <w:color w:val="auto"/>
              </w:rPr>
            </w:pPr>
          </w:p>
        </w:tc>
        <w:tc>
          <w:tcPr>
            <w:tcW w:w="740" w:type="dxa"/>
            <w:vAlign w:val="bottom"/>
            <w:shd w:val="clear" w:color="auto" w:fill="E5EAF5"/>
          </w:tcPr>
          <w:p>
            <w:pPr>
              <w:spacing w:after="0"/>
              <w:rPr>
                <w:sz w:val="16"/>
                <w:szCs w:val="16"/>
                <w:color w:val="auto"/>
              </w:rPr>
            </w:pPr>
          </w:p>
        </w:tc>
      </w:tr>
      <w:tr>
        <w:trPr>
          <w:trHeight w:val="189"/>
        </w:trPr>
        <w:tc>
          <w:tcPr>
            <w:tcW w:w="1740" w:type="dxa"/>
            <w:vAlign w:val="bottom"/>
            <w:shd w:val="clear" w:color="auto" w:fill="E5EAF5"/>
          </w:tcPr>
          <w:p>
            <w:pPr>
              <w:ind w:left="60"/>
              <w:spacing w:after="0"/>
              <w:rPr>
                <w:sz w:val="20"/>
                <w:szCs w:val="20"/>
                <w:color w:val="auto"/>
              </w:rPr>
            </w:pPr>
            <w:r>
              <w:rPr>
                <w:rFonts w:ascii="Arial" w:cs="Arial" w:eastAsia="Arial" w:hAnsi="Arial"/>
                <w:sz w:val="14"/>
                <w:szCs w:val="14"/>
                <w:color w:val="auto"/>
              </w:rPr>
              <w:t>2/17/2017</w:t>
            </w:r>
          </w:p>
        </w:tc>
        <w:tc>
          <w:tcPr>
            <w:tcW w:w="1100" w:type="dxa"/>
            <w:vAlign w:val="bottom"/>
            <w:shd w:val="clear" w:color="auto" w:fill="E5EAF5"/>
          </w:tcPr>
          <w:p>
            <w:pPr>
              <w:spacing w:after="0"/>
              <w:rPr>
                <w:sz w:val="16"/>
                <w:szCs w:val="16"/>
                <w:color w:val="auto"/>
              </w:rPr>
            </w:pPr>
          </w:p>
        </w:tc>
        <w:tc>
          <w:tcPr>
            <w:tcW w:w="1020" w:type="dxa"/>
            <w:vAlign w:val="bottom"/>
            <w:shd w:val="clear" w:color="auto" w:fill="E5EAF5"/>
          </w:tcPr>
          <w:p>
            <w:pPr>
              <w:jc w:val="right"/>
              <w:ind w:right="153"/>
              <w:spacing w:after="0"/>
              <w:rPr>
                <w:sz w:val="20"/>
                <w:szCs w:val="20"/>
                <w:color w:val="auto"/>
              </w:rPr>
            </w:pPr>
            <w:r>
              <w:rPr>
                <w:rFonts w:ascii="Arial" w:cs="Arial" w:eastAsia="Arial" w:hAnsi="Arial"/>
                <w:sz w:val="14"/>
                <w:szCs w:val="14"/>
                <w:color w:val="auto"/>
              </w:rPr>
              <w:t>IM PSU</w:t>
            </w:r>
          </w:p>
        </w:tc>
        <w:tc>
          <w:tcPr>
            <w:tcW w:w="1120" w:type="dxa"/>
            <w:vAlign w:val="bottom"/>
            <w:shd w:val="clear" w:color="auto" w:fill="E5EAF5"/>
          </w:tcPr>
          <w:p>
            <w:pPr>
              <w:spacing w:after="0"/>
              <w:rPr>
                <w:sz w:val="16"/>
                <w:szCs w:val="16"/>
                <w:color w:val="auto"/>
              </w:rPr>
            </w:pPr>
          </w:p>
        </w:tc>
        <w:tc>
          <w:tcPr>
            <w:tcW w:w="1320" w:type="dxa"/>
            <w:vAlign w:val="bottom"/>
            <w:shd w:val="clear" w:color="auto" w:fill="E5EAF5"/>
          </w:tcPr>
          <w:p>
            <w:pPr>
              <w:spacing w:after="0"/>
              <w:rPr>
                <w:sz w:val="16"/>
                <w:szCs w:val="16"/>
                <w:color w:val="auto"/>
              </w:rPr>
            </w:pPr>
          </w:p>
        </w:tc>
        <w:tc>
          <w:tcPr>
            <w:tcW w:w="620" w:type="dxa"/>
            <w:vAlign w:val="bottom"/>
            <w:shd w:val="clear" w:color="auto" w:fill="E5EAF5"/>
          </w:tcPr>
          <w:p>
            <w:pPr>
              <w:spacing w:after="0"/>
              <w:rPr>
                <w:sz w:val="16"/>
                <w:szCs w:val="16"/>
                <w:color w:val="auto"/>
              </w:rPr>
            </w:pPr>
          </w:p>
        </w:tc>
        <w:tc>
          <w:tcPr>
            <w:tcW w:w="860" w:type="dxa"/>
            <w:vAlign w:val="bottom"/>
            <w:shd w:val="clear" w:color="auto" w:fill="E5EAF5"/>
          </w:tcPr>
          <w:p>
            <w:pPr>
              <w:spacing w:after="0"/>
              <w:rPr>
                <w:sz w:val="16"/>
                <w:szCs w:val="16"/>
                <w:color w:val="auto"/>
              </w:rPr>
            </w:pPr>
          </w:p>
        </w:tc>
        <w:tc>
          <w:tcPr>
            <w:tcW w:w="860" w:type="dxa"/>
            <w:vAlign w:val="bottom"/>
            <w:shd w:val="clear" w:color="auto" w:fill="E5EAF5"/>
          </w:tcPr>
          <w:p>
            <w:pPr>
              <w:spacing w:after="0"/>
              <w:rPr>
                <w:sz w:val="16"/>
                <w:szCs w:val="16"/>
                <w:color w:val="auto"/>
              </w:rPr>
            </w:pPr>
          </w:p>
        </w:tc>
        <w:tc>
          <w:tcPr>
            <w:tcW w:w="840" w:type="dxa"/>
            <w:vAlign w:val="bottom"/>
            <w:shd w:val="clear" w:color="auto" w:fill="E5EAF5"/>
          </w:tcPr>
          <w:p>
            <w:pPr>
              <w:spacing w:after="0"/>
              <w:rPr>
                <w:sz w:val="16"/>
                <w:szCs w:val="16"/>
                <w:color w:val="auto"/>
              </w:rPr>
            </w:pPr>
          </w:p>
        </w:tc>
        <w:tc>
          <w:tcPr>
            <w:tcW w:w="800" w:type="dxa"/>
            <w:vAlign w:val="bottom"/>
            <w:shd w:val="clear" w:color="auto" w:fill="E5EAF5"/>
          </w:tcPr>
          <w:p>
            <w:pPr>
              <w:jc w:val="right"/>
              <w:ind w:right="55"/>
              <w:spacing w:after="0"/>
              <w:rPr>
                <w:sz w:val="20"/>
                <w:szCs w:val="20"/>
                <w:color w:val="auto"/>
              </w:rPr>
            </w:pPr>
            <w:r>
              <w:rPr>
                <w:rFonts w:ascii="Arial" w:cs="Arial" w:eastAsia="Arial" w:hAnsi="Arial"/>
                <w:sz w:val="14"/>
                <w:szCs w:val="14"/>
                <w:color w:val="auto"/>
              </w:rPr>
              <w:t>6,059</w:t>
            </w:r>
          </w:p>
        </w:tc>
        <w:tc>
          <w:tcPr>
            <w:tcW w:w="740" w:type="dxa"/>
            <w:vAlign w:val="bottom"/>
            <w:shd w:val="clear" w:color="auto" w:fill="E5EAF5"/>
          </w:tcPr>
          <w:p>
            <w:pPr>
              <w:ind w:left="200"/>
              <w:spacing w:after="0"/>
              <w:rPr>
                <w:sz w:val="20"/>
                <w:szCs w:val="20"/>
                <w:color w:val="auto"/>
              </w:rPr>
            </w:pPr>
            <w:r>
              <w:rPr>
                <w:rFonts w:ascii="Arial" w:cs="Arial" w:eastAsia="Arial" w:hAnsi="Arial"/>
                <w:sz w:val="14"/>
                <w:szCs w:val="14"/>
                <w:color w:val="auto"/>
              </w:rPr>
              <w:t>391,714</w:t>
            </w:r>
          </w:p>
        </w:tc>
      </w:tr>
      <w:tr>
        <w:trPr>
          <w:trHeight w:val="189"/>
        </w:trPr>
        <w:tc>
          <w:tcPr>
            <w:tcW w:w="1740" w:type="dxa"/>
            <w:vAlign w:val="bottom"/>
            <w:shd w:val="clear" w:color="auto" w:fill="E5EAF5"/>
          </w:tcPr>
          <w:p>
            <w:pPr>
              <w:ind w:left="60"/>
              <w:spacing w:after="0"/>
              <w:rPr>
                <w:sz w:val="20"/>
                <w:szCs w:val="20"/>
                <w:color w:val="auto"/>
              </w:rPr>
            </w:pPr>
            <w:r>
              <w:rPr>
                <w:rFonts w:ascii="Arial" w:cs="Arial" w:eastAsia="Arial" w:hAnsi="Arial"/>
                <w:sz w:val="14"/>
                <w:szCs w:val="14"/>
                <w:color w:val="auto"/>
              </w:rPr>
              <w:t>2/17/2017</w:t>
            </w:r>
          </w:p>
        </w:tc>
        <w:tc>
          <w:tcPr>
            <w:tcW w:w="1100" w:type="dxa"/>
            <w:vAlign w:val="bottom"/>
            <w:shd w:val="clear" w:color="auto" w:fill="E5EAF5"/>
          </w:tcPr>
          <w:p>
            <w:pPr>
              <w:spacing w:after="0"/>
              <w:rPr>
                <w:sz w:val="16"/>
                <w:szCs w:val="16"/>
                <w:color w:val="auto"/>
              </w:rPr>
            </w:pPr>
          </w:p>
        </w:tc>
        <w:tc>
          <w:tcPr>
            <w:tcW w:w="1020" w:type="dxa"/>
            <w:vAlign w:val="bottom"/>
            <w:shd w:val="clear" w:color="auto" w:fill="E5EAF5"/>
          </w:tcPr>
          <w:p>
            <w:pPr>
              <w:jc w:val="right"/>
              <w:ind w:right="153"/>
              <w:spacing w:after="0"/>
              <w:rPr>
                <w:sz w:val="20"/>
                <w:szCs w:val="20"/>
                <w:color w:val="auto"/>
              </w:rPr>
            </w:pPr>
            <w:r>
              <w:rPr>
                <w:rFonts w:ascii="Arial" w:cs="Arial" w:eastAsia="Arial" w:hAnsi="Arial"/>
                <w:sz w:val="14"/>
                <w:szCs w:val="14"/>
                <w:color w:val="auto"/>
              </w:rPr>
              <w:t>TSR PSU</w:t>
            </w:r>
          </w:p>
        </w:tc>
        <w:tc>
          <w:tcPr>
            <w:tcW w:w="1120" w:type="dxa"/>
            <w:vAlign w:val="bottom"/>
            <w:shd w:val="clear" w:color="auto" w:fill="E5EAF5"/>
          </w:tcPr>
          <w:p>
            <w:pPr>
              <w:spacing w:after="0"/>
              <w:rPr>
                <w:sz w:val="16"/>
                <w:szCs w:val="16"/>
                <w:color w:val="auto"/>
              </w:rPr>
            </w:pPr>
          </w:p>
        </w:tc>
        <w:tc>
          <w:tcPr>
            <w:tcW w:w="1320" w:type="dxa"/>
            <w:vAlign w:val="bottom"/>
            <w:shd w:val="clear" w:color="auto" w:fill="E5EAF5"/>
          </w:tcPr>
          <w:p>
            <w:pPr>
              <w:spacing w:after="0"/>
              <w:rPr>
                <w:sz w:val="16"/>
                <w:szCs w:val="16"/>
                <w:color w:val="auto"/>
              </w:rPr>
            </w:pPr>
          </w:p>
        </w:tc>
        <w:tc>
          <w:tcPr>
            <w:tcW w:w="620" w:type="dxa"/>
            <w:vAlign w:val="bottom"/>
            <w:shd w:val="clear" w:color="auto" w:fill="E5EAF5"/>
          </w:tcPr>
          <w:p>
            <w:pPr>
              <w:spacing w:after="0"/>
              <w:rPr>
                <w:sz w:val="16"/>
                <w:szCs w:val="16"/>
                <w:color w:val="auto"/>
              </w:rPr>
            </w:pPr>
          </w:p>
        </w:tc>
        <w:tc>
          <w:tcPr>
            <w:tcW w:w="860" w:type="dxa"/>
            <w:vAlign w:val="bottom"/>
            <w:shd w:val="clear" w:color="auto" w:fill="E5EAF5"/>
          </w:tcPr>
          <w:p>
            <w:pPr>
              <w:spacing w:after="0"/>
              <w:rPr>
                <w:sz w:val="16"/>
                <w:szCs w:val="16"/>
                <w:color w:val="auto"/>
              </w:rPr>
            </w:pPr>
          </w:p>
        </w:tc>
        <w:tc>
          <w:tcPr>
            <w:tcW w:w="860" w:type="dxa"/>
            <w:vAlign w:val="bottom"/>
            <w:shd w:val="clear" w:color="auto" w:fill="E5EAF5"/>
          </w:tcPr>
          <w:p>
            <w:pPr>
              <w:spacing w:after="0"/>
              <w:rPr>
                <w:sz w:val="16"/>
                <w:szCs w:val="16"/>
                <w:color w:val="auto"/>
              </w:rPr>
            </w:pPr>
          </w:p>
        </w:tc>
        <w:tc>
          <w:tcPr>
            <w:tcW w:w="840" w:type="dxa"/>
            <w:vAlign w:val="bottom"/>
            <w:shd w:val="clear" w:color="auto" w:fill="E5EAF5"/>
          </w:tcPr>
          <w:p>
            <w:pPr>
              <w:spacing w:after="0"/>
              <w:rPr>
                <w:sz w:val="16"/>
                <w:szCs w:val="16"/>
                <w:color w:val="auto"/>
              </w:rPr>
            </w:pPr>
          </w:p>
        </w:tc>
        <w:tc>
          <w:tcPr>
            <w:tcW w:w="800" w:type="dxa"/>
            <w:vAlign w:val="bottom"/>
            <w:shd w:val="clear" w:color="auto" w:fill="E5EAF5"/>
          </w:tcPr>
          <w:p>
            <w:pPr>
              <w:jc w:val="right"/>
              <w:ind w:right="55"/>
              <w:spacing w:after="0"/>
              <w:rPr>
                <w:sz w:val="20"/>
                <w:szCs w:val="20"/>
                <w:color w:val="auto"/>
              </w:rPr>
            </w:pPr>
            <w:r>
              <w:rPr>
                <w:rFonts w:ascii="Arial" w:cs="Arial" w:eastAsia="Arial" w:hAnsi="Arial"/>
                <w:sz w:val="14"/>
                <w:szCs w:val="14"/>
                <w:color w:val="auto"/>
              </w:rPr>
              <w:t>4,659</w:t>
            </w:r>
          </w:p>
        </w:tc>
        <w:tc>
          <w:tcPr>
            <w:tcW w:w="740" w:type="dxa"/>
            <w:vAlign w:val="bottom"/>
            <w:shd w:val="clear" w:color="auto" w:fill="E5EAF5"/>
          </w:tcPr>
          <w:p>
            <w:pPr>
              <w:ind w:left="200"/>
              <w:spacing w:after="0"/>
              <w:rPr>
                <w:sz w:val="20"/>
                <w:szCs w:val="20"/>
                <w:color w:val="auto"/>
              </w:rPr>
            </w:pPr>
            <w:r>
              <w:rPr>
                <w:rFonts w:ascii="Arial" w:cs="Arial" w:eastAsia="Arial" w:hAnsi="Arial"/>
                <w:sz w:val="14"/>
                <w:szCs w:val="14"/>
                <w:color w:val="auto"/>
              </w:rPr>
              <w:t>301,204</w:t>
            </w:r>
          </w:p>
        </w:tc>
      </w:tr>
      <w:tr>
        <w:trPr>
          <w:trHeight w:val="189"/>
        </w:trPr>
        <w:tc>
          <w:tcPr>
            <w:tcW w:w="1740" w:type="dxa"/>
            <w:vAlign w:val="bottom"/>
            <w:shd w:val="clear" w:color="auto" w:fill="E5EAF5"/>
          </w:tcPr>
          <w:p>
            <w:pPr>
              <w:ind w:left="60"/>
              <w:spacing w:after="0"/>
              <w:rPr>
                <w:sz w:val="20"/>
                <w:szCs w:val="20"/>
                <w:color w:val="auto"/>
              </w:rPr>
            </w:pPr>
            <w:r>
              <w:rPr>
                <w:rFonts w:ascii="Arial" w:cs="Arial" w:eastAsia="Arial" w:hAnsi="Arial"/>
                <w:sz w:val="14"/>
                <w:szCs w:val="14"/>
                <w:color w:val="auto"/>
              </w:rPr>
              <w:t>2/17/2017</w:t>
            </w:r>
          </w:p>
        </w:tc>
        <w:tc>
          <w:tcPr>
            <w:tcW w:w="1100" w:type="dxa"/>
            <w:vAlign w:val="bottom"/>
            <w:shd w:val="clear" w:color="auto" w:fill="E5EAF5"/>
          </w:tcPr>
          <w:p>
            <w:pPr>
              <w:spacing w:after="0"/>
              <w:rPr>
                <w:sz w:val="16"/>
                <w:szCs w:val="16"/>
                <w:color w:val="auto"/>
              </w:rPr>
            </w:pPr>
          </w:p>
        </w:tc>
        <w:tc>
          <w:tcPr>
            <w:tcW w:w="1020" w:type="dxa"/>
            <w:vAlign w:val="bottom"/>
            <w:shd w:val="clear" w:color="auto" w:fill="E5EAF5"/>
          </w:tcPr>
          <w:p>
            <w:pPr>
              <w:jc w:val="right"/>
              <w:ind w:right="153"/>
              <w:spacing w:after="0"/>
              <w:rPr>
                <w:sz w:val="20"/>
                <w:szCs w:val="20"/>
                <w:color w:val="auto"/>
              </w:rPr>
            </w:pPr>
            <w:r>
              <w:rPr>
                <w:rFonts w:ascii="Arial" w:cs="Arial" w:eastAsia="Arial" w:hAnsi="Arial"/>
                <w:sz w:val="14"/>
                <w:szCs w:val="14"/>
                <w:color w:val="auto"/>
              </w:rPr>
              <w:t>RSU</w:t>
            </w:r>
          </w:p>
        </w:tc>
        <w:tc>
          <w:tcPr>
            <w:tcW w:w="1120" w:type="dxa"/>
            <w:vAlign w:val="bottom"/>
            <w:shd w:val="clear" w:color="auto" w:fill="E5EAF5"/>
          </w:tcPr>
          <w:p>
            <w:pPr>
              <w:spacing w:after="0"/>
              <w:rPr>
                <w:sz w:val="16"/>
                <w:szCs w:val="16"/>
                <w:color w:val="auto"/>
              </w:rPr>
            </w:pPr>
          </w:p>
        </w:tc>
        <w:tc>
          <w:tcPr>
            <w:tcW w:w="1320" w:type="dxa"/>
            <w:vAlign w:val="bottom"/>
            <w:shd w:val="clear" w:color="auto" w:fill="E5EAF5"/>
          </w:tcPr>
          <w:p>
            <w:pPr>
              <w:spacing w:after="0"/>
              <w:rPr>
                <w:sz w:val="16"/>
                <w:szCs w:val="16"/>
                <w:color w:val="auto"/>
              </w:rPr>
            </w:pPr>
          </w:p>
        </w:tc>
        <w:tc>
          <w:tcPr>
            <w:tcW w:w="620" w:type="dxa"/>
            <w:vAlign w:val="bottom"/>
            <w:shd w:val="clear" w:color="auto" w:fill="E5EAF5"/>
          </w:tcPr>
          <w:p>
            <w:pPr>
              <w:spacing w:after="0"/>
              <w:rPr>
                <w:sz w:val="16"/>
                <w:szCs w:val="16"/>
                <w:color w:val="auto"/>
              </w:rPr>
            </w:pPr>
          </w:p>
        </w:tc>
        <w:tc>
          <w:tcPr>
            <w:tcW w:w="860" w:type="dxa"/>
            <w:vAlign w:val="bottom"/>
            <w:shd w:val="clear" w:color="auto" w:fill="E5EAF5"/>
          </w:tcPr>
          <w:p>
            <w:pPr>
              <w:spacing w:after="0"/>
              <w:rPr>
                <w:sz w:val="16"/>
                <w:szCs w:val="16"/>
                <w:color w:val="auto"/>
              </w:rPr>
            </w:pPr>
          </w:p>
        </w:tc>
        <w:tc>
          <w:tcPr>
            <w:tcW w:w="860" w:type="dxa"/>
            <w:vAlign w:val="bottom"/>
            <w:shd w:val="clear" w:color="auto" w:fill="E5EAF5"/>
          </w:tcPr>
          <w:p>
            <w:pPr>
              <w:jc w:val="right"/>
              <w:ind w:right="55"/>
              <w:spacing w:after="0"/>
              <w:rPr>
                <w:sz w:val="20"/>
                <w:szCs w:val="20"/>
                <w:color w:val="auto"/>
              </w:rPr>
            </w:pPr>
            <w:r>
              <w:rPr>
                <w:rFonts w:ascii="Arial" w:cs="Arial" w:eastAsia="Arial" w:hAnsi="Arial"/>
                <w:sz w:val="14"/>
                <w:szCs w:val="14"/>
                <w:color w:val="auto"/>
              </w:rPr>
              <w:t>4,009</w:t>
            </w:r>
          </w:p>
        </w:tc>
        <w:tc>
          <w:tcPr>
            <w:tcW w:w="840" w:type="dxa"/>
            <w:vAlign w:val="bottom"/>
            <w:shd w:val="clear" w:color="auto" w:fill="E5EAF5"/>
          </w:tcPr>
          <w:p>
            <w:pPr>
              <w:jc w:val="right"/>
              <w:ind w:right="35"/>
              <w:spacing w:after="0"/>
              <w:rPr>
                <w:sz w:val="20"/>
                <w:szCs w:val="20"/>
                <w:color w:val="auto"/>
              </w:rPr>
            </w:pPr>
            <w:r>
              <w:rPr>
                <w:rFonts w:ascii="Arial" w:cs="Arial" w:eastAsia="Arial" w:hAnsi="Arial"/>
                <w:sz w:val="14"/>
                <w:szCs w:val="14"/>
                <w:color w:val="auto"/>
              </w:rPr>
              <w:t>259,182</w:t>
            </w:r>
          </w:p>
        </w:tc>
        <w:tc>
          <w:tcPr>
            <w:tcW w:w="800" w:type="dxa"/>
            <w:vAlign w:val="bottom"/>
            <w:shd w:val="clear" w:color="auto" w:fill="E5EAF5"/>
          </w:tcPr>
          <w:p>
            <w:pPr>
              <w:spacing w:after="0"/>
              <w:rPr>
                <w:sz w:val="16"/>
                <w:szCs w:val="16"/>
                <w:color w:val="auto"/>
              </w:rPr>
            </w:pPr>
          </w:p>
        </w:tc>
        <w:tc>
          <w:tcPr>
            <w:tcW w:w="740" w:type="dxa"/>
            <w:vAlign w:val="bottom"/>
            <w:shd w:val="clear" w:color="auto" w:fill="E5EAF5"/>
          </w:tcPr>
          <w:p>
            <w:pPr>
              <w:spacing w:after="0"/>
              <w:rPr>
                <w:sz w:val="16"/>
                <w:szCs w:val="16"/>
                <w:color w:val="auto"/>
              </w:rPr>
            </w:pPr>
          </w:p>
        </w:tc>
      </w:tr>
      <w:tr>
        <w:trPr>
          <w:trHeight w:val="189"/>
        </w:trPr>
        <w:tc>
          <w:tcPr>
            <w:tcW w:w="1740" w:type="dxa"/>
            <w:vAlign w:val="bottom"/>
            <w:shd w:val="clear" w:color="auto" w:fill="E5EAF5"/>
          </w:tcPr>
          <w:p>
            <w:pPr>
              <w:ind w:left="60"/>
              <w:spacing w:after="0"/>
              <w:rPr>
                <w:sz w:val="20"/>
                <w:szCs w:val="20"/>
                <w:color w:val="auto"/>
              </w:rPr>
            </w:pPr>
            <w:r>
              <w:rPr>
                <w:rFonts w:ascii="Arial" w:cs="Arial" w:eastAsia="Arial" w:hAnsi="Arial"/>
                <w:sz w:val="14"/>
                <w:szCs w:val="14"/>
                <w:color w:val="auto"/>
              </w:rPr>
              <w:t>2/22/2018</w:t>
            </w:r>
          </w:p>
        </w:tc>
        <w:tc>
          <w:tcPr>
            <w:tcW w:w="1100" w:type="dxa"/>
            <w:vAlign w:val="bottom"/>
            <w:shd w:val="clear" w:color="auto" w:fill="E5EAF5"/>
          </w:tcPr>
          <w:p>
            <w:pPr>
              <w:spacing w:after="0"/>
              <w:rPr>
                <w:sz w:val="16"/>
                <w:szCs w:val="16"/>
                <w:color w:val="auto"/>
              </w:rPr>
            </w:pPr>
          </w:p>
        </w:tc>
        <w:tc>
          <w:tcPr>
            <w:tcW w:w="1020" w:type="dxa"/>
            <w:vAlign w:val="bottom"/>
            <w:shd w:val="clear" w:color="auto" w:fill="E5EAF5"/>
          </w:tcPr>
          <w:p>
            <w:pPr>
              <w:jc w:val="right"/>
              <w:ind w:right="153"/>
              <w:spacing w:after="0"/>
              <w:rPr>
                <w:sz w:val="20"/>
                <w:szCs w:val="20"/>
                <w:color w:val="auto"/>
              </w:rPr>
            </w:pPr>
            <w:r>
              <w:rPr>
                <w:rFonts w:ascii="Arial" w:cs="Arial" w:eastAsia="Arial" w:hAnsi="Arial"/>
                <w:sz w:val="14"/>
                <w:szCs w:val="14"/>
                <w:color w:val="auto"/>
              </w:rPr>
              <w:t>Option</w:t>
            </w:r>
          </w:p>
        </w:tc>
        <w:tc>
          <w:tcPr>
            <w:tcW w:w="1120" w:type="dxa"/>
            <w:vAlign w:val="bottom"/>
            <w:shd w:val="clear" w:color="auto" w:fill="E5EAF5"/>
          </w:tcPr>
          <w:p>
            <w:pPr>
              <w:spacing w:after="0"/>
              <w:rPr>
                <w:sz w:val="16"/>
                <w:szCs w:val="16"/>
                <w:color w:val="auto"/>
              </w:rPr>
            </w:pPr>
          </w:p>
        </w:tc>
        <w:tc>
          <w:tcPr>
            <w:tcW w:w="1320" w:type="dxa"/>
            <w:vAlign w:val="bottom"/>
            <w:shd w:val="clear" w:color="auto" w:fill="E5EAF5"/>
          </w:tcPr>
          <w:p>
            <w:pPr>
              <w:jc w:val="right"/>
              <w:ind w:right="155"/>
              <w:spacing w:after="0"/>
              <w:rPr>
                <w:sz w:val="20"/>
                <w:szCs w:val="20"/>
                <w:color w:val="auto"/>
              </w:rPr>
            </w:pPr>
            <w:r>
              <w:rPr>
                <w:rFonts w:ascii="Arial" w:cs="Arial" w:eastAsia="Arial" w:hAnsi="Arial"/>
                <w:sz w:val="14"/>
                <w:szCs w:val="14"/>
                <w:color w:val="auto"/>
              </w:rPr>
              <w:t>17,438</w:t>
            </w:r>
          </w:p>
        </w:tc>
        <w:tc>
          <w:tcPr>
            <w:tcW w:w="620" w:type="dxa"/>
            <w:vAlign w:val="bottom"/>
            <w:shd w:val="clear" w:color="auto" w:fill="E5EAF5"/>
          </w:tcPr>
          <w:p>
            <w:pPr>
              <w:ind w:left="180"/>
              <w:spacing w:after="0"/>
              <w:rPr>
                <w:sz w:val="20"/>
                <w:szCs w:val="20"/>
                <w:color w:val="auto"/>
              </w:rPr>
            </w:pPr>
            <w:r>
              <w:rPr>
                <w:rFonts w:ascii="Arial" w:cs="Arial" w:eastAsia="Arial" w:hAnsi="Arial"/>
                <w:sz w:val="14"/>
                <w:szCs w:val="14"/>
                <w:color w:val="auto"/>
              </w:rPr>
              <w:t>73.45</w:t>
            </w:r>
          </w:p>
        </w:tc>
        <w:tc>
          <w:tcPr>
            <w:tcW w:w="860" w:type="dxa"/>
            <w:vAlign w:val="bottom"/>
            <w:shd w:val="clear" w:color="auto" w:fill="E5EAF5"/>
          </w:tcPr>
          <w:p>
            <w:pPr>
              <w:jc w:val="right"/>
              <w:ind w:right="54"/>
              <w:spacing w:after="0"/>
              <w:rPr>
                <w:sz w:val="20"/>
                <w:szCs w:val="20"/>
                <w:color w:val="auto"/>
              </w:rPr>
            </w:pPr>
            <w:r>
              <w:rPr>
                <w:rFonts w:ascii="Arial" w:cs="Arial" w:eastAsia="Arial" w:hAnsi="Arial"/>
                <w:sz w:val="14"/>
                <w:szCs w:val="14"/>
                <w:color w:val="auto"/>
              </w:rPr>
              <w:t>2/22/2024</w:t>
            </w:r>
          </w:p>
        </w:tc>
        <w:tc>
          <w:tcPr>
            <w:tcW w:w="860" w:type="dxa"/>
            <w:vAlign w:val="bottom"/>
            <w:shd w:val="clear" w:color="auto" w:fill="E5EAF5"/>
          </w:tcPr>
          <w:p>
            <w:pPr>
              <w:spacing w:after="0"/>
              <w:rPr>
                <w:sz w:val="16"/>
                <w:szCs w:val="16"/>
                <w:color w:val="auto"/>
              </w:rPr>
            </w:pPr>
          </w:p>
        </w:tc>
        <w:tc>
          <w:tcPr>
            <w:tcW w:w="840" w:type="dxa"/>
            <w:vAlign w:val="bottom"/>
            <w:shd w:val="clear" w:color="auto" w:fill="E5EAF5"/>
          </w:tcPr>
          <w:p>
            <w:pPr>
              <w:spacing w:after="0"/>
              <w:rPr>
                <w:sz w:val="16"/>
                <w:szCs w:val="16"/>
                <w:color w:val="auto"/>
              </w:rPr>
            </w:pPr>
          </w:p>
        </w:tc>
        <w:tc>
          <w:tcPr>
            <w:tcW w:w="800" w:type="dxa"/>
            <w:vAlign w:val="bottom"/>
            <w:shd w:val="clear" w:color="auto" w:fill="E5EAF5"/>
          </w:tcPr>
          <w:p>
            <w:pPr>
              <w:spacing w:after="0"/>
              <w:rPr>
                <w:sz w:val="16"/>
                <w:szCs w:val="16"/>
                <w:color w:val="auto"/>
              </w:rPr>
            </w:pPr>
          </w:p>
        </w:tc>
        <w:tc>
          <w:tcPr>
            <w:tcW w:w="740" w:type="dxa"/>
            <w:vAlign w:val="bottom"/>
            <w:shd w:val="clear" w:color="auto" w:fill="E5EAF5"/>
          </w:tcPr>
          <w:p>
            <w:pPr>
              <w:spacing w:after="0"/>
              <w:rPr>
                <w:sz w:val="16"/>
                <w:szCs w:val="16"/>
                <w:color w:val="auto"/>
              </w:rPr>
            </w:pPr>
          </w:p>
        </w:tc>
      </w:tr>
      <w:tr>
        <w:trPr>
          <w:trHeight w:val="189"/>
        </w:trPr>
        <w:tc>
          <w:tcPr>
            <w:tcW w:w="1740" w:type="dxa"/>
            <w:vAlign w:val="bottom"/>
            <w:shd w:val="clear" w:color="auto" w:fill="E5EAF5"/>
          </w:tcPr>
          <w:p>
            <w:pPr>
              <w:ind w:left="60"/>
              <w:spacing w:after="0"/>
              <w:rPr>
                <w:sz w:val="20"/>
                <w:szCs w:val="20"/>
                <w:color w:val="auto"/>
              </w:rPr>
            </w:pPr>
            <w:r>
              <w:rPr>
                <w:rFonts w:ascii="Arial" w:cs="Arial" w:eastAsia="Arial" w:hAnsi="Arial"/>
                <w:sz w:val="14"/>
                <w:szCs w:val="14"/>
                <w:color w:val="auto"/>
              </w:rPr>
              <w:t>2/22/2018</w:t>
            </w:r>
          </w:p>
        </w:tc>
        <w:tc>
          <w:tcPr>
            <w:tcW w:w="1100" w:type="dxa"/>
            <w:vAlign w:val="bottom"/>
            <w:shd w:val="clear" w:color="auto" w:fill="E5EAF5"/>
          </w:tcPr>
          <w:p>
            <w:pPr>
              <w:spacing w:after="0"/>
              <w:rPr>
                <w:sz w:val="16"/>
                <w:szCs w:val="16"/>
                <w:color w:val="auto"/>
              </w:rPr>
            </w:pPr>
          </w:p>
        </w:tc>
        <w:tc>
          <w:tcPr>
            <w:tcW w:w="1020" w:type="dxa"/>
            <w:vAlign w:val="bottom"/>
            <w:shd w:val="clear" w:color="auto" w:fill="E5EAF5"/>
          </w:tcPr>
          <w:p>
            <w:pPr>
              <w:jc w:val="right"/>
              <w:ind w:right="153"/>
              <w:spacing w:after="0"/>
              <w:rPr>
                <w:sz w:val="20"/>
                <w:szCs w:val="20"/>
                <w:color w:val="auto"/>
              </w:rPr>
            </w:pPr>
            <w:r>
              <w:rPr>
                <w:rFonts w:ascii="Arial" w:cs="Arial" w:eastAsia="Arial" w:hAnsi="Arial"/>
                <w:sz w:val="14"/>
                <w:szCs w:val="14"/>
                <w:color w:val="auto"/>
              </w:rPr>
              <w:t>RSU</w:t>
            </w:r>
          </w:p>
        </w:tc>
        <w:tc>
          <w:tcPr>
            <w:tcW w:w="1120" w:type="dxa"/>
            <w:vAlign w:val="bottom"/>
            <w:shd w:val="clear" w:color="auto" w:fill="E5EAF5"/>
          </w:tcPr>
          <w:p>
            <w:pPr>
              <w:spacing w:after="0"/>
              <w:rPr>
                <w:sz w:val="16"/>
                <w:szCs w:val="16"/>
                <w:color w:val="auto"/>
              </w:rPr>
            </w:pPr>
          </w:p>
        </w:tc>
        <w:tc>
          <w:tcPr>
            <w:tcW w:w="1320" w:type="dxa"/>
            <w:vAlign w:val="bottom"/>
            <w:shd w:val="clear" w:color="auto" w:fill="E5EAF5"/>
          </w:tcPr>
          <w:p>
            <w:pPr>
              <w:spacing w:after="0"/>
              <w:rPr>
                <w:sz w:val="16"/>
                <w:szCs w:val="16"/>
                <w:color w:val="auto"/>
              </w:rPr>
            </w:pPr>
          </w:p>
        </w:tc>
        <w:tc>
          <w:tcPr>
            <w:tcW w:w="620" w:type="dxa"/>
            <w:vAlign w:val="bottom"/>
            <w:shd w:val="clear" w:color="auto" w:fill="E5EAF5"/>
          </w:tcPr>
          <w:p>
            <w:pPr>
              <w:spacing w:after="0"/>
              <w:rPr>
                <w:sz w:val="16"/>
                <w:szCs w:val="16"/>
                <w:color w:val="auto"/>
              </w:rPr>
            </w:pPr>
          </w:p>
        </w:tc>
        <w:tc>
          <w:tcPr>
            <w:tcW w:w="860" w:type="dxa"/>
            <w:vAlign w:val="bottom"/>
            <w:shd w:val="clear" w:color="auto" w:fill="E5EAF5"/>
          </w:tcPr>
          <w:p>
            <w:pPr>
              <w:spacing w:after="0"/>
              <w:rPr>
                <w:sz w:val="16"/>
                <w:szCs w:val="16"/>
                <w:color w:val="auto"/>
              </w:rPr>
            </w:pPr>
          </w:p>
        </w:tc>
        <w:tc>
          <w:tcPr>
            <w:tcW w:w="860" w:type="dxa"/>
            <w:vAlign w:val="bottom"/>
            <w:shd w:val="clear" w:color="auto" w:fill="E5EAF5"/>
          </w:tcPr>
          <w:p>
            <w:pPr>
              <w:jc w:val="right"/>
              <w:ind w:right="55"/>
              <w:spacing w:after="0"/>
              <w:rPr>
                <w:sz w:val="20"/>
                <w:szCs w:val="20"/>
                <w:color w:val="auto"/>
              </w:rPr>
            </w:pPr>
            <w:r>
              <w:rPr>
                <w:rFonts w:ascii="Arial" w:cs="Arial" w:eastAsia="Arial" w:hAnsi="Arial"/>
                <w:sz w:val="14"/>
                <w:szCs w:val="14"/>
                <w:color w:val="auto"/>
              </w:rPr>
              <w:t>4,323</w:t>
            </w:r>
          </w:p>
        </w:tc>
        <w:tc>
          <w:tcPr>
            <w:tcW w:w="840" w:type="dxa"/>
            <w:vAlign w:val="bottom"/>
            <w:shd w:val="clear" w:color="auto" w:fill="E5EAF5"/>
          </w:tcPr>
          <w:p>
            <w:pPr>
              <w:jc w:val="right"/>
              <w:ind w:right="35"/>
              <w:spacing w:after="0"/>
              <w:rPr>
                <w:sz w:val="20"/>
                <w:szCs w:val="20"/>
                <w:color w:val="auto"/>
              </w:rPr>
            </w:pPr>
            <w:r>
              <w:rPr>
                <w:rFonts w:ascii="Arial" w:cs="Arial" w:eastAsia="Arial" w:hAnsi="Arial"/>
                <w:sz w:val="14"/>
                <w:szCs w:val="14"/>
                <w:color w:val="auto"/>
              </w:rPr>
              <w:t>279,482</w:t>
            </w:r>
          </w:p>
        </w:tc>
        <w:tc>
          <w:tcPr>
            <w:tcW w:w="800" w:type="dxa"/>
            <w:vAlign w:val="bottom"/>
            <w:shd w:val="clear" w:color="auto" w:fill="E5EAF5"/>
          </w:tcPr>
          <w:p>
            <w:pPr>
              <w:spacing w:after="0"/>
              <w:rPr>
                <w:sz w:val="16"/>
                <w:szCs w:val="16"/>
                <w:color w:val="auto"/>
              </w:rPr>
            </w:pPr>
          </w:p>
        </w:tc>
        <w:tc>
          <w:tcPr>
            <w:tcW w:w="740" w:type="dxa"/>
            <w:vAlign w:val="bottom"/>
            <w:shd w:val="clear" w:color="auto" w:fill="E5EAF5"/>
          </w:tcPr>
          <w:p>
            <w:pPr>
              <w:spacing w:after="0"/>
              <w:rPr>
                <w:sz w:val="16"/>
                <w:szCs w:val="16"/>
                <w:color w:val="auto"/>
              </w:rPr>
            </w:pPr>
          </w:p>
        </w:tc>
      </w:tr>
      <w:tr>
        <w:trPr>
          <w:trHeight w:val="189"/>
        </w:trPr>
        <w:tc>
          <w:tcPr>
            <w:tcW w:w="1740" w:type="dxa"/>
            <w:vAlign w:val="bottom"/>
            <w:shd w:val="clear" w:color="auto" w:fill="E5EAF5"/>
          </w:tcPr>
          <w:p>
            <w:pPr>
              <w:ind w:left="60"/>
              <w:spacing w:after="0"/>
              <w:rPr>
                <w:sz w:val="20"/>
                <w:szCs w:val="20"/>
                <w:color w:val="auto"/>
              </w:rPr>
            </w:pPr>
            <w:r>
              <w:rPr>
                <w:rFonts w:ascii="Arial" w:cs="Arial" w:eastAsia="Arial" w:hAnsi="Arial"/>
                <w:sz w:val="14"/>
                <w:szCs w:val="14"/>
                <w:color w:val="auto"/>
              </w:rPr>
              <w:t>2/22/2018</w:t>
            </w:r>
          </w:p>
        </w:tc>
        <w:tc>
          <w:tcPr>
            <w:tcW w:w="1100" w:type="dxa"/>
            <w:vAlign w:val="bottom"/>
            <w:shd w:val="clear" w:color="auto" w:fill="E5EAF5"/>
          </w:tcPr>
          <w:p>
            <w:pPr>
              <w:spacing w:after="0"/>
              <w:rPr>
                <w:sz w:val="16"/>
                <w:szCs w:val="16"/>
                <w:color w:val="auto"/>
              </w:rPr>
            </w:pPr>
          </w:p>
        </w:tc>
        <w:tc>
          <w:tcPr>
            <w:tcW w:w="1020" w:type="dxa"/>
            <w:vAlign w:val="bottom"/>
            <w:shd w:val="clear" w:color="auto" w:fill="E5EAF5"/>
          </w:tcPr>
          <w:p>
            <w:pPr>
              <w:jc w:val="right"/>
              <w:ind w:right="153"/>
              <w:spacing w:after="0"/>
              <w:rPr>
                <w:sz w:val="20"/>
                <w:szCs w:val="20"/>
                <w:color w:val="auto"/>
              </w:rPr>
            </w:pPr>
            <w:r>
              <w:rPr>
                <w:rFonts w:ascii="Arial" w:cs="Arial" w:eastAsia="Arial" w:hAnsi="Arial"/>
                <w:sz w:val="14"/>
                <w:szCs w:val="14"/>
                <w:color w:val="auto"/>
              </w:rPr>
              <w:t>IM PSU</w:t>
            </w:r>
          </w:p>
        </w:tc>
        <w:tc>
          <w:tcPr>
            <w:tcW w:w="1120" w:type="dxa"/>
            <w:vAlign w:val="bottom"/>
            <w:shd w:val="clear" w:color="auto" w:fill="E5EAF5"/>
          </w:tcPr>
          <w:p>
            <w:pPr>
              <w:spacing w:after="0"/>
              <w:rPr>
                <w:sz w:val="16"/>
                <w:szCs w:val="16"/>
                <w:color w:val="auto"/>
              </w:rPr>
            </w:pPr>
          </w:p>
        </w:tc>
        <w:tc>
          <w:tcPr>
            <w:tcW w:w="1320" w:type="dxa"/>
            <w:vAlign w:val="bottom"/>
            <w:shd w:val="clear" w:color="auto" w:fill="E5EAF5"/>
          </w:tcPr>
          <w:p>
            <w:pPr>
              <w:spacing w:after="0"/>
              <w:rPr>
                <w:sz w:val="16"/>
                <w:szCs w:val="16"/>
                <w:color w:val="auto"/>
              </w:rPr>
            </w:pPr>
          </w:p>
        </w:tc>
        <w:tc>
          <w:tcPr>
            <w:tcW w:w="620" w:type="dxa"/>
            <w:vAlign w:val="bottom"/>
            <w:shd w:val="clear" w:color="auto" w:fill="E5EAF5"/>
          </w:tcPr>
          <w:p>
            <w:pPr>
              <w:spacing w:after="0"/>
              <w:rPr>
                <w:sz w:val="16"/>
                <w:szCs w:val="16"/>
                <w:color w:val="auto"/>
              </w:rPr>
            </w:pPr>
          </w:p>
        </w:tc>
        <w:tc>
          <w:tcPr>
            <w:tcW w:w="860" w:type="dxa"/>
            <w:vAlign w:val="bottom"/>
            <w:shd w:val="clear" w:color="auto" w:fill="E5EAF5"/>
          </w:tcPr>
          <w:p>
            <w:pPr>
              <w:spacing w:after="0"/>
              <w:rPr>
                <w:sz w:val="16"/>
                <w:szCs w:val="16"/>
                <w:color w:val="auto"/>
              </w:rPr>
            </w:pPr>
          </w:p>
        </w:tc>
        <w:tc>
          <w:tcPr>
            <w:tcW w:w="860" w:type="dxa"/>
            <w:vAlign w:val="bottom"/>
            <w:shd w:val="clear" w:color="auto" w:fill="E5EAF5"/>
          </w:tcPr>
          <w:p>
            <w:pPr>
              <w:spacing w:after="0"/>
              <w:rPr>
                <w:sz w:val="16"/>
                <w:szCs w:val="16"/>
                <w:color w:val="auto"/>
              </w:rPr>
            </w:pPr>
          </w:p>
        </w:tc>
        <w:tc>
          <w:tcPr>
            <w:tcW w:w="840" w:type="dxa"/>
            <w:vAlign w:val="bottom"/>
            <w:shd w:val="clear" w:color="auto" w:fill="E5EAF5"/>
          </w:tcPr>
          <w:p>
            <w:pPr>
              <w:spacing w:after="0"/>
              <w:rPr>
                <w:sz w:val="16"/>
                <w:szCs w:val="16"/>
                <w:color w:val="auto"/>
              </w:rPr>
            </w:pPr>
          </w:p>
        </w:tc>
        <w:tc>
          <w:tcPr>
            <w:tcW w:w="800" w:type="dxa"/>
            <w:vAlign w:val="bottom"/>
            <w:shd w:val="clear" w:color="auto" w:fill="E5EAF5"/>
          </w:tcPr>
          <w:p>
            <w:pPr>
              <w:jc w:val="right"/>
              <w:ind w:right="55"/>
              <w:spacing w:after="0"/>
              <w:rPr>
                <w:sz w:val="20"/>
                <w:szCs w:val="20"/>
                <w:color w:val="auto"/>
              </w:rPr>
            </w:pPr>
            <w:r>
              <w:rPr>
                <w:rFonts w:ascii="Arial" w:cs="Arial" w:eastAsia="Arial" w:hAnsi="Arial"/>
                <w:sz w:val="14"/>
                <w:szCs w:val="14"/>
                <w:color w:val="auto"/>
              </w:rPr>
              <w:t>4,357</w:t>
            </w:r>
          </w:p>
        </w:tc>
        <w:tc>
          <w:tcPr>
            <w:tcW w:w="740" w:type="dxa"/>
            <w:vAlign w:val="bottom"/>
            <w:shd w:val="clear" w:color="auto" w:fill="E5EAF5"/>
          </w:tcPr>
          <w:p>
            <w:pPr>
              <w:ind w:left="200"/>
              <w:spacing w:after="0"/>
              <w:rPr>
                <w:sz w:val="20"/>
                <w:szCs w:val="20"/>
                <w:color w:val="auto"/>
              </w:rPr>
            </w:pPr>
            <w:r>
              <w:rPr>
                <w:rFonts w:ascii="Arial" w:cs="Arial" w:eastAsia="Arial" w:hAnsi="Arial"/>
                <w:sz w:val="14"/>
                <w:szCs w:val="14"/>
                <w:color w:val="auto"/>
              </w:rPr>
              <w:t>281,680</w:t>
            </w:r>
          </w:p>
        </w:tc>
      </w:tr>
      <w:tr>
        <w:trPr>
          <w:trHeight w:val="248"/>
        </w:trPr>
        <w:tc>
          <w:tcPr>
            <w:tcW w:w="1740" w:type="dxa"/>
            <w:vAlign w:val="bottom"/>
            <w:tcBorders>
              <w:bottom w:val="single" w:sz="8" w:color="E5EAF5"/>
            </w:tcBorders>
            <w:shd w:val="clear" w:color="auto" w:fill="E5EAF5"/>
          </w:tcPr>
          <w:p>
            <w:pPr>
              <w:ind w:left="60"/>
              <w:spacing w:after="0"/>
              <w:rPr>
                <w:sz w:val="20"/>
                <w:szCs w:val="20"/>
                <w:color w:val="auto"/>
              </w:rPr>
            </w:pPr>
            <w:r>
              <w:rPr>
                <w:rFonts w:ascii="Arial" w:cs="Arial" w:eastAsia="Arial" w:hAnsi="Arial"/>
                <w:sz w:val="14"/>
                <w:szCs w:val="14"/>
                <w:color w:val="auto"/>
              </w:rPr>
              <w:t>2/22/2018</w:t>
            </w:r>
          </w:p>
        </w:tc>
        <w:tc>
          <w:tcPr>
            <w:tcW w:w="1100" w:type="dxa"/>
            <w:vAlign w:val="bottom"/>
            <w:tcBorders>
              <w:bottom w:val="single" w:sz="8" w:color="E5EAF5"/>
            </w:tcBorders>
            <w:shd w:val="clear" w:color="auto" w:fill="E5EAF5"/>
          </w:tcPr>
          <w:p>
            <w:pPr>
              <w:spacing w:after="0"/>
              <w:rPr>
                <w:sz w:val="21"/>
                <w:szCs w:val="21"/>
                <w:color w:val="auto"/>
              </w:rPr>
            </w:pPr>
          </w:p>
        </w:tc>
        <w:tc>
          <w:tcPr>
            <w:tcW w:w="1020" w:type="dxa"/>
            <w:vAlign w:val="bottom"/>
            <w:tcBorders>
              <w:bottom w:val="single" w:sz="8" w:color="E5EAF5"/>
            </w:tcBorders>
            <w:shd w:val="clear" w:color="auto" w:fill="E5EAF5"/>
          </w:tcPr>
          <w:p>
            <w:pPr>
              <w:jc w:val="right"/>
              <w:ind w:right="153"/>
              <w:spacing w:after="0"/>
              <w:rPr>
                <w:sz w:val="20"/>
                <w:szCs w:val="20"/>
                <w:color w:val="auto"/>
              </w:rPr>
            </w:pPr>
            <w:r>
              <w:rPr>
                <w:rFonts w:ascii="Arial" w:cs="Arial" w:eastAsia="Arial" w:hAnsi="Arial"/>
                <w:sz w:val="14"/>
                <w:szCs w:val="14"/>
                <w:color w:val="auto"/>
              </w:rPr>
              <w:t>TSR PSU</w:t>
            </w:r>
          </w:p>
        </w:tc>
        <w:tc>
          <w:tcPr>
            <w:tcW w:w="1120" w:type="dxa"/>
            <w:vAlign w:val="bottom"/>
            <w:tcBorders>
              <w:bottom w:val="single" w:sz="8" w:color="E5EAF5"/>
            </w:tcBorders>
            <w:shd w:val="clear" w:color="auto" w:fill="E5EAF5"/>
          </w:tcPr>
          <w:p>
            <w:pPr>
              <w:spacing w:after="0"/>
              <w:rPr>
                <w:sz w:val="21"/>
                <w:szCs w:val="21"/>
                <w:color w:val="auto"/>
              </w:rPr>
            </w:pPr>
          </w:p>
        </w:tc>
        <w:tc>
          <w:tcPr>
            <w:tcW w:w="1320" w:type="dxa"/>
            <w:vAlign w:val="bottom"/>
            <w:tcBorders>
              <w:bottom w:val="single" w:sz="8" w:color="E5EAF5"/>
            </w:tcBorders>
            <w:shd w:val="clear" w:color="auto" w:fill="E5EAF5"/>
          </w:tcPr>
          <w:p>
            <w:pPr>
              <w:spacing w:after="0"/>
              <w:rPr>
                <w:sz w:val="21"/>
                <w:szCs w:val="21"/>
                <w:color w:val="auto"/>
              </w:rPr>
            </w:pPr>
          </w:p>
        </w:tc>
        <w:tc>
          <w:tcPr>
            <w:tcW w:w="620" w:type="dxa"/>
            <w:vAlign w:val="bottom"/>
            <w:tcBorders>
              <w:bottom w:val="single" w:sz="8" w:color="E5EAF5"/>
            </w:tcBorders>
            <w:shd w:val="clear" w:color="auto" w:fill="E5EAF5"/>
          </w:tcPr>
          <w:p>
            <w:pPr>
              <w:spacing w:after="0"/>
              <w:rPr>
                <w:sz w:val="21"/>
                <w:szCs w:val="21"/>
                <w:color w:val="auto"/>
              </w:rPr>
            </w:pPr>
          </w:p>
        </w:tc>
        <w:tc>
          <w:tcPr>
            <w:tcW w:w="860" w:type="dxa"/>
            <w:vAlign w:val="bottom"/>
            <w:tcBorders>
              <w:bottom w:val="single" w:sz="8" w:color="E5EAF5"/>
            </w:tcBorders>
            <w:shd w:val="clear" w:color="auto" w:fill="E5EAF5"/>
          </w:tcPr>
          <w:p>
            <w:pPr>
              <w:spacing w:after="0"/>
              <w:rPr>
                <w:sz w:val="21"/>
                <w:szCs w:val="21"/>
                <w:color w:val="auto"/>
              </w:rPr>
            </w:pPr>
          </w:p>
        </w:tc>
        <w:tc>
          <w:tcPr>
            <w:tcW w:w="860" w:type="dxa"/>
            <w:vAlign w:val="bottom"/>
            <w:tcBorders>
              <w:bottom w:val="single" w:sz="8" w:color="E5EAF5"/>
            </w:tcBorders>
            <w:shd w:val="clear" w:color="auto" w:fill="E5EAF5"/>
          </w:tcPr>
          <w:p>
            <w:pPr>
              <w:spacing w:after="0"/>
              <w:rPr>
                <w:sz w:val="21"/>
                <w:szCs w:val="21"/>
                <w:color w:val="auto"/>
              </w:rPr>
            </w:pPr>
          </w:p>
        </w:tc>
        <w:tc>
          <w:tcPr>
            <w:tcW w:w="840" w:type="dxa"/>
            <w:vAlign w:val="bottom"/>
            <w:tcBorders>
              <w:bottom w:val="single" w:sz="8" w:color="E5EAF5"/>
            </w:tcBorders>
            <w:shd w:val="clear" w:color="auto" w:fill="E5EAF5"/>
          </w:tcPr>
          <w:p>
            <w:pPr>
              <w:spacing w:after="0"/>
              <w:rPr>
                <w:sz w:val="21"/>
                <w:szCs w:val="21"/>
                <w:color w:val="auto"/>
              </w:rPr>
            </w:pPr>
          </w:p>
        </w:tc>
        <w:tc>
          <w:tcPr>
            <w:tcW w:w="800" w:type="dxa"/>
            <w:vAlign w:val="bottom"/>
            <w:tcBorders>
              <w:bottom w:val="single" w:sz="8" w:color="E5EAF5"/>
            </w:tcBorders>
            <w:shd w:val="clear" w:color="auto" w:fill="E5EAF5"/>
          </w:tcPr>
          <w:p>
            <w:pPr>
              <w:jc w:val="right"/>
              <w:ind w:right="55"/>
              <w:spacing w:after="0"/>
              <w:rPr>
                <w:sz w:val="20"/>
                <w:szCs w:val="20"/>
                <w:color w:val="auto"/>
              </w:rPr>
            </w:pPr>
            <w:r>
              <w:rPr>
                <w:rFonts w:ascii="Arial" w:cs="Arial" w:eastAsia="Arial" w:hAnsi="Arial"/>
                <w:sz w:val="14"/>
                <w:szCs w:val="14"/>
                <w:color w:val="auto"/>
              </w:rPr>
              <w:t>3,953</w:t>
            </w:r>
          </w:p>
        </w:tc>
        <w:tc>
          <w:tcPr>
            <w:tcW w:w="740" w:type="dxa"/>
            <w:vAlign w:val="bottom"/>
            <w:tcBorders>
              <w:bottom w:val="single" w:sz="8" w:color="E5EAF5"/>
            </w:tcBorders>
            <w:shd w:val="clear" w:color="auto" w:fill="E5EAF5"/>
          </w:tcPr>
          <w:p>
            <w:pPr>
              <w:ind w:left="200"/>
              <w:spacing w:after="0"/>
              <w:rPr>
                <w:sz w:val="20"/>
                <w:szCs w:val="20"/>
                <w:color w:val="auto"/>
              </w:rPr>
            </w:pPr>
            <w:r>
              <w:rPr>
                <w:rFonts w:ascii="Arial" w:cs="Arial" w:eastAsia="Arial" w:hAnsi="Arial"/>
                <w:sz w:val="14"/>
                <w:szCs w:val="14"/>
                <w:color w:val="auto"/>
              </w:rPr>
              <w:t>255,561</w:t>
            </w:r>
          </w:p>
        </w:tc>
      </w:tr>
      <w:tr>
        <w:trPr>
          <w:trHeight w:val="129"/>
        </w:trPr>
        <w:tc>
          <w:tcPr>
            <w:tcW w:w="1740" w:type="dxa"/>
            <w:vAlign w:val="bottom"/>
            <w:tcBorders>
              <w:top w:val="single" w:sz="8" w:color="0033A0"/>
              <w:bottom w:val="single" w:sz="8" w:color="auto"/>
            </w:tcBorders>
          </w:tcPr>
          <w:p>
            <w:pPr>
              <w:spacing w:after="0"/>
              <w:rPr>
                <w:sz w:val="11"/>
                <w:szCs w:val="11"/>
                <w:color w:val="auto"/>
              </w:rPr>
            </w:pPr>
          </w:p>
        </w:tc>
        <w:tc>
          <w:tcPr>
            <w:tcW w:w="1100" w:type="dxa"/>
            <w:vAlign w:val="bottom"/>
            <w:tcBorders>
              <w:top w:val="single" w:sz="8" w:color="0033A0"/>
            </w:tcBorders>
          </w:tcPr>
          <w:p>
            <w:pPr>
              <w:spacing w:after="0"/>
              <w:rPr>
                <w:sz w:val="11"/>
                <w:szCs w:val="11"/>
                <w:color w:val="auto"/>
              </w:rPr>
            </w:pPr>
          </w:p>
        </w:tc>
        <w:tc>
          <w:tcPr>
            <w:tcW w:w="1020" w:type="dxa"/>
            <w:vAlign w:val="bottom"/>
            <w:tcBorders>
              <w:top w:val="single" w:sz="8" w:color="0033A0"/>
            </w:tcBorders>
          </w:tcPr>
          <w:p>
            <w:pPr>
              <w:spacing w:after="0"/>
              <w:rPr>
                <w:sz w:val="11"/>
                <w:szCs w:val="11"/>
                <w:color w:val="auto"/>
              </w:rPr>
            </w:pPr>
          </w:p>
        </w:tc>
        <w:tc>
          <w:tcPr>
            <w:tcW w:w="1120" w:type="dxa"/>
            <w:vAlign w:val="bottom"/>
            <w:tcBorders>
              <w:top w:val="single" w:sz="8" w:color="0033A0"/>
            </w:tcBorders>
          </w:tcPr>
          <w:p>
            <w:pPr>
              <w:spacing w:after="0"/>
              <w:rPr>
                <w:sz w:val="11"/>
                <w:szCs w:val="11"/>
                <w:color w:val="auto"/>
              </w:rPr>
            </w:pPr>
          </w:p>
        </w:tc>
        <w:tc>
          <w:tcPr>
            <w:tcW w:w="1320" w:type="dxa"/>
            <w:vAlign w:val="bottom"/>
            <w:tcBorders>
              <w:top w:val="single" w:sz="8" w:color="0033A0"/>
            </w:tcBorders>
          </w:tcPr>
          <w:p>
            <w:pPr>
              <w:spacing w:after="0"/>
              <w:rPr>
                <w:sz w:val="11"/>
                <w:szCs w:val="11"/>
                <w:color w:val="auto"/>
              </w:rPr>
            </w:pPr>
          </w:p>
        </w:tc>
        <w:tc>
          <w:tcPr>
            <w:tcW w:w="620" w:type="dxa"/>
            <w:vAlign w:val="bottom"/>
            <w:tcBorders>
              <w:top w:val="single" w:sz="8" w:color="0033A0"/>
            </w:tcBorders>
          </w:tcPr>
          <w:p>
            <w:pPr>
              <w:spacing w:after="0"/>
              <w:rPr>
                <w:sz w:val="11"/>
                <w:szCs w:val="11"/>
                <w:color w:val="auto"/>
              </w:rPr>
            </w:pPr>
          </w:p>
        </w:tc>
        <w:tc>
          <w:tcPr>
            <w:tcW w:w="860" w:type="dxa"/>
            <w:vAlign w:val="bottom"/>
            <w:tcBorders>
              <w:top w:val="single" w:sz="8" w:color="0033A0"/>
            </w:tcBorders>
          </w:tcPr>
          <w:p>
            <w:pPr>
              <w:spacing w:after="0"/>
              <w:rPr>
                <w:sz w:val="11"/>
                <w:szCs w:val="11"/>
                <w:color w:val="auto"/>
              </w:rPr>
            </w:pPr>
          </w:p>
        </w:tc>
        <w:tc>
          <w:tcPr>
            <w:tcW w:w="860" w:type="dxa"/>
            <w:vAlign w:val="bottom"/>
            <w:tcBorders>
              <w:top w:val="single" w:sz="8" w:color="0033A0"/>
            </w:tcBorders>
          </w:tcPr>
          <w:p>
            <w:pPr>
              <w:spacing w:after="0"/>
              <w:rPr>
                <w:sz w:val="11"/>
                <w:szCs w:val="11"/>
                <w:color w:val="auto"/>
              </w:rPr>
            </w:pPr>
          </w:p>
        </w:tc>
        <w:tc>
          <w:tcPr>
            <w:tcW w:w="840" w:type="dxa"/>
            <w:vAlign w:val="bottom"/>
            <w:tcBorders>
              <w:top w:val="single" w:sz="8" w:color="0033A0"/>
            </w:tcBorders>
          </w:tcPr>
          <w:p>
            <w:pPr>
              <w:spacing w:after="0"/>
              <w:rPr>
                <w:sz w:val="11"/>
                <w:szCs w:val="11"/>
                <w:color w:val="auto"/>
              </w:rPr>
            </w:pPr>
          </w:p>
        </w:tc>
        <w:tc>
          <w:tcPr>
            <w:tcW w:w="800" w:type="dxa"/>
            <w:vAlign w:val="bottom"/>
            <w:tcBorders>
              <w:top w:val="single" w:sz="8" w:color="0033A0"/>
            </w:tcBorders>
          </w:tcPr>
          <w:p>
            <w:pPr>
              <w:spacing w:after="0"/>
              <w:rPr>
                <w:sz w:val="11"/>
                <w:szCs w:val="11"/>
                <w:color w:val="auto"/>
              </w:rPr>
            </w:pPr>
          </w:p>
        </w:tc>
        <w:tc>
          <w:tcPr>
            <w:tcW w:w="740" w:type="dxa"/>
            <w:vAlign w:val="bottom"/>
            <w:tcBorders>
              <w:top w:val="single" w:sz="8" w:color="0033A0"/>
            </w:tcBorders>
          </w:tcPr>
          <w:p>
            <w:pPr>
              <w:spacing w:after="0"/>
              <w:rPr>
                <w:sz w:val="11"/>
                <w:szCs w:val="11"/>
                <w:color w:val="auto"/>
              </w:rPr>
            </w:pPr>
          </w:p>
        </w:tc>
      </w:tr>
    </w:tbl>
    <w:p>
      <w:pPr>
        <w:spacing w:after="0" w:line="45" w:lineRule="exact"/>
        <w:rPr>
          <w:sz w:val="20"/>
          <w:szCs w:val="20"/>
          <w:color w:val="auto"/>
        </w:rPr>
      </w:pPr>
    </w:p>
    <w:p>
      <w:pPr>
        <w:ind w:left="520" w:right="220" w:hanging="316"/>
        <w:spacing w:after="0" w:line="182" w:lineRule="auto"/>
        <w:tabs>
          <w:tab w:leader="none" w:pos="520" w:val="left"/>
        </w:tabs>
        <w:numPr>
          <w:ilvl w:val="0"/>
          <w:numId w:val="48"/>
        </w:numPr>
        <w:rPr>
          <w:rFonts w:ascii="Arial" w:cs="Arial" w:eastAsia="Arial" w:hAnsi="Arial"/>
          <w:sz w:val="23"/>
          <w:szCs w:val="23"/>
          <w:color w:val="auto"/>
          <w:vertAlign w:val="superscript"/>
        </w:rPr>
      </w:pPr>
      <w:r>
        <w:rPr>
          <w:rFonts w:ascii="Arial" w:cs="Arial" w:eastAsia="Arial" w:hAnsi="Arial"/>
          <w:sz w:val="14"/>
          <w:szCs w:val="14"/>
          <w:color w:val="auto"/>
        </w:rPr>
        <w:t>In accordance with the Company’s 2013 Equity Incentive Plan and 2017 Equity Incentive Plan, the exercise prices for the options were based on the closing prices of Brink’s Common Stock on the date of grant as reported on the New York Stock Exchange.</w:t>
      </w:r>
    </w:p>
    <w:p>
      <w:pPr>
        <w:spacing w:after="0" w:line="1" w:lineRule="exact"/>
        <w:rPr>
          <w:rFonts w:ascii="Arial" w:cs="Arial" w:eastAsia="Arial" w:hAnsi="Arial"/>
          <w:sz w:val="23"/>
          <w:szCs w:val="23"/>
          <w:color w:val="auto"/>
          <w:vertAlign w:val="superscript"/>
        </w:rPr>
      </w:pPr>
    </w:p>
    <w:p>
      <w:pPr>
        <w:ind w:left="520" w:right="20" w:hanging="316"/>
        <w:spacing w:after="0" w:line="211" w:lineRule="auto"/>
        <w:tabs>
          <w:tab w:leader="none" w:pos="520" w:val="left"/>
        </w:tabs>
        <w:numPr>
          <w:ilvl w:val="0"/>
          <w:numId w:val="48"/>
        </w:numPr>
        <w:rPr>
          <w:rFonts w:ascii="Arial" w:cs="Arial" w:eastAsia="Arial" w:hAnsi="Arial"/>
          <w:sz w:val="24"/>
          <w:szCs w:val="24"/>
          <w:color w:val="auto"/>
          <w:vertAlign w:val="superscript"/>
        </w:rPr>
      </w:pPr>
      <w:r>
        <w:rPr>
          <w:rFonts w:ascii="Arial" w:cs="Arial" w:eastAsia="Arial" w:hAnsi="Arial"/>
          <w:sz w:val="14"/>
          <w:szCs w:val="14"/>
          <w:color w:val="auto"/>
        </w:rPr>
        <w:t>Inducement RSUs awarded to Messrs. Pertz (in the amount of 91,770) and Domanico (in the amount of 17,439) and Promotion RSUs awarded to Mr. Zukerman (in the amount of 19,841) vest upon the third anniversary of the relevant grant date, subject to the Company realizing positive non-GAAP income from continuing operations for the period beginning July 1, 2016 and ending June 30, 2017, which performance condition has been met. The December 7, 2016 grant of RSUs to Mr. Marshall vests on the third anniversary of the grant date. All other RSUs vest as to one third of the total number of shares covered by such award on each of the first, second and third anniversaries of the date of grant.</w:t>
      </w:r>
    </w:p>
    <w:p>
      <w:pPr>
        <w:spacing w:after="0" w:line="1" w:lineRule="exact"/>
        <w:rPr>
          <w:rFonts w:ascii="Arial" w:cs="Arial" w:eastAsia="Arial" w:hAnsi="Arial"/>
          <w:sz w:val="24"/>
          <w:szCs w:val="24"/>
          <w:color w:val="auto"/>
          <w:vertAlign w:val="superscript"/>
        </w:rPr>
      </w:pPr>
    </w:p>
    <w:p>
      <w:pPr>
        <w:ind w:left="520" w:hanging="316"/>
        <w:spacing w:after="0" w:line="187" w:lineRule="auto"/>
        <w:tabs>
          <w:tab w:leader="none" w:pos="520" w:val="left"/>
        </w:tabs>
        <w:numPr>
          <w:ilvl w:val="0"/>
          <w:numId w:val="48"/>
        </w:numPr>
        <w:rPr>
          <w:rFonts w:ascii="Arial" w:cs="Arial" w:eastAsia="Arial" w:hAnsi="Arial"/>
          <w:sz w:val="18"/>
          <w:szCs w:val="18"/>
          <w:color w:val="auto"/>
          <w:vertAlign w:val="superscript"/>
        </w:rPr>
      </w:pPr>
      <w:r>
        <w:rPr>
          <w:rFonts w:ascii="Arial" w:cs="Arial" w:eastAsia="Arial" w:hAnsi="Arial"/>
          <w:sz w:val="11"/>
          <w:szCs w:val="11"/>
          <w:color w:val="auto"/>
        </w:rPr>
        <w:t>Fair market value was based on the closing price of Brink’s Common Stock on December 31, 2018, as reported on the New York Stock Exchange.</w:t>
      </w:r>
    </w:p>
    <w:p>
      <w:pPr>
        <w:ind w:left="520" w:right="80" w:hanging="316"/>
        <w:spacing w:after="0" w:line="182" w:lineRule="auto"/>
        <w:tabs>
          <w:tab w:leader="none" w:pos="520" w:val="left"/>
        </w:tabs>
        <w:numPr>
          <w:ilvl w:val="0"/>
          <w:numId w:val="48"/>
        </w:numPr>
        <w:rPr>
          <w:rFonts w:ascii="Arial" w:cs="Arial" w:eastAsia="Arial" w:hAnsi="Arial"/>
          <w:sz w:val="23"/>
          <w:szCs w:val="23"/>
          <w:color w:val="auto"/>
          <w:vertAlign w:val="superscript"/>
        </w:rPr>
      </w:pPr>
      <w:r>
        <w:rPr>
          <w:rFonts w:ascii="Arial" w:cs="Arial" w:eastAsia="Arial" w:hAnsi="Arial"/>
          <w:sz w:val="14"/>
          <w:szCs w:val="14"/>
          <w:color w:val="auto"/>
        </w:rPr>
        <w:t>PSUs become earned and payable on the date in the first half of the year three years following the date of grant on which the Compensation Committee determines the achievement of the performance goals for the applicable performance period.</w:t>
      </w:r>
    </w:p>
    <w:p>
      <w:pPr>
        <w:spacing w:after="0" w:line="1" w:lineRule="exact"/>
        <w:rPr>
          <w:rFonts w:ascii="Arial" w:cs="Arial" w:eastAsia="Arial" w:hAnsi="Arial"/>
          <w:sz w:val="23"/>
          <w:szCs w:val="23"/>
          <w:color w:val="auto"/>
          <w:vertAlign w:val="superscript"/>
        </w:rPr>
      </w:pPr>
    </w:p>
    <w:p>
      <w:pPr>
        <w:ind w:left="520" w:right="20" w:hanging="316"/>
        <w:spacing w:after="0" w:line="183" w:lineRule="auto"/>
        <w:tabs>
          <w:tab w:leader="none" w:pos="520" w:val="left"/>
        </w:tabs>
        <w:numPr>
          <w:ilvl w:val="0"/>
          <w:numId w:val="48"/>
        </w:numPr>
        <w:rPr>
          <w:rFonts w:ascii="Arial" w:cs="Arial" w:eastAsia="Arial" w:hAnsi="Arial"/>
          <w:sz w:val="24"/>
          <w:szCs w:val="24"/>
          <w:color w:val="auto"/>
          <w:vertAlign w:val="superscript"/>
        </w:rPr>
      </w:pPr>
      <w:r>
        <w:rPr>
          <w:rFonts w:ascii="Arial" w:cs="Arial" w:eastAsia="Arial" w:hAnsi="Arial"/>
          <w:sz w:val="14"/>
          <w:szCs w:val="14"/>
          <w:color w:val="auto"/>
        </w:rPr>
        <w:t>Mr. Marshall was no longer serving as an executive officer as of January 1, 2019. As a result, these awards have been forfeited, except for the portion of RSUs awarded in 2017 and 2018 that vested in February 2019 and will vest in February 2020.</w:t>
      </w:r>
    </w:p>
    <w:p>
      <w:pPr>
        <w:spacing w:after="0" w:line="135" w:lineRule="exact"/>
        <w:rPr>
          <w:sz w:val="20"/>
          <w:szCs w:val="20"/>
          <w:color w:val="auto"/>
        </w:rPr>
      </w:pPr>
    </w:p>
    <w:tbl>
      <w:tblPr>
        <w:tblLayout w:type="fixed"/>
        <w:tblInd w:w="8820" w:type="dxa"/>
        <w:tblCellMar>
          <w:top w:w="0" w:type="dxa"/>
          <w:left w:w="0" w:type="dxa"/>
          <w:bottom w:w="0" w:type="dxa"/>
          <w:right w:w="0" w:type="dxa"/>
        </w:tblCellMar>
      </w:tblPr>
      <w:tr>
        <w:trPr>
          <w:trHeight w:val="297"/>
        </w:trPr>
        <w:tc>
          <w:tcPr>
            <w:tcW w:w="1900" w:type="dxa"/>
            <w:vAlign w:val="bottom"/>
            <w:tcBorders>
              <w:right w:val="single" w:sz="8" w:color="0033A0"/>
            </w:tcBorders>
          </w:tcPr>
          <w:p>
            <w:pPr>
              <w:spacing w:after="0"/>
              <w:rPr>
                <w:sz w:val="20"/>
                <w:szCs w:val="20"/>
                <w:color w:val="auto"/>
              </w:rPr>
            </w:pPr>
            <w:r>
              <w:rPr>
                <w:rFonts w:ascii="Arial" w:cs="Arial" w:eastAsia="Arial" w:hAnsi="Arial"/>
                <w:sz w:val="18"/>
                <w:szCs w:val="18"/>
                <w:i w:val="1"/>
                <w:iCs w:val="1"/>
                <w:color w:val="auto"/>
              </w:rPr>
              <w:t>2019 Proxy Statement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-170815</wp:posOffset>
            </wp:positionV>
            <wp:extent cx="720090" cy="12890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0090" cy="12890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0033A0"/>
        </w:rPr>
        <w:t>The Brink’s Company</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auto"/>
        </w:rPr>
        <w:t>Outstanding Equity Awards Table Narrative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68580</wp:posOffset>
            </wp:positionV>
            <wp:extent cx="699770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spacing w:after="0" w:line="336" w:lineRule="exact"/>
        <w:rPr>
          <w:sz w:val="20"/>
          <w:szCs w:val="20"/>
          <w:color w:val="auto"/>
        </w:rPr>
      </w:pPr>
    </w:p>
    <w:p>
      <w:pPr>
        <w:ind w:left="220"/>
        <w:spacing w:after="0" w:line="236" w:lineRule="auto"/>
        <w:rPr>
          <w:sz w:val="20"/>
          <w:szCs w:val="20"/>
          <w:color w:val="auto"/>
        </w:rPr>
      </w:pPr>
      <w:r>
        <w:rPr>
          <w:rFonts w:ascii="Arial" w:cs="Arial" w:eastAsia="Arial" w:hAnsi="Arial"/>
          <w:sz w:val="18"/>
          <w:szCs w:val="18"/>
          <w:color w:val="auto"/>
        </w:rPr>
        <w:t>For lnternal Metric PSUs awarded in 2016 and 2017, a change in control within the first twelve months of the performance period will result in a conversion of the awards to time-based RSUs at target level that vest on the vesting date (as set forth in the award agreement). lf a change in control occurs after the first twelve months of, but prior to the end of the performance period, the award will convert into time-based RSUs that vest on the vesting date for that number of shares of Brink’s Common Stock that would have become payable based on the goals achieved (adjusted for the shortened performance period) through the date of the change in control. lf a change in control occurs after the end of the performance period but prior to the vesting date, the award will become payable on the vesting date.</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For Relative TSR PSUs awarded in 2016 and 2017, a change in control during the performance period will result in a conversion of the awards to time-based RSUs that vest on the vesting date for that number of shares that would have become payable based on the goals achieved through the date of the change in control. lf a change in control occurs after the end of the performance period but prior to the vesting date, the award will become payable on the vesting date. For Performance Stock Options, if a change of control occurs prior to the vesting date, the price target shall cease to apply and, in the event the named executive officer is terminated without cause or for good reason, then the award will vest in full without regard to the price target.</w:t>
      </w:r>
    </w:p>
    <w:p>
      <w:pPr>
        <w:spacing w:after="0" w:line="403" w:lineRule="exact"/>
        <w:rPr>
          <w:sz w:val="20"/>
          <w:szCs w:val="20"/>
          <w:color w:val="auto"/>
        </w:rPr>
      </w:pPr>
    </w:p>
    <w:p>
      <w:pPr>
        <w:sectPr>
          <w:pgSz w:w="11900" w:h="16838" w:orient="portrait"/>
          <w:cols w:equalWidth="0" w:num="2">
            <w:col w:w="5480" w:space="340"/>
            <w:col w:w="5420"/>
          </w:cols>
          <w:pgMar w:left="240" w:top="459" w:right="419" w:bottom="1440" w:gutter="0" w:footer="0" w:header="0"/>
          <w:type w:val="continuous"/>
        </w:sectPr>
      </w:pPr>
    </w:p>
    <w:p>
      <w:pPr>
        <w:spacing w:after="0" w:line="150"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auto"/>
        </w:rPr>
        <w:t>Option Exercises and Stock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68580</wp:posOffset>
            </wp:positionV>
            <wp:extent cx="69977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8" w:lineRule="exact"/>
        <w:rPr>
          <w:sz w:val="20"/>
          <w:szCs w:val="20"/>
          <w:color w:val="auto"/>
        </w:rPr>
      </w:pPr>
    </w:p>
    <w:p>
      <w:pPr>
        <w:ind w:left="200" w:right="720"/>
        <w:spacing w:after="0" w:line="246" w:lineRule="auto"/>
        <w:rPr>
          <w:sz w:val="20"/>
          <w:szCs w:val="20"/>
          <w:color w:val="auto"/>
        </w:rPr>
      </w:pPr>
      <w:r>
        <w:rPr>
          <w:rFonts w:ascii="Arial" w:cs="Arial" w:eastAsia="Arial" w:hAnsi="Arial"/>
          <w:sz w:val="18"/>
          <w:szCs w:val="18"/>
          <w:color w:val="auto"/>
        </w:rPr>
        <w:t>The following table presents information concerning the exercise of all stock options and vesting of all stock awards for the named executive officers during the year ended December 31, 2018.</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2520" w:type="dxa"/>
            <w:vAlign w:val="bottom"/>
            <w:tcBorders>
              <w:bottom w:val="single" w:sz="8" w:color="0033A0"/>
            </w:tcBorders>
            <w:gridSpan w:val="2"/>
          </w:tcPr>
          <w:p>
            <w:pPr>
              <w:jc w:val="right"/>
              <w:ind w:right="758"/>
              <w:spacing w:after="0"/>
              <w:rPr>
                <w:sz w:val="20"/>
                <w:szCs w:val="20"/>
                <w:color w:val="auto"/>
              </w:rPr>
            </w:pPr>
            <w:r>
              <w:rPr>
                <w:rFonts w:ascii="Arial" w:cs="Arial" w:eastAsia="Arial" w:hAnsi="Arial"/>
                <w:sz w:val="14"/>
                <w:szCs w:val="14"/>
                <w:b w:val="1"/>
                <w:bCs w:val="1"/>
                <w:color w:val="0033A0"/>
              </w:rPr>
              <w:t>Option Awards</w:t>
            </w:r>
          </w:p>
        </w:tc>
        <w:tc>
          <w:tcPr>
            <w:tcW w:w="2860" w:type="dxa"/>
            <w:vAlign w:val="bottom"/>
            <w:tcBorders>
              <w:bottom w:val="single" w:sz="8" w:color="0033A0"/>
            </w:tcBorders>
            <w:gridSpan w:val="2"/>
          </w:tcPr>
          <w:p>
            <w:pPr>
              <w:jc w:val="right"/>
              <w:ind w:right="858"/>
              <w:spacing w:after="0"/>
              <w:rPr>
                <w:sz w:val="20"/>
                <w:szCs w:val="20"/>
                <w:color w:val="auto"/>
              </w:rPr>
            </w:pPr>
            <w:r>
              <w:rPr>
                <w:rFonts w:ascii="Arial" w:cs="Arial" w:eastAsia="Arial" w:hAnsi="Arial"/>
                <w:sz w:val="14"/>
                <w:szCs w:val="14"/>
                <w:b w:val="1"/>
                <w:bCs w:val="1"/>
                <w:color w:val="0033A0"/>
              </w:rPr>
              <w:t>Stock Awards</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180" w:type="dxa"/>
            <w:vAlign w:val="bottom"/>
          </w:tcPr>
          <w:p>
            <w:pPr>
              <w:jc w:val="center"/>
              <w:ind w:right="60"/>
              <w:spacing w:after="0"/>
              <w:rPr>
                <w:sz w:val="20"/>
                <w:szCs w:val="20"/>
                <w:color w:val="auto"/>
              </w:rPr>
            </w:pPr>
            <w:r>
              <w:rPr>
                <w:rFonts w:ascii="Arial" w:cs="Arial" w:eastAsia="Arial" w:hAnsi="Arial"/>
                <w:sz w:val="14"/>
                <w:szCs w:val="14"/>
                <w:b w:val="1"/>
                <w:bCs w:val="1"/>
                <w:color w:val="0033A0"/>
              </w:rPr>
              <w:t>Number of</w:t>
            </w:r>
          </w:p>
        </w:tc>
        <w:tc>
          <w:tcPr>
            <w:tcW w:w="134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0033A0"/>
                <w:w w:val="99"/>
              </w:rPr>
              <w:t>Number of</w:t>
            </w: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180" w:type="dxa"/>
            <w:vAlign w:val="bottom"/>
          </w:tcPr>
          <w:p>
            <w:pPr>
              <w:jc w:val="center"/>
              <w:ind w:right="60"/>
              <w:spacing w:after="0"/>
              <w:rPr>
                <w:sz w:val="20"/>
                <w:szCs w:val="20"/>
                <w:color w:val="auto"/>
              </w:rPr>
            </w:pPr>
            <w:r>
              <w:rPr>
                <w:rFonts w:ascii="Arial" w:cs="Arial" w:eastAsia="Arial" w:hAnsi="Arial"/>
                <w:sz w:val="14"/>
                <w:szCs w:val="14"/>
                <w:b w:val="1"/>
                <w:bCs w:val="1"/>
                <w:color w:val="0033A0"/>
              </w:rPr>
              <w:t>Shares</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0033A0"/>
              </w:rPr>
              <w:t>Value</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0033A0"/>
              </w:rPr>
              <w:t>Shares</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0033A0"/>
              </w:rPr>
              <w:t>Value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180" w:type="dxa"/>
            <w:vAlign w:val="bottom"/>
          </w:tcPr>
          <w:p>
            <w:pPr>
              <w:jc w:val="center"/>
              <w:ind w:right="60"/>
              <w:spacing w:after="0"/>
              <w:rPr>
                <w:sz w:val="20"/>
                <w:szCs w:val="20"/>
                <w:color w:val="auto"/>
              </w:rPr>
            </w:pPr>
            <w:r>
              <w:rPr>
                <w:rFonts w:ascii="Arial" w:cs="Arial" w:eastAsia="Arial" w:hAnsi="Arial"/>
                <w:sz w:val="14"/>
                <w:szCs w:val="14"/>
                <w:b w:val="1"/>
                <w:bCs w:val="1"/>
                <w:color w:val="0033A0"/>
              </w:rPr>
              <w:t>Acquired on</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0033A0"/>
              </w:rPr>
              <w:t>Realized on</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0033A0"/>
              </w:rPr>
              <w:t>Acquired on</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0033A0"/>
              </w:rPr>
              <w:t>Realized on</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180" w:type="dxa"/>
            <w:vAlign w:val="bottom"/>
          </w:tcPr>
          <w:p>
            <w:pPr>
              <w:jc w:val="center"/>
              <w:ind w:right="60"/>
              <w:spacing w:after="0"/>
              <w:rPr>
                <w:sz w:val="20"/>
                <w:szCs w:val="20"/>
                <w:color w:val="auto"/>
              </w:rPr>
            </w:pPr>
            <w:r>
              <w:rPr>
                <w:rFonts w:ascii="Arial" w:cs="Arial" w:eastAsia="Arial" w:hAnsi="Arial"/>
                <w:sz w:val="14"/>
                <w:szCs w:val="14"/>
                <w:b w:val="1"/>
                <w:bCs w:val="1"/>
                <w:color w:val="0033A0"/>
              </w:rPr>
              <w:t>Exercise</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0033A0"/>
              </w:rPr>
              <w:t>Exercise</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0033A0"/>
                <w:w w:val="98"/>
              </w:rPr>
              <w:t>Vesting</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0033A0"/>
              </w:rPr>
              <w:t>Vesting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820" w:type="dxa"/>
            <w:vAlign w:val="bottom"/>
            <w:tcBorders>
              <w:bottom w:val="single" w:sz="8" w:color="0033A0"/>
            </w:tcBorders>
            <w:gridSpan w:val="2"/>
          </w:tcPr>
          <w:p>
            <w:pPr>
              <w:ind w:left="60"/>
              <w:spacing w:after="0"/>
              <w:rPr>
                <w:sz w:val="20"/>
                <w:szCs w:val="20"/>
                <w:color w:val="auto"/>
              </w:rPr>
            </w:pPr>
            <w:r>
              <w:rPr>
                <w:rFonts w:ascii="Arial" w:cs="Arial" w:eastAsia="Arial" w:hAnsi="Arial"/>
                <w:sz w:val="14"/>
                <w:szCs w:val="14"/>
                <w:b w:val="1"/>
                <w:bCs w:val="1"/>
                <w:color w:val="0033A0"/>
              </w:rPr>
              <w:t>Name</w:t>
            </w:r>
          </w:p>
        </w:tc>
        <w:tc>
          <w:tcPr>
            <w:tcW w:w="3820" w:type="dxa"/>
            <w:vAlign w:val="bottom"/>
            <w:tcBorders>
              <w:bottom w:val="single" w:sz="8" w:color="0033A0"/>
            </w:tcBorders>
          </w:tcPr>
          <w:p>
            <w:pPr>
              <w:spacing w:after="0"/>
              <w:rPr>
                <w:sz w:val="16"/>
                <w:szCs w:val="16"/>
                <w:color w:val="auto"/>
              </w:rPr>
            </w:pPr>
          </w:p>
        </w:tc>
        <w:tc>
          <w:tcPr>
            <w:tcW w:w="1180" w:type="dxa"/>
            <w:vAlign w:val="bottom"/>
            <w:tcBorders>
              <w:bottom w:val="single" w:sz="8" w:color="0033A0"/>
            </w:tcBorders>
          </w:tcPr>
          <w:p>
            <w:pPr>
              <w:jc w:val="center"/>
              <w:ind w:right="40"/>
              <w:spacing w:after="0"/>
              <w:rPr>
                <w:sz w:val="20"/>
                <w:szCs w:val="20"/>
                <w:color w:val="auto"/>
              </w:rPr>
            </w:pPr>
            <w:r>
              <w:rPr>
                <w:rFonts w:ascii="Arial" w:cs="Arial" w:eastAsia="Arial" w:hAnsi="Arial"/>
                <w:sz w:val="14"/>
                <w:szCs w:val="14"/>
                <w:b w:val="1"/>
                <w:bCs w:val="1"/>
                <w:color w:val="0033A0"/>
              </w:rPr>
              <w:t>(#)</w:t>
            </w:r>
          </w:p>
        </w:tc>
        <w:tc>
          <w:tcPr>
            <w:tcW w:w="1340" w:type="dxa"/>
            <w:vAlign w:val="bottom"/>
            <w:tcBorders>
              <w:bottom w:val="single" w:sz="8" w:color="0033A0"/>
            </w:tcBorders>
          </w:tcPr>
          <w:p>
            <w:pPr>
              <w:jc w:val="center"/>
              <w:spacing w:after="0"/>
              <w:rPr>
                <w:sz w:val="20"/>
                <w:szCs w:val="20"/>
                <w:color w:val="auto"/>
              </w:rPr>
            </w:pPr>
            <w:r>
              <w:rPr>
                <w:rFonts w:ascii="Arial" w:cs="Arial" w:eastAsia="Arial" w:hAnsi="Arial"/>
                <w:sz w:val="14"/>
                <w:szCs w:val="14"/>
                <w:b w:val="1"/>
                <w:bCs w:val="1"/>
                <w:color w:val="0033A0"/>
              </w:rPr>
              <w:t>($)</w:t>
            </w:r>
          </w:p>
        </w:tc>
        <w:tc>
          <w:tcPr>
            <w:tcW w:w="1460" w:type="dxa"/>
            <w:vAlign w:val="bottom"/>
            <w:tcBorders>
              <w:bottom w:val="single" w:sz="8" w:color="0033A0"/>
            </w:tcBorders>
          </w:tcPr>
          <w:p>
            <w:pPr>
              <w:jc w:val="center"/>
              <w:spacing w:after="0"/>
              <w:rPr>
                <w:sz w:val="20"/>
                <w:szCs w:val="20"/>
                <w:color w:val="auto"/>
              </w:rPr>
            </w:pPr>
            <w:r>
              <w:rPr>
                <w:rFonts w:ascii="Arial" w:cs="Arial" w:eastAsia="Arial" w:hAnsi="Arial"/>
                <w:sz w:val="14"/>
                <w:szCs w:val="14"/>
                <w:b w:val="1"/>
                <w:bCs w:val="1"/>
                <w:color w:val="0033A0"/>
              </w:rPr>
              <w:t>(#)</w:t>
            </w:r>
          </w:p>
        </w:tc>
        <w:tc>
          <w:tcPr>
            <w:tcW w:w="1400" w:type="dxa"/>
            <w:vAlign w:val="bottom"/>
            <w:tcBorders>
              <w:bottom w:val="single" w:sz="8" w:color="0033A0"/>
            </w:tcBorders>
          </w:tcPr>
          <w:p>
            <w:pPr>
              <w:jc w:val="center"/>
              <w:spacing w:after="0"/>
              <w:rPr>
                <w:sz w:val="20"/>
                <w:szCs w:val="20"/>
                <w:color w:val="auto"/>
              </w:rPr>
            </w:pPr>
            <w:r>
              <w:rPr>
                <w:rFonts w:ascii="Arial" w:cs="Arial" w:eastAsia="Arial" w:hAnsi="Arial"/>
                <w:sz w:val="14"/>
                <w:szCs w:val="14"/>
                <w:b w:val="1"/>
                <w:bCs w:val="1"/>
                <w:color w:val="0033A0"/>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1820" w:type="dxa"/>
            <w:vAlign w:val="bottom"/>
            <w:tcBorders>
              <w:bottom w:val="single" w:sz="8" w:color="E5EAF5"/>
            </w:tcBorders>
            <w:gridSpan w:val="2"/>
            <w:shd w:val="clear" w:color="auto" w:fill="E5EAF5"/>
          </w:tcPr>
          <w:p>
            <w:pPr>
              <w:ind w:left="60"/>
              <w:spacing w:after="0"/>
              <w:rPr>
                <w:sz w:val="20"/>
                <w:szCs w:val="20"/>
                <w:color w:val="auto"/>
              </w:rPr>
            </w:pPr>
            <w:r>
              <w:rPr>
                <w:rFonts w:ascii="Arial" w:cs="Arial" w:eastAsia="Arial" w:hAnsi="Arial"/>
                <w:sz w:val="18"/>
                <w:szCs w:val="18"/>
                <w:color w:val="auto"/>
              </w:rPr>
              <w:t>Douglas A. Pertz</w:t>
            </w:r>
          </w:p>
        </w:tc>
        <w:tc>
          <w:tcPr>
            <w:tcW w:w="3820" w:type="dxa"/>
            <w:vAlign w:val="bottom"/>
            <w:tcBorders>
              <w:bottom w:val="single" w:sz="8" w:color="E5EAF5"/>
            </w:tcBorders>
            <w:shd w:val="clear" w:color="auto" w:fill="E5EAF5"/>
          </w:tcPr>
          <w:p>
            <w:pPr>
              <w:spacing w:after="0"/>
              <w:rPr>
                <w:sz w:val="24"/>
                <w:szCs w:val="24"/>
                <w:color w:val="auto"/>
              </w:rPr>
            </w:pPr>
          </w:p>
        </w:tc>
        <w:tc>
          <w:tcPr>
            <w:tcW w:w="1180" w:type="dxa"/>
            <w:vAlign w:val="bottom"/>
            <w:tcBorders>
              <w:bottom w:val="single" w:sz="8" w:color="E5EAF5"/>
            </w:tcBorders>
            <w:shd w:val="clear" w:color="auto" w:fill="E5EAF5"/>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E5EAF5"/>
            </w:tcBorders>
            <w:shd w:val="clear" w:color="auto" w:fill="E5EAF5"/>
          </w:tcPr>
          <w:p>
            <w:pPr>
              <w:jc w:val="right"/>
              <w:ind w:right="198"/>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E5EAF5"/>
            </w:tcBorders>
            <w:shd w:val="clear" w:color="auto" w:fill="E5EAF5"/>
          </w:tcPr>
          <w:p>
            <w:pPr>
              <w:jc w:val="right"/>
              <w:ind w:right="260"/>
              <w:spacing w:after="0"/>
              <w:rPr>
                <w:sz w:val="20"/>
                <w:szCs w:val="20"/>
                <w:color w:val="auto"/>
              </w:rPr>
            </w:pPr>
            <w:r>
              <w:rPr>
                <w:rFonts w:ascii="Arial" w:cs="Arial" w:eastAsia="Arial" w:hAnsi="Arial"/>
                <w:sz w:val="18"/>
                <w:szCs w:val="18"/>
                <w:color w:val="auto"/>
              </w:rPr>
              <w:t>6,042</w:t>
            </w:r>
          </w:p>
        </w:tc>
        <w:tc>
          <w:tcPr>
            <w:tcW w:w="1400" w:type="dxa"/>
            <w:vAlign w:val="bottom"/>
            <w:tcBorders>
              <w:bottom w:val="single" w:sz="8" w:color="E5EAF5"/>
            </w:tcBorders>
            <w:shd w:val="clear" w:color="auto" w:fill="E5EAF5"/>
          </w:tcPr>
          <w:p>
            <w:pPr>
              <w:jc w:val="right"/>
              <w:ind w:right="158"/>
              <w:spacing w:after="0"/>
              <w:rPr>
                <w:sz w:val="20"/>
                <w:szCs w:val="20"/>
                <w:color w:val="auto"/>
              </w:rPr>
            </w:pPr>
            <w:r>
              <w:rPr>
                <w:rFonts w:ascii="Arial" w:cs="Arial" w:eastAsia="Arial" w:hAnsi="Arial"/>
                <w:sz w:val="18"/>
                <w:szCs w:val="18"/>
                <w:color w:val="auto"/>
              </w:rPr>
              <w:t>455,567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820" w:type="dxa"/>
            <w:vAlign w:val="bottom"/>
            <w:gridSpan w:val="2"/>
          </w:tcPr>
          <w:p>
            <w:pPr>
              <w:ind w:left="60"/>
              <w:spacing w:after="0"/>
              <w:rPr>
                <w:sz w:val="20"/>
                <w:szCs w:val="20"/>
                <w:color w:val="auto"/>
              </w:rPr>
            </w:pPr>
            <w:r>
              <w:rPr>
                <w:rFonts w:ascii="Arial" w:cs="Arial" w:eastAsia="Arial" w:hAnsi="Arial"/>
                <w:sz w:val="18"/>
                <w:szCs w:val="18"/>
                <w:color w:val="auto"/>
              </w:rPr>
              <w:t>Ronald J. Domanico</w:t>
            </w:r>
          </w:p>
        </w:tc>
        <w:tc>
          <w:tcPr>
            <w:tcW w:w="3820" w:type="dxa"/>
            <w:vAlign w:val="bottom"/>
          </w:tcPr>
          <w:p>
            <w:pPr>
              <w:spacing w:after="0"/>
              <w:rPr>
                <w:sz w:val="18"/>
                <w:szCs w:val="18"/>
                <w:color w:val="auto"/>
              </w:rPr>
            </w:pPr>
          </w:p>
        </w:tc>
        <w:tc>
          <w:tcPr>
            <w:tcW w:w="1180" w:type="dxa"/>
            <w:vAlign w:val="bottom"/>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98"/>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260"/>
              <w:spacing w:after="0"/>
              <w:rPr>
                <w:sz w:val="20"/>
                <w:szCs w:val="20"/>
                <w:color w:val="auto"/>
              </w:rPr>
            </w:pPr>
            <w:r>
              <w:rPr>
                <w:rFonts w:ascii="Arial" w:cs="Arial" w:eastAsia="Arial" w:hAnsi="Arial"/>
                <w:sz w:val="18"/>
                <w:szCs w:val="18"/>
                <w:color w:val="auto"/>
              </w:rPr>
              <w:t>3,335</w:t>
            </w:r>
          </w:p>
        </w:tc>
        <w:tc>
          <w:tcPr>
            <w:tcW w:w="1400" w:type="dxa"/>
            <w:vAlign w:val="bottom"/>
          </w:tcPr>
          <w:p>
            <w:pPr>
              <w:jc w:val="right"/>
              <w:ind w:right="158"/>
              <w:spacing w:after="0"/>
              <w:rPr>
                <w:sz w:val="20"/>
                <w:szCs w:val="20"/>
                <w:color w:val="auto"/>
              </w:rPr>
            </w:pPr>
            <w:r>
              <w:rPr>
                <w:rFonts w:ascii="Arial" w:cs="Arial" w:eastAsia="Arial" w:hAnsi="Arial"/>
                <w:sz w:val="18"/>
                <w:szCs w:val="18"/>
                <w:color w:val="auto"/>
              </w:rPr>
              <w:t>251,900</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820" w:type="dxa"/>
            <w:vAlign w:val="bottom"/>
            <w:tcBorders>
              <w:bottom w:val="single" w:sz="8" w:color="E5EAF5"/>
            </w:tcBorders>
            <w:gridSpan w:val="2"/>
            <w:shd w:val="clear" w:color="auto" w:fill="E5EAF5"/>
          </w:tcPr>
          <w:p>
            <w:pPr>
              <w:ind w:left="60"/>
              <w:spacing w:after="0" w:line="202" w:lineRule="exact"/>
              <w:rPr>
                <w:sz w:val="20"/>
                <w:szCs w:val="20"/>
                <w:color w:val="auto"/>
              </w:rPr>
            </w:pPr>
            <w:r>
              <w:rPr>
                <w:rFonts w:ascii="Arial" w:cs="Arial" w:eastAsia="Arial" w:hAnsi="Arial"/>
                <w:sz w:val="18"/>
                <w:szCs w:val="18"/>
                <w:color w:val="auto"/>
              </w:rPr>
              <w:t>Michael F. Beech</w:t>
            </w:r>
          </w:p>
        </w:tc>
        <w:tc>
          <w:tcPr>
            <w:tcW w:w="3820" w:type="dxa"/>
            <w:vAlign w:val="bottom"/>
            <w:tcBorders>
              <w:bottom w:val="single" w:sz="8" w:color="E5EAF5"/>
            </w:tcBorders>
            <w:shd w:val="clear" w:color="auto" w:fill="E5EAF5"/>
          </w:tcPr>
          <w:p>
            <w:pPr>
              <w:spacing w:after="0"/>
              <w:rPr>
                <w:sz w:val="19"/>
                <w:szCs w:val="19"/>
                <w:color w:val="auto"/>
              </w:rPr>
            </w:pPr>
          </w:p>
        </w:tc>
        <w:tc>
          <w:tcPr>
            <w:tcW w:w="1180" w:type="dxa"/>
            <w:vAlign w:val="bottom"/>
            <w:tcBorders>
              <w:bottom w:val="single" w:sz="8" w:color="E5EAF5"/>
            </w:tcBorders>
            <w:shd w:val="clear" w:color="auto" w:fill="E5EAF5"/>
          </w:tcPr>
          <w:p>
            <w:pPr>
              <w:jc w:val="right"/>
              <w:ind w:right="160"/>
              <w:spacing w:after="0" w:line="202" w:lineRule="exact"/>
              <w:rPr>
                <w:sz w:val="20"/>
                <w:szCs w:val="20"/>
                <w:color w:val="auto"/>
              </w:rPr>
            </w:pPr>
            <w:r>
              <w:rPr>
                <w:rFonts w:ascii="Arial" w:cs="Arial" w:eastAsia="Arial" w:hAnsi="Arial"/>
                <w:sz w:val="18"/>
                <w:szCs w:val="18"/>
                <w:color w:val="auto"/>
              </w:rPr>
              <w:t>7,922</w:t>
            </w:r>
          </w:p>
        </w:tc>
        <w:tc>
          <w:tcPr>
            <w:tcW w:w="1340" w:type="dxa"/>
            <w:vAlign w:val="bottom"/>
            <w:tcBorders>
              <w:bottom w:val="single" w:sz="8" w:color="E5EAF5"/>
            </w:tcBorders>
            <w:shd w:val="clear" w:color="auto" w:fill="E5EAF5"/>
          </w:tcPr>
          <w:p>
            <w:pPr>
              <w:jc w:val="right"/>
              <w:ind w:right="198"/>
              <w:spacing w:after="0" w:line="202" w:lineRule="exact"/>
              <w:rPr>
                <w:sz w:val="20"/>
                <w:szCs w:val="20"/>
                <w:color w:val="auto"/>
              </w:rPr>
            </w:pPr>
            <w:r>
              <w:rPr>
                <w:rFonts w:ascii="Arial" w:cs="Arial" w:eastAsia="Arial" w:hAnsi="Arial"/>
                <w:sz w:val="18"/>
                <w:szCs w:val="18"/>
                <w:color w:val="auto"/>
              </w:rPr>
              <w:t>444,455</w:t>
            </w:r>
          </w:p>
        </w:tc>
        <w:tc>
          <w:tcPr>
            <w:tcW w:w="1460" w:type="dxa"/>
            <w:vAlign w:val="bottom"/>
            <w:tcBorders>
              <w:bottom w:val="single" w:sz="8" w:color="E5EAF5"/>
            </w:tcBorders>
            <w:shd w:val="clear" w:color="auto" w:fill="E5EAF5"/>
          </w:tcPr>
          <w:p>
            <w:pPr>
              <w:jc w:val="right"/>
              <w:ind w:right="260"/>
              <w:spacing w:after="0" w:line="202" w:lineRule="exact"/>
              <w:rPr>
                <w:sz w:val="20"/>
                <w:szCs w:val="20"/>
                <w:color w:val="auto"/>
              </w:rPr>
            </w:pPr>
            <w:r>
              <w:rPr>
                <w:rFonts w:ascii="Arial" w:cs="Arial" w:eastAsia="Arial" w:hAnsi="Arial"/>
                <w:sz w:val="18"/>
                <w:szCs w:val="18"/>
                <w:color w:val="auto"/>
              </w:rPr>
              <w:t>39,765</w:t>
            </w:r>
          </w:p>
        </w:tc>
        <w:tc>
          <w:tcPr>
            <w:tcW w:w="1400" w:type="dxa"/>
            <w:vAlign w:val="bottom"/>
            <w:tcBorders>
              <w:bottom w:val="single" w:sz="8" w:color="E5EAF5"/>
            </w:tcBorders>
            <w:shd w:val="clear" w:color="auto" w:fill="E5EAF5"/>
          </w:tcPr>
          <w:p>
            <w:pPr>
              <w:jc w:val="right"/>
              <w:ind w:right="158"/>
              <w:spacing w:after="0" w:line="202" w:lineRule="exact"/>
              <w:rPr>
                <w:sz w:val="20"/>
                <w:szCs w:val="20"/>
                <w:color w:val="auto"/>
              </w:rPr>
            </w:pPr>
            <w:r>
              <w:rPr>
                <w:rFonts w:ascii="Arial" w:cs="Arial" w:eastAsia="Arial" w:hAnsi="Arial"/>
                <w:sz w:val="18"/>
                <w:szCs w:val="18"/>
                <w:color w:val="auto"/>
              </w:rPr>
              <w:t>2,925,739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40" w:type="dxa"/>
            <w:vAlign w:val="bottom"/>
            <w:gridSpan w:val="3"/>
          </w:tcPr>
          <w:p>
            <w:pPr>
              <w:ind w:left="60"/>
              <w:spacing w:after="0"/>
              <w:rPr>
                <w:sz w:val="20"/>
                <w:szCs w:val="20"/>
                <w:color w:val="auto"/>
              </w:rPr>
            </w:pPr>
            <w:r>
              <w:rPr>
                <w:rFonts w:ascii="Arial" w:cs="Arial" w:eastAsia="Arial" w:hAnsi="Arial"/>
                <w:sz w:val="18"/>
                <w:szCs w:val="18"/>
                <w:color w:val="auto"/>
              </w:rPr>
              <w:t>McAlister C. Marshall, II</w:t>
            </w:r>
          </w:p>
        </w:tc>
        <w:tc>
          <w:tcPr>
            <w:tcW w:w="1180" w:type="dxa"/>
            <w:vAlign w:val="bottom"/>
          </w:tcPr>
          <w:p>
            <w:pPr>
              <w:jc w:val="right"/>
              <w:ind w:right="160"/>
              <w:spacing w:after="0"/>
              <w:rPr>
                <w:sz w:val="20"/>
                <w:szCs w:val="20"/>
                <w:color w:val="auto"/>
              </w:rPr>
            </w:pPr>
            <w:r>
              <w:rPr>
                <w:rFonts w:ascii="Arial" w:cs="Arial" w:eastAsia="Arial" w:hAnsi="Arial"/>
                <w:sz w:val="18"/>
                <w:szCs w:val="18"/>
                <w:color w:val="auto"/>
              </w:rPr>
              <w:t>29,942</w:t>
            </w:r>
          </w:p>
        </w:tc>
        <w:tc>
          <w:tcPr>
            <w:tcW w:w="1340" w:type="dxa"/>
            <w:vAlign w:val="bottom"/>
          </w:tcPr>
          <w:p>
            <w:pPr>
              <w:jc w:val="right"/>
              <w:ind w:right="198"/>
              <w:spacing w:after="0"/>
              <w:rPr>
                <w:sz w:val="20"/>
                <w:szCs w:val="20"/>
                <w:color w:val="auto"/>
              </w:rPr>
            </w:pPr>
            <w:r>
              <w:rPr>
                <w:rFonts w:ascii="Arial" w:cs="Arial" w:eastAsia="Arial" w:hAnsi="Arial"/>
                <w:sz w:val="18"/>
                <w:szCs w:val="18"/>
                <w:color w:val="auto"/>
              </w:rPr>
              <w:t>1,712,300</w:t>
            </w:r>
          </w:p>
        </w:tc>
        <w:tc>
          <w:tcPr>
            <w:tcW w:w="1460" w:type="dxa"/>
            <w:vAlign w:val="bottom"/>
          </w:tcPr>
          <w:p>
            <w:pPr>
              <w:jc w:val="right"/>
              <w:ind w:right="260"/>
              <w:spacing w:after="0"/>
              <w:rPr>
                <w:sz w:val="20"/>
                <w:szCs w:val="20"/>
                <w:color w:val="auto"/>
              </w:rPr>
            </w:pPr>
            <w:r>
              <w:rPr>
                <w:rFonts w:ascii="Arial" w:cs="Arial" w:eastAsia="Arial" w:hAnsi="Arial"/>
                <w:sz w:val="18"/>
                <w:szCs w:val="18"/>
                <w:color w:val="auto"/>
              </w:rPr>
              <w:t>40,492</w:t>
            </w:r>
          </w:p>
        </w:tc>
        <w:tc>
          <w:tcPr>
            <w:tcW w:w="1400" w:type="dxa"/>
            <w:vAlign w:val="bottom"/>
          </w:tcPr>
          <w:p>
            <w:pPr>
              <w:jc w:val="right"/>
              <w:ind w:right="158"/>
              <w:spacing w:after="0"/>
              <w:rPr>
                <w:sz w:val="20"/>
                <w:szCs w:val="20"/>
                <w:color w:val="auto"/>
              </w:rPr>
            </w:pPr>
            <w:r>
              <w:rPr>
                <w:rFonts w:ascii="Arial" w:cs="Arial" w:eastAsia="Arial" w:hAnsi="Arial"/>
                <w:sz w:val="18"/>
                <w:szCs w:val="18"/>
                <w:color w:val="auto"/>
              </w:rPr>
              <w:t>2,979,536</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820" w:type="dxa"/>
            <w:vAlign w:val="bottom"/>
            <w:tcBorders>
              <w:bottom w:val="single" w:sz="8" w:color="E5EAF5"/>
            </w:tcBorders>
            <w:gridSpan w:val="2"/>
            <w:shd w:val="clear" w:color="auto" w:fill="E5EAF5"/>
          </w:tcPr>
          <w:p>
            <w:pPr>
              <w:ind w:left="60"/>
              <w:spacing w:after="0" w:line="202" w:lineRule="exact"/>
              <w:rPr>
                <w:sz w:val="20"/>
                <w:szCs w:val="20"/>
                <w:color w:val="auto"/>
              </w:rPr>
            </w:pPr>
            <w:r>
              <w:rPr>
                <w:rFonts w:ascii="Arial" w:cs="Arial" w:eastAsia="Arial" w:hAnsi="Arial"/>
                <w:sz w:val="18"/>
                <w:szCs w:val="18"/>
                <w:color w:val="auto"/>
              </w:rPr>
              <w:t>Amit Zukerman</w:t>
            </w:r>
          </w:p>
        </w:tc>
        <w:tc>
          <w:tcPr>
            <w:tcW w:w="3820" w:type="dxa"/>
            <w:vAlign w:val="bottom"/>
            <w:tcBorders>
              <w:bottom w:val="single" w:sz="8" w:color="E5EAF5"/>
            </w:tcBorders>
            <w:shd w:val="clear" w:color="auto" w:fill="E5EAF5"/>
          </w:tcPr>
          <w:p>
            <w:pPr>
              <w:spacing w:after="0"/>
              <w:rPr>
                <w:sz w:val="20"/>
                <w:szCs w:val="20"/>
                <w:color w:val="auto"/>
              </w:rPr>
            </w:pPr>
          </w:p>
        </w:tc>
        <w:tc>
          <w:tcPr>
            <w:tcW w:w="1180" w:type="dxa"/>
            <w:vAlign w:val="bottom"/>
            <w:tcBorders>
              <w:bottom w:val="single" w:sz="8" w:color="E5EAF5"/>
            </w:tcBorders>
            <w:shd w:val="clear" w:color="auto" w:fill="E5EAF5"/>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340" w:type="dxa"/>
            <w:vAlign w:val="bottom"/>
            <w:tcBorders>
              <w:bottom w:val="single" w:sz="8" w:color="E5EAF5"/>
            </w:tcBorders>
            <w:shd w:val="clear" w:color="auto" w:fill="E5EAF5"/>
          </w:tcPr>
          <w:p>
            <w:pPr>
              <w:jc w:val="right"/>
              <w:ind w:right="198"/>
              <w:spacing w:after="0" w:line="202" w:lineRule="exact"/>
              <w:rPr>
                <w:sz w:val="20"/>
                <w:szCs w:val="20"/>
                <w:color w:val="auto"/>
              </w:rPr>
            </w:pPr>
            <w:r>
              <w:rPr>
                <w:rFonts w:ascii="Arial" w:cs="Arial" w:eastAsia="Arial" w:hAnsi="Arial"/>
                <w:sz w:val="18"/>
                <w:szCs w:val="18"/>
                <w:color w:val="auto"/>
              </w:rPr>
              <w:t>—</w:t>
            </w:r>
          </w:p>
        </w:tc>
        <w:tc>
          <w:tcPr>
            <w:tcW w:w="1460" w:type="dxa"/>
            <w:vAlign w:val="bottom"/>
            <w:tcBorders>
              <w:bottom w:val="single" w:sz="8" w:color="E5EAF5"/>
            </w:tcBorders>
            <w:shd w:val="clear" w:color="auto" w:fill="E5EAF5"/>
          </w:tcPr>
          <w:p>
            <w:pPr>
              <w:jc w:val="right"/>
              <w:ind w:right="260"/>
              <w:spacing w:after="0" w:line="202" w:lineRule="exact"/>
              <w:rPr>
                <w:sz w:val="20"/>
                <w:szCs w:val="20"/>
                <w:color w:val="auto"/>
              </w:rPr>
            </w:pPr>
            <w:r>
              <w:rPr>
                <w:rFonts w:ascii="Arial" w:cs="Arial" w:eastAsia="Arial" w:hAnsi="Arial"/>
                <w:sz w:val="18"/>
                <w:szCs w:val="18"/>
                <w:color w:val="auto"/>
              </w:rPr>
              <w:t>30,285</w:t>
            </w:r>
          </w:p>
        </w:tc>
        <w:tc>
          <w:tcPr>
            <w:tcW w:w="1400" w:type="dxa"/>
            <w:vAlign w:val="bottom"/>
            <w:tcBorders>
              <w:bottom w:val="single" w:sz="8" w:color="E5EAF5"/>
            </w:tcBorders>
            <w:shd w:val="clear" w:color="auto" w:fill="E5EAF5"/>
          </w:tcPr>
          <w:p>
            <w:pPr>
              <w:jc w:val="right"/>
              <w:ind w:right="158"/>
              <w:spacing w:after="0" w:line="202" w:lineRule="exact"/>
              <w:rPr>
                <w:sz w:val="20"/>
                <w:szCs w:val="20"/>
                <w:color w:val="auto"/>
              </w:rPr>
            </w:pPr>
            <w:r>
              <w:rPr>
                <w:rFonts w:ascii="Arial" w:cs="Arial" w:eastAsia="Arial" w:hAnsi="Arial"/>
                <w:sz w:val="18"/>
                <w:szCs w:val="18"/>
                <w:color w:val="auto"/>
              </w:rPr>
              <w:t>2,231,069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33A0"/>
          </w:tcPr>
          <w:p>
            <w:pPr>
              <w:spacing w:after="0" w:line="20" w:lineRule="exact"/>
              <w:rPr>
                <w:sz w:val="1"/>
                <w:szCs w:val="1"/>
                <w:color w:val="auto"/>
              </w:rPr>
            </w:pPr>
          </w:p>
        </w:tc>
        <w:tc>
          <w:tcPr>
            <w:tcW w:w="1500" w:type="dxa"/>
            <w:vAlign w:val="bottom"/>
            <w:tcBorders>
              <w:left w:val="single" w:sz="8" w:color="0033A0"/>
            </w:tcBorders>
            <w:shd w:val="clear" w:color="auto" w:fill="0033A0"/>
          </w:tcPr>
          <w:p>
            <w:pPr>
              <w:spacing w:after="0" w:line="20" w:lineRule="exact"/>
              <w:rPr>
                <w:sz w:val="1"/>
                <w:szCs w:val="1"/>
                <w:color w:val="auto"/>
              </w:rPr>
            </w:pPr>
          </w:p>
        </w:tc>
        <w:tc>
          <w:tcPr>
            <w:tcW w:w="3820" w:type="dxa"/>
            <w:vAlign w:val="bottom"/>
            <w:shd w:val="clear" w:color="auto" w:fill="0033A0"/>
          </w:tcPr>
          <w:p>
            <w:pPr>
              <w:spacing w:after="0" w:line="20" w:lineRule="exact"/>
              <w:rPr>
                <w:sz w:val="1"/>
                <w:szCs w:val="1"/>
                <w:color w:val="auto"/>
              </w:rPr>
            </w:pPr>
          </w:p>
        </w:tc>
        <w:tc>
          <w:tcPr>
            <w:tcW w:w="1180" w:type="dxa"/>
            <w:vAlign w:val="bottom"/>
            <w:shd w:val="clear" w:color="auto" w:fill="0033A0"/>
          </w:tcPr>
          <w:p>
            <w:pPr>
              <w:spacing w:after="0" w:line="20" w:lineRule="exact"/>
              <w:rPr>
                <w:sz w:val="1"/>
                <w:szCs w:val="1"/>
                <w:color w:val="auto"/>
              </w:rPr>
            </w:pPr>
          </w:p>
        </w:tc>
        <w:tc>
          <w:tcPr>
            <w:tcW w:w="1340" w:type="dxa"/>
            <w:vAlign w:val="bottom"/>
            <w:shd w:val="clear" w:color="auto" w:fill="0033A0"/>
          </w:tcPr>
          <w:p>
            <w:pPr>
              <w:spacing w:after="0" w:line="20" w:lineRule="exact"/>
              <w:rPr>
                <w:sz w:val="1"/>
                <w:szCs w:val="1"/>
                <w:color w:val="auto"/>
              </w:rPr>
            </w:pPr>
          </w:p>
        </w:tc>
        <w:tc>
          <w:tcPr>
            <w:tcW w:w="1460" w:type="dxa"/>
            <w:vAlign w:val="bottom"/>
            <w:shd w:val="clear" w:color="auto" w:fill="0033A0"/>
          </w:tcPr>
          <w:p>
            <w:pPr>
              <w:spacing w:after="0" w:line="20" w:lineRule="exact"/>
              <w:rPr>
                <w:sz w:val="1"/>
                <w:szCs w:val="1"/>
                <w:color w:val="auto"/>
              </w:rPr>
            </w:pPr>
          </w:p>
        </w:tc>
        <w:tc>
          <w:tcPr>
            <w:tcW w:w="1400" w:type="dxa"/>
            <w:vAlign w:val="bottom"/>
            <w:shd w:val="clear" w:color="auto" w:fill="0033A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40" w:type="dxa"/>
            <w:vAlign w:val="bottom"/>
            <w:gridSpan w:val="2"/>
            <w:vMerge w:val="restart"/>
          </w:tcPr>
          <w:p>
            <w:pPr>
              <w:jc w:val="right"/>
              <w:ind w:right="53"/>
              <w:spacing w:after="0"/>
              <w:rPr>
                <w:sz w:val="20"/>
                <w:szCs w:val="20"/>
                <w:color w:val="auto"/>
              </w:rPr>
            </w:pPr>
            <w:r>
              <w:rPr>
                <w:rFonts w:ascii="Arial" w:cs="Arial" w:eastAsia="Arial" w:hAnsi="Arial"/>
                <w:sz w:val="18"/>
                <w:szCs w:val="18"/>
                <w:b w:val="1"/>
                <w:bCs w:val="1"/>
                <w:color w:val="auto"/>
                <w:w w:val="89"/>
              </w:rPr>
              <w:t>52</w:t>
            </w:r>
          </w:p>
        </w:tc>
        <w:tc>
          <w:tcPr>
            <w:tcW w:w="1500" w:type="dxa"/>
            <w:vAlign w:val="bottom"/>
          </w:tcPr>
          <w:p>
            <w:pPr>
              <w:spacing w:after="0"/>
              <w:rPr>
                <w:sz w:val="12"/>
                <w:szCs w:val="12"/>
                <w:color w:val="auto"/>
              </w:rPr>
            </w:pPr>
          </w:p>
        </w:tc>
        <w:tc>
          <w:tcPr>
            <w:tcW w:w="3820" w:type="dxa"/>
            <w:vAlign w:val="bottom"/>
            <w:vMerge w:val="restart"/>
          </w:tcPr>
          <w:p>
            <w:pPr>
              <w:ind w:left="120"/>
              <w:spacing w:after="0"/>
              <w:rPr>
                <w:sz w:val="20"/>
                <w:szCs w:val="20"/>
                <w:color w:val="auto"/>
              </w:rPr>
            </w:pPr>
            <w:r>
              <w:rPr>
                <w:rFonts w:ascii="Arial" w:cs="Arial" w:eastAsia="Arial" w:hAnsi="Arial"/>
                <w:sz w:val="18"/>
                <w:szCs w:val="18"/>
                <w:i w:val="1"/>
                <w:iCs w:val="1"/>
                <w:color w:val="auto"/>
              </w:rPr>
              <w:t>2019 Proxy Statement</w:t>
            </w:r>
          </w:p>
        </w:tc>
        <w:tc>
          <w:tcPr>
            <w:tcW w:w="1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340" w:type="dxa"/>
            <w:vAlign w:val="bottom"/>
            <w:gridSpan w:val="2"/>
            <w:vMerge w:val="continue"/>
          </w:tcPr>
          <w:p>
            <w:pPr>
              <w:spacing w:after="0"/>
              <w:rPr>
                <w:sz w:val="24"/>
                <w:szCs w:val="24"/>
                <w:color w:val="auto"/>
              </w:rPr>
            </w:pPr>
          </w:p>
        </w:tc>
        <w:tc>
          <w:tcPr>
            <w:tcW w:w="1500" w:type="dxa"/>
            <w:vAlign w:val="bottom"/>
            <w:tcBorders>
              <w:left w:val="single" w:sz="8" w:color="0033A0"/>
            </w:tcBorders>
          </w:tcPr>
          <w:p>
            <w:pPr>
              <w:spacing w:after="0"/>
              <w:rPr>
                <w:sz w:val="24"/>
                <w:szCs w:val="24"/>
                <w:color w:val="auto"/>
              </w:rPr>
            </w:pPr>
          </w:p>
        </w:tc>
        <w:tc>
          <w:tcPr>
            <w:tcW w:w="382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-170815</wp:posOffset>
            </wp:positionV>
            <wp:extent cx="720090" cy="12890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0090" cy="12890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type w:val="continuous"/>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right"/>
        <w:ind w:right="20"/>
        <w:spacing w:after="0"/>
        <w:rPr>
          <w:sz w:val="20"/>
          <w:szCs w:val="20"/>
          <w:color w:val="auto"/>
        </w:rPr>
      </w:pPr>
      <w:r>
        <w:rPr>
          <w:rFonts w:ascii="Arial" w:cs="Arial" w:eastAsia="Arial" w:hAnsi="Arial"/>
          <w:sz w:val="20"/>
          <w:szCs w:val="20"/>
          <w:b w:val="1"/>
          <w:bCs w:val="1"/>
          <w:color w:val="0033A0"/>
        </w:rPr>
        <w:t>EXECUTIVE COMPENSATION TABLES</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auto"/>
        </w:rPr>
        <w:t>Pension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68580</wp:posOffset>
            </wp:positionV>
            <wp:extent cx="69977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spacing w:after="0" w:line="336" w:lineRule="exact"/>
        <w:rPr>
          <w:sz w:val="20"/>
          <w:szCs w:val="20"/>
          <w:color w:val="auto"/>
        </w:rPr>
      </w:pPr>
    </w:p>
    <w:p>
      <w:pPr>
        <w:ind w:left="220"/>
        <w:spacing w:after="0" w:line="235" w:lineRule="auto"/>
        <w:rPr>
          <w:sz w:val="20"/>
          <w:szCs w:val="20"/>
          <w:color w:val="auto"/>
        </w:rPr>
      </w:pPr>
      <w:r>
        <w:rPr>
          <w:rFonts w:ascii="Arial" w:cs="Arial" w:eastAsia="Arial" w:hAnsi="Arial"/>
          <w:sz w:val="18"/>
          <w:szCs w:val="18"/>
          <w:color w:val="auto"/>
        </w:rPr>
        <w:t>The Company provides retirement benefits to U.S. employees who worked for the Company or one of its participating subsidiaries before December 31, 2005 and who meet vesting and other minimum requirements. These benefits are provided through the following plans: The Brink’s Company Frozen Pension Plan (the “Frozen Pension Plan”), a qualified plan under the Internal Revenue Code, and The Brink’s Company Pension Equalization Plan (the “Equalization Plan”), a plan (not qualified under the Internal Revenue Code) under which the Company makes additional payments to a smaller group of employees so that the total amount to be received by each participant from both plans will be the same as he or she would have received under the Frozen Pension Plan in the absence of benefit limitations for tax qualified plans. (The Frozen Pension Plan and the Equalization Plan, described below, are referred to collectively in this proxy statement as the pension plans.) Mr. Marshall is the only named executive</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jc w:val="both"/>
        <w:ind w:right="260"/>
        <w:spacing w:after="0" w:line="239" w:lineRule="auto"/>
        <w:rPr>
          <w:sz w:val="20"/>
          <w:szCs w:val="20"/>
          <w:color w:val="auto"/>
        </w:rPr>
      </w:pPr>
      <w:r>
        <w:rPr>
          <w:rFonts w:ascii="Arial" w:cs="Arial" w:eastAsia="Arial" w:hAnsi="Arial"/>
          <w:sz w:val="18"/>
          <w:szCs w:val="18"/>
          <w:color w:val="auto"/>
        </w:rPr>
        <w:t>officer who is covered by these plans. Benefit accruals under the pension plans were frozen for all employees as of December 31, 2005 and no additional pension benefits have been earned since that date.</w:t>
      </w:r>
    </w:p>
    <w:p>
      <w:pPr>
        <w:spacing w:after="0" w:line="94" w:lineRule="exact"/>
        <w:rPr>
          <w:sz w:val="20"/>
          <w:szCs w:val="20"/>
          <w:color w:val="auto"/>
        </w:rPr>
      </w:pPr>
    </w:p>
    <w:p>
      <w:pPr>
        <w:ind w:right="160"/>
        <w:spacing w:after="0" w:line="234" w:lineRule="auto"/>
        <w:rPr>
          <w:sz w:val="20"/>
          <w:szCs w:val="20"/>
          <w:color w:val="auto"/>
        </w:rPr>
      </w:pPr>
      <w:r>
        <w:rPr>
          <w:rFonts w:ascii="Arial" w:cs="Arial" w:eastAsia="Arial" w:hAnsi="Arial"/>
          <w:sz w:val="18"/>
          <w:szCs w:val="18"/>
          <w:color w:val="auto"/>
        </w:rPr>
        <w:t>Mr. Zukerman participates in the Brink’s Switzerland Pension Plan (The “Swiss Pension Plan”), which is discussed below.</w:t>
      </w:r>
    </w:p>
    <w:p>
      <w:pPr>
        <w:spacing w:after="0" w:line="2"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Mr. Zukerman is the only named executive officer who is covered by this plan.</w:t>
      </w:r>
    </w:p>
    <w:p>
      <w:pPr>
        <w:spacing w:after="0" w:line="89" w:lineRule="exact"/>
        <w:rPr>
          <w:sz w:val="20"/>
          <w:szCs w:val="20"/>
          <w:color w:val="auto"/>
        </w:rPr>
      </w:pPr>
    </w:p>
    <w:p>
      <w:pPr>
        <w:ind w:right="80"/>
        <w:spacing w:after="0" w:line="234" w:lineRule="auto"/>
        <w:rPr>
          <w:sz w:val="20"/>
          <w:szCs w:val="20"/>
          <w:color w:val="auto"/>
        </w:rPr>
      </w:pPr>
      <w:r>
        <w:rPr>
          <w:rFonts w:ascii="Arial" w:cs="Arial" w:eastAsia="Arial" w:hAnsi="Arial"/>
          <w:sz w:val="18"/>
          <w:szCs w:val="18"/>
          <w:color w:val="auto"/>
        </w:rPr>
        <w:t>The following table presents information as of December 31, 2018 concerning each defined benefit plan of the Company that provides for payments to be made to the named executive officers at, following or in connection with retirement. Mr. Marshall and</w:t>
      </w:r>
    </w:p>
    <w:p>
      <w:pPr>
        <w:spacing w:after="0" w:line="3" w:lineRule="exact"/>
        <w:rPr>
          <w:sz w:val="20"/>
          <w:szCs w:val="20"/>
          <w:color w:val="auto"/>
        </w:rPr>
      </w:pPr>
    </w:p>
    <w:p>
      <w:pPr>
        <w:jc w:val="both"/>
        <w:ind w:right="320"/>
        <w:spacing w:after="0"/>
        <w:rPr>
          <w:sz w:val="20"/>
          <w:szCs w:val="20"/>
          <w:color w:val="auto"/>
        </w:rPr>
      </w:pPr>
      <w:r>
        <w:rPr>
          <w:rFonts w:ascii="Arial" w:cs="Arial" w:eastAsia="Arial" w:hAnsi="Arial"/>
          <w:sz w:val="18"/>
          <w:szCs w:val="18"/>
          <w:color w:val="auto"/>
        </w:rPr>
        <w:t>Mr. Zukerman are the only named executive officers listed in the table below because they are the only named executive officers who participate in any pension plans.</w:t>
      </w:r>
    </w:p>
    <w:p>
      <w:pPr>
        <w:spacing w:after="0" w:line="377" w:lineRule="exact"/>
        <w:rPr>
          <w:sz w:val="20"/>
          <w:szCs w:val="20"/>
          <w:color w:val="auto"/>
        </w:rPr>
      </w:pPr>
    </w:p>
    <w:p>
      <w:pPr>
        <w:sectPr>
          <w:pgSz w:w="11900" w:h="16838" w:orient="portrait"/>
          <w:cols w:equalWidth="0" w:num="2">
            <w:col w:w="5480" w:space="340"/>
            <w:col w:w="5420"/>
          </w:cols>
          <w:pgMar w:left="240" w:top="459" w:right="419" w:bottom="1440" w:gutter="0" w:footer="0" w:header="0"/>
          <w:type w:val="continuous"/>
        </w:sectPr>
      </w:pPr>
    </w:p>
    <w:p>
      <w:pPr>
        <w:spacing w:after="0" w:line="178"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17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0033A0"/>
              </w:rPr>
              <w:t>Present</w:t>
            </w:r>
          </w:p>
        </w:tc>
        <w:tc>
          <w:tcPr>
            <w:tcW w:w="1140" w:type="dxa"/>
            <w:vAlign w:val="bottom"/>
          </w:tcPr>
          <w:p>
            <w:pPr>
              <w:spacing w:after="0"/>
              <w:rPr>
                <w:sz w:val="14"/>
                <w:szCs w:val="14"/>
                <w:color w:val="auto"/>
              </w:rPr>
            </w:pPr>
          </w:p>
        </w:tc>
      </w:tr>
      <w:tr>
        <w:trPr>
          <w:trHeight w:val="162"/>
        </w:trPr>
        <w:tc>
          <w:tcPr>
            <w:tcW w:w="17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060" w:type="dxa"/>
            <w:vAlign w:val="bottom"/>
          </w:tcPr>
          <w:p>
            <w:pPr>
              <w:jc w:val="center"/>
              <w:ind w:left="460"/>
              <w:spacing w:after="0"/>
              <w:rPr>
                <w:sz w:val="20"/>
                <w:szCs w:val="20"/>
                <w:color w:val="auto"/>
              </w:rPr>
            </w:pPr>
            <w:r>
              <w:rPr>
                <w:rFonts w:ascii="Arial" w:cs="Arial" w:eastAsia="Arial" w:hAnsi="Arial"/>
                <w:sz w:val="14"/>
                <w:szCs w:val="14"/>
                <w:b w:val="1"/>
                <w:bCs w:val="1"/>
                <w:color w:val="0033A0"/>
              </w:rPr>
              <w:t>Number of</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0033A0"/>
              </w:rPr>
              <w:t>Value of</w:t>
            </w:r>
          </w:p>
        </w:tc>
        <w:tc>
          <w:tcPr>
            <w:tcW w:w="1140" w:type="dxa"/>
            <w:vAlign w:val="bottom"/>
          </w:tcPr>
          <w:p>
            <w:pPr>
              <w:jc w:val="center"/>
              <w:ind w:left="100"/>
              <w:spacing w:after="0"/>
              <w:rPr>
                <w:sz w:val="20"/>
                <w:szCs w:val="20"/>
                <w:color w:val="auto"/>
              </w:rPr>
            </w:pPr>
            <w:r>
              <w:rPr>
                <w:rFonts w:ascii="Arial" w:cs="Arial" w:eastAsia="Arial" w:hAnsi="Arial"/>
                <w:sz w:val="14"/>
                <w:szCs w:val="14"/>
                <w:b w:val="1"/>
                <w:bCs w:val="1"/>
                <w:color w:val="0033A0"/>
              </w:rPr>
              <w:t>Payments</w:t>
            </w:r>
          </w:p>
        </w:tc>
      </w:tr>
      <w:tr>
        <w:trPr>
          <w:trHeight w:val="159"/>
        </w:trPr>
        <w:tc>
          <w:tcPr>
            <w:tcW w:w="17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2060" w:type="dxa"/>
            <w:vAlign w:val="bottom"/>
          </w:tcPr>
          <w:p>
            <w:pPr>
              <w:jc w:val="right"/>
              <w:ind w:right="180"/>
              <w:spacing w:after="0" w:line="159" w:lineRule="exact"/>
              <w:rPr>
                <w:sz w:val="20"/>
                <w:szCs w:val="20"/>
                <w:color w:val="auto"/>
              </w:rPr>
            </w:pPr>
            <w:r>
              <w:rPr>
                <w:rFonts w:ascii="Arial" w:cs="Arial" w:eastAsia="Arial" w:hAnsi="Arial"/>
                <w:sz w:val="14"/>
                <w:szCs w:val="14"/>
                <w:b w:val="1"/>
                <w:bCs w:val="1"/>
                <w:color w:val="0033A0"/>
              </w:rPr>
              <w:t>Years Credited</w:t>
            </w:r>
          </w:p>
        </w:tc>
        <w:tc>
          <w:tcPr>
            <w:tcW w:w="1420" w:type="dxa"/>
            <w:vAlign w:val="bottom"/>
          </w:tcPr>
          <w:p>
            <w:pPr>
              <w:jc w:val="center"/>
              <w:spacing w:after="0" w:line="159" w:lineRule="exact"/>
              <w:rPr>
                <w:sz w:val="20"/>
                <w:szCs w:val="20"/>
                <w:color w:val="auto"/>
              </w:rPr>
            </w:pPr>
            <w:r>
              <w:rPr>
                <w:rFonts w:ascii="Arial" w:cs="Arial" w:eastAsia="Arial" w:hAnsi="Arial"/>
                <w:sz w:val="14"/>
                <w:szCs w:val="14"/>
                <w:b w:val="1"/>
                <w:bCs w:val="1"/>
                <w:color w:val="0033A0"/>
              </w:rPr>
              <w:t>Accumulated</w:t>
            </w:r>
          </w:p>
        </w:tc>
        <w:tc>
          <w:tcPr>
            <w:tcW w:w="1140" w:type="dxa"/>
            <w:vAlign w:val="bottom"/>
          </w:tcPr>
          <w:p>
            <w:pPr>
              <w:jc w:val="right"/>
              <w:spacing w:after="0" w:line="159" w:lineRule="exact"/>
              <w:rPr>
                <w:sz w:val="20"/>
                <w:szCs w:val="20"/>
                <w:color w:val="auto"/>
              </w:rPr>
            </w:pPr>
            <w:r>
              <w:rPr>
                <w:rFonts w:ascii="Arial" w:cs="Arial" w:eastAsia="Arial" w:hAnsi="Arial"/>
                <w:sz w:val="14"/>
                <w:szCs w:val="14"/>
                <w:b w:val="1"/>
                <w:bCs w:val="1"/>
                <w:color w:val="0033A0"/>
              </w:rPr>
              <w:t>During Last</w:t>
            </w:r>
          </w:p>
        </w:tc>
      </w:tr>
      <w:tr>
        <w:trPr>
          <w:trHeight w:val="166"/>
        </w:trPr>
        <w:tc>
          <w:tcPr>
            <w:tcW w:w="17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060" w:type="dxa"/>
            <w:vAlign w:val="bottom"/>
          </w:tcPr>
          <w:p>
            <w:pPr>
              <w:jc w:val="center"/>
              <w:ind w:left="460"/>
              <w:spacing w:after="0"/>
              <w:rPr>
                <w:sz w:val="20"/>
                <w:szCs w:val="20"/>
                <w:color w:val="auto"/>
              </w:rPr>
            </w:pPr>
            <w:r>
              <w:rPr>
                <w:rFonts w:ascii="Arial" w:cs="Arial" w:eastAsia="Arial" w:hAnsi="Arial"/>
                <w:sz w:val="14"/>
                <w:szCs w:val="14"/>
                <w:b w:val="1"/>
                <w:bCs w:val="1"/>
                <w:color w:val="0033A0"/>
              </w:rPr>
              <w:t>Service</w:t>
            </w:r>
          </w:p>
        </w:tc>
        <w:tc>
          <w:tcPr>
            <w:tcW w:w="1420" w:type="dxa"/>
            <w:vAlign w:val="bottom"/>
          </w:tcPr>
          <w:p>
            <w:pPr>
              <w:jc w:val="center"/>
              <w:spacing w:after="0" w:line="165" w:lineRule="exact"/>
              <w:rPr>
                <w:sz w:val="20"/>
                <w:szCs w:val="20"/>
                <w:color w:val="auto"/>
              </w:rPr>
            </w:pPr>
            <w:r>
              <w:rPr>
                <w:rFonts w:ascii="Arial" w:cs="Arial" w:eastAsia="Arial" w:hAnsi="Arial"/>
                <w:sz w:val="12"/>
                <w:szCs w:val="12"/>
                <w:b w:val="1"/>
                <w:bCs w:val="1"/>
                <w:color w:val="0033A0"/>
              </w:rPr>
              <w:t>Benefit</w:t>
            </w:r>
            <w:r>
              <w:rPr>
                <w:rFonts w:ascii="Arial" w:cs="Arial" w:eastAsia="Arial" w:hAnsi="Arial"/>
                <w:sz w:val="19"/>
                <w:szCs w:val="19"/>
                <w:b w:val="1"/>
                <w:bCs w:val="1"/>
                <w:color w:val="0033A0"/>
                <w:vertAlign w:val="superscript"/>
              </w:rPr>
              <w:t>(1)</w:t>
            </w:r>
          </w:p>
        </w:tc>
        <w:tc>
          <w:tcPr>
            <w:tcW w:w="1140" w:type="dxa"/>
            <w:vAlign w:val="bottom"/>
          </w:tcPr>
          <w:p>
            <w:pPr>
              <w:jc w:val="center"/>
              <w:ind w:left="120"/>
              <w:spacing w:after="0"/>
              <w:rPr>
                <w:sz w:val="20"/>
                <w:szCs w:val="20"/>
                <w:color w:val="auto"/>
              </w:rPr>
            </w:pPr>
            <w:r>
              <w:rPr>
                <w:rFonts w:ascii="Arial" w:cs="Arial" w:eastAsia="Arial" w:hAnsi="Arial"/>
                <w:sz w:val="14"/>
                <w:szCs w:val="14"/>
                <w:b w:val="1"/>
                <w:bCs w:val="1"/>
                <w:color w:val="0033A0"/>
              </w:rPr>
              <w:t>Fiscal Year</w:t>
            </w:r>
          </w:p>
        </w:tc>
      </w:tr>
      <w:tr>
        <w:trPr>
          <w:trHeight w:val="189"/>
        </w:trPr>
        <w:tc>
          <w:tcPr>
            <w:tcW w:w="3240" w:type="dxa"/>
            <w:vAlign w:val="bottom"/>
            <w:tcBorders>
              <w:bottom w:val="single" w:sz="8" w:color="0033A0"/>
            </w:tcBorders>
            <w:gridSpan w:val="2"/>
          </w:tcPr>
          <w:p>
            <w:pPr>
              <w:ind w:left="60"/>
              <w:spacing w:after="0"/>
              <w:rPr>
                <w:sz w:val="20"/>
                <w:szCs w:val="20"/>
                <w:color w:val="auto"/>
              </w:rPr>
            </w:pPr>
            <w:r>
              <w:rPr>
                <w:rFonts w:ascii="Arial" w:cs="Arial" w:eastAsia="Arial" w:hAnsi="Arial"/>
                <w:sz w:val="14"/>
                <w:szCs w:val="14"/>
                <w:b w:val="1"/>
                <w:bCs w:val="1"/>
                <w:color w:val="0033A0"/>
              </w:rPr>
              <w:t>Name</w:t>
            </w:r>
          </w:p>
        </w:tc>
        <w:tc>
          <w:tcPr>
            <w:tcW w:w="3160" w:type="dxa"/>
            <w:vAlign w:val="bottom"/>
            <w:tcBorders>
              <w:bottom w:val="single" w:sz="8" w:color="0033A0"/>
            </w:tcBorders>
          </w:tcPr>
          <w:p>
            <w:pPr>
              <w:ind w:left="1600"/>
              <w:spacing w:after="0"/>
              <w:rPr>
                <w:sz w:val="20"/>
                <w:szCs w:val="20"/>
                <w:color w:val="auto"/>
              </w:rPr>
            </w:pPr>
            <w:r>
              <w:rPr>
                <w:rFonts w:ascii="Arial" w:cs="Arial" w:eastAsia="Arial" w:hAnsi="Arial"/>
                <w:sz w:val="14"/>
                <w:szCs w:val="14"/>
                <w:b w:val="1"/>
                <w:bCs w:val="1"/>
                <w:color w:val="0033A0"/>
              </w:rPr>
              <w:t>Plan Name</w:t>
            </w:r>
          </w:p>
        </w:tc>
        <w:tc>
          <w:tcPr>
            <w:tcW w:w="2060" w:type="dxa"/>
            <w:vAlign w:val="bottom"/>
            <w:tcBorders>
              <w:bottom w:val="single" w:sz="8" w:color="0033A0"/>
            </w:tcBorders>
          </w:tcPr>
          <w:p>
            <w:pPr>
              <w:jc w:val="center"/>
              <w:ind w:left="480"/>
              <w:spacing w:after="0"/>
              <w:rPr>
                <w:sz w:val="20"/>
                <w:szCs w:val="20"/>
                <w:color w:val="auto"/>
              </w:rPr>
            </w:pPr>
            <w:r>
              <w:rPr>
                <w:rFonts w:ascii="Arial" w:cs="Arial" w:eastAsia="Arial" w:hAnsi="Arial"/>
                <w:sz w:val="14"/>
                <w:szCs w:val="14"/>
                <w:b w:val="1"/>
                <w:bCs w:val="1"/>
                <w:color w:val="0033A0"/>
              </w:rPr>
              <w:t>(#)</w:t>
            </w:r>
          </w:p>
        </w:tc>
        <w:tc>
          <w:tcPr>
            <w:tcW w:w="1420" w:type="dxa"/>
            <w:vAlign w:val="bottom"/>
            <w:tcBorders>
              <w:bottom w:val="single" w:sz="8" w:color="0033A0"/>
            </w:tcBorders>
          </w:tcPr>
          <w:p>
            <w:pPr>
              <w:jc w:val="center"/>
              <w:spacing w:after="0"/>
              <w:rPr>
                <w:sz w:val="20"/>
                <w:szCs w:val="20"/>
                <w:color w:val="auto"/>
              </w:rPr>
            </w:pPr>
            <w:r>
              <w:rPr>
                <w:rFonts w:ascii="Arial" w:cs="Arial" w:eastAsia="Arial" w:hAnsi="Arial"/>
                <w:sz w:val="14"/>
                <w:szCs w:val="14"/>
                <w:b w:val="1"/>
                <w:bCs w:val="1"/>
                <w:color w:val="0033A0"/>
              </w:rPr>
              <w:t>($)</w:t>
            </w:r>
          </w:p>
        </w:tc>
        <w:tc>
          <w:tcPr>
            <w:tcW w:w="1140" w:type="dxa"/>
            <w:vAlign w:val="bottom"/>
            <w:tcBorders>
              <w:bottom w:val="single" w:sz="8" w:color="0033A0"/>
            </w:tcBorders>
          </w:tcPr>
          <w:p>
            <w:pPr>
              <w:jc w:val="center"/>
              <w:ind w:left="120"/>
              <w:spacing w:after="0"/>
              <w:rPr>
                <w:sz w:val="20"/>
                <w:szCs w:val="20"/>
                <w:color w:val="auto"/>
              </w:rPr>
            </w:pPr>
            <w:r>
              <w:rPr>
                <w:rFonts w:ascii="Arial" w:cs="Arial" w:eastAsia="Arial" w:hAnsi="Arial"/>
                <w:sz w:val="14"/>
                <w:szCs w:val="14"/>
                <w:b w:val="1"/>
                <w:bCs w:val="1"/>
                <w:color w:val="0033A0"/>
              </w:rPr>
              <w:t>($)</w:t>
            </w:r>
          </w:p>
        </w:tc>
      </w:tr>
      <w:tr>
        <w:trPr>
          <w:trHeight w:val="21"/>
        </w:trPr>
        <w:tc>
          <w:tcPr>
            <w:tcW w:w="17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23"/>
        </w:trPr>
        <w:tc>
          <w:tcPr>
            <w:tcW w:w="3240" w:type="dxa"/>
            <w:vAlign w:val="bottom"/>
            <w:tcBorders>
              <w:bottom w:val="single" w:sz="8" w:color="E5EAF5"/>
            </w:tcBorders>
            <w:gridSpan w:val="2"/>
            <w:shd w:val="clear" w:color="auto" w:fill="E5EAF5"/>
          </w:tcPr>
          <w:p>
            <w:pPr>
              <w:ind w:left="60"/>
              <w:spacing w:after="0" w:line="202" w:lineRule="exact"/>
              <w:rPr>
                <w:sz w:val="20"/>
                <w:szCs w:val="20"/>
                <w:color w:val="auto"/>
              </w:rPr>
            </w:pPr>
            <w:r>
              <w:rPr>
                <w:rFonts w:ascii="Arial" w:cs="Arial" w:eastAsia="Arial" w:hAnsi="Arial"/>
                <w:sz w:val="18"/>
                <w:szCs w:val="18"/>
                <w:color w:val="auto"/>
              </w:rPr>
              <w:t>McAlister C. Marshall, II</w:t>
            </w:r>
          </w:p>
        </w:tc>
        <w:tc>
          <w:tcPr>
            <w:tcW w:w="3160" w:type="dxa"/>
            <w:vAlign w:val="bottom"/>
            <w:tcBorders>
              <w:bottom w:val="single" w:sz="8" w:color="E5EAF5"/>
            </w:tcBorders>
            <w:shd w:val="clear" w:color="auto" w:fill="E5EAF5"/>
          </w:tcPr>
          <w:p>
            <w:pPr>
              <w:ind w:left="460"/>
              <w:spacing w:after="0" w:line="202" w:lineRule="exact"/>
              <w:rPr>
                <w:sz w:val="20"/>
                <w:szCs w:val="20"/>
                <w:color w:val="auto"/>
              </w:rPr>
            </w:pPr>
            <w:r>
              <w:rPr>
                <w:rFonts w:ascii="Arial" w:cs="Arial" w:eastAsia="Arial" w:hAnsi="Arial"/>
                <w:sz w:val="18"/>
                <w:szCs w:val="18"/>
                <w:color w:val="auto"/>
              </w:rPr>
              <w:t>Frozen Pension Plan</w:t>
            </w:r>
          </w:p>
        </w:tc>
        <w:tc>
          <w:tcPr>
            <w:tcW w:w="2060" w:type="dxa"/>
            <w:vAlign w:val="bottom"/>
            <w:tcBorders>
              <w:bottom w:val="single" w:sz="8" w:color="E5EAF5"/>
            </w:tcBorders>
            <w:shd w:val="clear" w:color="auto" w:fill="E5EAF5"/>
          </w:tcPr>
          <w:p>
            <w:pPr>
              <w:jc w:val="right"/>
              <w:ind w:right="180"/>
              <w:spacing w:after="0" w:line="202" w:lineRule="exact"/>
              <w:rPr>
                <w:sz w:val="20"/>
                <w:szCs w:val="20"/>
                <w:color w:val="auto"/>
              </w:rPr>
            </w:pPr>
            <w:r>
              <w:rPr>
                <w:rFonts w:ascii="Arial" w:cs="Arial" w:eastAsia="Arial" w:hAnsi="Arial"/>
                <w:sz w:val="18"/>
                <w:szCs w:val="18"/>
                <w:color w:val="auto"/>
              </w:rPr>
              <w:t>5.6</w:t>
            </w:r>
          </w:p>
        </w:tc>
        <w:tc>
          <w:tcPr>
            <w:tcW w:w="1420" w:type="dxa"/>
            <w:vAlign w:val="bottom"/>
            <w:tcBorders>
              <w:bottom w:val="single" w:sz="8" w:color="E5EAF5"/>
            </w:tcBorders>
            <w:shd w:val="clear" w:color="auto" w:fill="E5EAF5"/>
          </w:tcPr>
          <w:p>
            <w:pPr>
              <w:jc w:val="right"/>
              <w:ind w:right="183"/>
              <w:spacing w:after="0" w:line="202" w:lineRule="exact"/>
              <w:rPr>
                <w:sz w:val="20"/>
                <w:szCs w:val="20"/>
                <w:color w:val="auto"/>
              </w:rPr>
            </w:pPr>
            <w:r>
              <w:rPr>
                <w:rFonts w:ascii="Arial" w:cs="Arial" w:eastAsia="Arial" w:hAnsi="Arial"/>
                <w:sz w:val="18"/>
                <w:szCs w:val="18"/>
                <w:color w:val="auto"/>
              </w:rPr>
              <w:t>112,765</w:t>
            </w:r>
          </w:p>
        </w:tc>
        <w:tc>
          <w:tcPr>
            <w:tcW w:w="1140" w:type="dxa"/>
            <w:vAlign w:val="bottom"/>
            <w:tcBorders>
              <w:bottom w:val="single" w:sz="8" w:color="E5EAF5"/>
            </w:tcBorders>
            <w:shd w:val="clear" w:color="auto" w:fill="E5EAF5"/>
          </w:tcPr>
          <w:p>
            <w:pPr>
              <w:jc w:val="right"/>
              <w:spacing w:after="0" w:line="202" w:lineRule="exact"/>
              <w:rPr>
                <w:sz w:val="20"/>
                <w:szCs w:val="20"/>
                <w:color w:val="auto"/>
              </w:rPr>
            </w:pPr>
            <w:r>
              <w:rPr>
                <w:rFonts w:ascii="Arial" w:cs="Arial" w:eastAsia="Arial" w:hAnsi="Arial"/>
                <w:sz w:val="18"/>
                <w:szCs w:val="18"/>
                <w:color w:val="auto"/>
              </w:rPr>
              <w:t>—</w:t>
            </w:r>
          </w:p>
        </w:tc>
      </w:tr>
      <w:tr>
        <w:trPr>
          <w:trHeight w:val="217"/>
        </w:trPr>
        <w:tc>
          <w:tcPr>
            <w:tcW w:w="17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160" w:type="dxa"/>
            <w:vAlign w:val="bottom"/>
          </w:tcPr>
          <w:p>
            <w:pPr>
              <w:ind w:left="460"/>
              <w:spacing w:after="0"/>
              <w:rPr>
                <w:sz w:val="20"/>
                <w:szCs w:val="20"/>
                <w:color w:val="auto"/>
              </w:rPr>
            </w:pPr>
            <w:r>
              <w:rPr>
                <w:rFonts w:ascii="Arial" w:cs="Arial" w:eastAsia="Arial" w:hAnsi="Arial"/>
                <w:sz w:val="18"/>
                <w:szCs w:val="18"/>
                <w:color w:val="auto"/>
              </w:rPr>
              <w:t>Equalization Plan</w:t>
            </w:r>
          </w:p>
        </w:tc>
        <w:tc>
          <w:tcPr>
            <w:tcW w:w="2060" w:type="dxa"/>
            <w:vAlign w:val="bottom"/>
          </w:tcPr>
          <w:p>
            <w:pPr>
              <w:jc w:val="right"/>
              <w:ind w:right="180"/>
              <w:spacing w:after="0"/>
              <w:rPr>
                <w:sz w:val="20"/>
                <w:szCs w:val="20"/>
                <w:color w:val="auto"/>
              </w:rPr>
            </w:pPr>
            <w:r>
              <w:rPr>
                <w:rFonts w:ascii="Arial" w:cs="Arial" w:eastAsia="Arial" w:hAnsi="Arial"/>
                <w:sz w:val="18"/>
                <w:szCs w:val="18"/>
                <w:color w:val="auto"/>
              </w:rPr>
              <w:t>5.6</w:t>
            </w:r>
          </w:p>
        </w:tc>
        <w:tc>
          <w:tcPr>
            <w:tcW w:w="1420" w:type="dxa"/>
            <w:vAlign w:val="bottom"/>
          </w:tcPr>
          <w:p>
            <w:pPr>
              <w:jc w:val="right"/>
              <w:ind w:right="183"/>
              <w:spacing w:after="0"/>
              <w:rPr>
                <w:sz w:val="20"/>
                <w:szCs w:val="20"/>
                <w:color w:val="auto"/>
              </w:rPr>
            </w:pPr>
            <w:r>
              <w:rPr>
                <w:rFonts w:ascii="Arial" w:cs="Arial" w:eastAsia="Arial" w:hAnsi="Arial"/>
                <w:sz w:val="18"/>
                <w:szCs w:val="18"/>
                <w:color w:val="auto"/>
              </w:rPr>
              <w:t>4,304</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
        </w:trPr>
        <w:tc>
          <w:tcPr>
            <w:tcW w:w="1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2"/>
        </w:trPr>
        <w:tc>
          <w:tcPr>
            <w:tcW w:w="3240" w:type="dxa"/>
            <w:vAlign w:val="bottom"/>
            <w:tcBorders>
              <w:bottom w:val="single" w:sz="8" w:color="E5EAF5"/>
            </w:tcBorders>
            <w:gridSpan w:val="2"/>
            <w:shd w:val="clear" w:color="auto" w:fill="E5EAF5"/>
          </w:tcPr>
          <w:p>
            <w:pPr>
              <w:ind w:left="60"/>
              <w:spacing w:after="0" w:line="202" w:lineRule="exact"/>
              <w:rPr>
                <w:sz w:val="20"/>
                <w:szCs w:val="20"/>
                <w:color w:val="auto"/>
              </w:rPr>
            </w:pPr>
            <w:r>
              <w:rPr>
                <w:rFonts w:ascii="Arial" w:cs="Arial" w:eastAsia="Arial" w:hAnsi="Arial"/>
                <w:sz w:val="18"/>
                <w:szCs w:val="18"/>
                <w:color w:val="auto"/>
              </w:rPr>
              <w:t>Amit Zukerman</w:t>
            </w:r>
          </w:p>
        </w:tc>
        <w:tc>
          <w:tcPr>
            <w:tcW w:w="3160" w:type="dxa"/>
            <w:vAlign w:val="bottom"/>
            <w:tcBorders>
              <w:bottom w:val="single" w:sz="8" w:color="E5EAF5"/>
            </w:tcBorders>
            <w:shd w:val="clear" w:color="auto" w:fill="E5EAF5"/>
          </w:tcPr>
          <w:p>
            <w:pPr>
              <w:ind w:left="460"/>
              <w:spacing w:after="0" w:line="202" w:lineRule="exact"/>
              <w:rPr>
                <w:sz w:val="20"/>
                <w:szCs w:val="20"/>
                <w:color w:val="auto"/>
              </w:rPr>
            </w:pPr>
            <w:r>
              <w:rPr>
                <w:rFonts w:ascii="Arial" w:cs="Arial" w:eastAsia="Arial" w:hAnsi="Arial"/>
                <w:sz w:val="18"/>
                <w:szCs w:val="18"/>
                <w:color w:val="auto"/>
              </w:rPr>
              <w:t>Swiss Pension Plan</w:t>
            </w:r>
          </w:p>
        </w:tc>
        <w:tc>
          <w:tcPr>
            <w:tcW w:w="2060" w:type="dxa"/>
            <w:vAlign w:val="bottom"/>
            <w:tcBorders>
              <w:bottom w:val="single" w:sz="8" w:color="E5EAF5"/>
            </w:tcBorders>
            <w:shd w:val="clear" w:color="auto" w:fill="E5EAF5"/>
          </w:tcPr>
          <w:p>
            <w:pPr>
              <w:jc w:val="right"/>
              <w:ind w:right="180"/>
              <w:spacing w:after="0" w:line="202" w:lineRule="exact"/>
              <w:rPr>
                <w:sz w:val="20"/>
                <w:szCs w:val="20"/>
                <w:color w:val="auto"/>
              </w:rPr>
            </w:pPr>
            <w:r>
              <w:rPr>
                <w:rFonts w:ascii="Arial" w:cs="Arial" w:eastAsia="Arial" w:hAnsi="Arial"/>
                <w:sz w:val="18"/>
                <w:szCs w:val="18"/>
                <w:color w:val="auto"/>
              </w:rPr>
              <w:t>4.5</w:t>
            </w:r>
          </w:p>
        </w:tc>
        <w:tc>
          <w:tcPr>
            <w:tcW w:w="1420" w:type="dxa"/>
            <w:vAlign w:val="bottom"/>
            <w:tcBorders>
              <w:bottom w:val="single" w:sz="8" w:color="E5EAF5"/>
            </w:tcBorders>
            <w:shd w:val="clear" w:color="auto" w:fill="E5EAF5"/>
          </w:tcPr>
          <w:p>
            <w:pPr>
              <w:jc w:val="right"/>
              <w:ind w:right="183"/>
              <w:spacing w:after="0" w:line="202" w:lineRule="exact"/>
              <w:rPr>
                <w:sz w:val="20"/>
                <w:szCs w:val="20"/>
                <w:color w:val="auto"/>
              </w:rPr>
            </w:pPr>
            <w:r>
              <w:rPr>
                <w:rFonts w:ascii="Arial" w:cs="Arial" w:eastAsia="Arial" w:hAnsi="Arial"/>
                <w:sz w:val="18"/>
                <w:szCs w:val="18"/>
                <w:color w:val="auto"/>
              </w:rPr>
              <w:t>2,183,931</w:t>
            </w:r>
          </w:p>
        </w:tc>
        <w:tc>
          <w:tcPr>
            <w:tcW w:w="1140" w:type="dxa"/>
            <w:vAlign w:val="bottom"/>
            <w:tcBorders>
              <w:bottom w:val="single" w:sz="8" w:color="E5EAF5"/>
            </w:tcBorders>
            <w:shd w:val="clear" w:color="auto" w:fill="E5EAF5"/>
          </w:tcPr>
          <w:p>
            <w:pPr>
              <w:jc w:val="right"/>
              <w:spacing w:after="0" w:line="202" w:lineRule="exact"/>
              <w:rPr>
                <w:sz w:val="20"/>
                <w:szCs w:val="20"/>
                <w:color w:val="auto"/>
              </w:rPr>
            </w:pPr>
            <w:r>
              <w:rPr>
                <w:rFonts w:ascii="Arial" w:cs="Arial" w:eastAsia="Arial" w:hAnsi="Arial"/>
                <w:sz w:val="18"/>
                <w:szCs w:val="18"/>
                <w:color w:val="auto"/>
              </w:rPr>
              <w:t>—</w:t>
            </w:r>
          </w:p>
        </w:tc>
      </w:tr>
      <w:tr>
        <w:trPr>
          <w:trHeight w:val="129"/>
        </w:trPr>
        <w:tc>
          <w:tcPr>
            <w:tcW w:w="1740" w:type="dxa"/>
            <w:vAlign w:val="bottom"/>
            <w:tcBorders>
              <w:top w:val="single" w:sz="8" w:color="0033A0"/>
              <w:bottom w:val="single" w:sz="8" w:color="auto"/>
            </w:tcBorders>
          </w:tcPr>
          <w:p>
            <w:pPr>
              <w:spacing w:after="0"/>
              <w:rPr>
                <w:sz w:val="11"/>
                <w:szCs w:val="11"/>
                <w:color w:val="auto"/>
              </w:rPr>
            </w:pPr>
          </w:p>
        </w:tc>
        <w:tc>
          <w:tcPr>
            <w:tcW w:w="1500" w:type="dxa"/>
            <w:vAlign w:val="bottom"/>
            <w:tcBorders>
              <w:top w:val="single" w:sz="8" w:color="0033A0"/>
            </w:tcBorders>
          </w:tcPr>
          <w:p>
            <w:pPr>
              <w:spacing w:after="0"/>
              <w:rPr>
                <w:sz w:val="11"/>
                <w:szCs w:val="11"/>
                <w:color w:val="auto"/>
              </w:rPr>
            </w:pPr>
          </w:p>
        </w:tc>
        <w:tc>
          <w:tcPr>
            <w:tcW w:w="3160" w:type="dxa"/>
            <w:vAlign w:val="bottom"/>
            <w:tcBorders>
              <w:top w:val="single" w:sz="8" w:color="0033A0"/>
            </w:tcBorders>
          </w:tcPr>
          <w:p>
            <w:pPr>
              <w:spacing w:after="0"/>
              <w:rPr>
                <w:sz w:val="11"/>
                <w:szCs w:val="11"/>
                <w:color w:val="auto"/>
              </w:rPr>
            </w:pPr>
          </w:p>
        </w:tc>
        <w:tc>
          <w:tcPr>
            <w:tcW w:w="2060" w:type="dxa"/>
            <w:vAlign w:val="bottom"/>
            <w:tcBorders>
              <w:top w:val="single" w:sz="8" w:color="0033A0"/>
            </w:tcBorders>
          </w:tcPr>
          <w:p>
            <w:pPr>
              <w:spacing w:after="0"/>
              <w:rPr>
                <w:sz w:val="11"/>
                <w:szCs w:val="11"/>
                <w:color w:val="auto"/>
              </w:rPr>
            </w:pPr>
          </w:p>
        </w:tc>
        <w:tc>
          <w:tcPr>
            <w:tcW w:w="1420" w:type="dxa"/>
            <w:vAlign w:val="bottom"/>
            <w:tcBorders>
              <w:top w:val="single" w:sz="8" w:color="0033A0"/>
            </w:tcBorders>
          </w:tcPr>
          <w:p>
            <w:pPr>
              <w:spacing w:after="0"/>
              <w:rPr>
                <w:sz w:val="11"/>
                <w:szCs w:val="11"/>
                <w:color w:val="auto"/>
              </w:rPr>
            </w:pPr>
          </w:p>
        </w:tc>
        <w:tc>
          <w:tcPr>
            <w:tcW w:w="1140" w:type="dxa"/>
            <w:vAlign w:val="bottom"/>
            <w:tcBorders>
              <w:top w:val="single" w:sz="8" w:color="0033A0"/>
            </w:tcBorders>
          </w:tcPr>
          <w:p>
            <w:pPr>
              <w:spacing w:after="0"/>
              <w:rPr>
                <w:sz w:val="11"/>
                <w:szCs w:val="11"/>
                <w:color w:val="auto"/>
              </w:rPr>
            </w:pPr>
          </w:p>
        </w:tc>
      </w:tr>
    </w:tbl>
    <w:p>
      <w:pPr>
        <w:spacing w:after="0" w:line="32" w:lineRule="exact"/>
        <w:rPr>
          <w:sz w:val="20"/>
          <w:szCs w:val="20"/>
          <w:color w:val="auto"/>
        </w:rPr>
      </w:pPr>
    </w:p>
    <w:p>
      <w:pPr>
        <w:ind w:left="520" w:right="360" w:hanging="316"/>
        <w:spacing w:after="0" w:line="183" w:lineRule="auto"/>
        <w:tabs>
          <w:tab w:leader="none" w:pos="520" w:val="left"/>
        </w:tabs>
        <w:numPr>
          <w:ilvl w:val="0"/>
          <w:numId w:val="49"/>
        </w:numPr>
        <w:rPr>
          <w:rFonts w:ascii="Arial" w:cs="Arial" w:eastAsia="Arial" w:hAnsi="Arial"/>
          <w:sz w:val="24"/>
          <w:szCs w:val="24"/>
          <w:color w:val="auto"/>
          <w:vertAlign w:val="superscript"/>
        </w:rPr>
      </w:pPr>
      <w:r>
        <w:rPr>
          <w:rFonts w:ascii="Arial" w:cs="Arial" w:eastAsia="Arial" w:hAnsi="Arial"/>
          <w:sz w:val="14"/>
          <w:szCs w:val="14"/>
          <w:color w:val="auto"/>
        </w:rPr>
        <w:t>This column shows the present value of the accumulated benefit as of December 31, 2018. As of December 31, 2018, the related hypothetical accumulated benefit payable to Mr. Marshall’s beneficiary following death would have been $78,305 for the Frozen Pension Plan and $2,865 for the Pension Equalization Plan.</w:t>
      </w:r>
    </w:p>
    <w:p>
      <w:pPr>
        <w:sectPr>
          <w:pgSz w:w="11900" w:h="16838" w:orient="portrait"/>
          <w:cols w:equalWidth="0" w:num="1">
            <w:col w:w="11240"/>
          </w:cols>
          <w:pgMar w:left="240" w:top="459" w:right="419" w:bottom="1440" w:gutter="0" w:footer="0" w:header="0"/>
          <w:type w:val="continuous"/>
        </w:sectPr>
      </w:pPr>
    </w:p>
    <w:p>
      <w:pPr>
        <w:spacing w:after="0" w:line="161"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For purposes of computing the present value of the accrued benefit payable to Mr. Marshall, the Company used the following assumptions: (a) the retirement age is the earliest one (age 65) permitted under the pension plans without a reduction in the monthly benefit; (b) a 4.40% discount rate for the Frozen Pension Plan measurement date of December 31, 2018; (c) a 4.30% discount rate for the equalization plan measurement date of December 31, 2018; (d) service accruals in the pension plans are frozen as of December 31, 2005; and (e) payments will be made on a straight-life monthly annuity basis. These assumptions are the same as are used to value the Company’s pension obligations in the financial statements as of December 31, 2018. For a full description of the assumptions used by the Company for financial reporting purposes, see Note 4 to the Company’s financial statements, which is included in its Annual Report on Form 10-K for the year ended December 31, 2018 and incorporated by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reference into this proxy statement. In addition, the Company has assumed Mr. Marshall will attain the age of 65. For 2018, longevity was determined using the Mercer modified RP-2014 base mortality table and Mercer modified MP-2018 projection scale, with blue collar adjustments for frozen pension plan calculations and white collar adjustments for annuity payment calculations for the equalization plan and the GATT 2003 mortality table for lump sum calculations for the equalization plan.</w:t>
      </w:r>
    </w:p>
    <w:p>
      <w:pPr>
        <w:spacing w:after="0" w:line="100" w:lineRule="exact"/>
        <w:rPr>
          <w:sz w:val="20"/>
          <w:szCs w:val="20"/>
          <w:color w:val="auto"/>
        </w:rPr>
      </w:pPr>
    </w:p>
    <w:p>
      <w:pPr>
        <w:ind w:right="60"/>
        <w:spacing w:after="0" w:line="234" w:lineRule="auto"/>
        <w:rPr>
          <w:sz w:val="20"/>
          <w:szCs w:val="20"/>
          <w:color w:val="auto"/>
        </w:rPr>
      </w:pPr>
      <w:r>
        <w:rPr>
          <w:rFonts w:ascii="Arial" w:cs="Arial" w:eastAsia="Arial" w:hAnsi="Arial"/>
          <w:sz w:val="18"/>
          <w:szCs w:val="18"/>
          <w:color w:val="auto"/>
        </w:rPr>
        <w:t>For purposes of computing the present value of the accrued benefit payable to Mr. Zukerman, the Company used the following assumptions: (a) the retirement age is the earliest one (age 65 for males) permitted under the pension plan; (b) a 0.7% discount rate for the pension plan measurement date of December 31, 2018 and</w:t>
      </w:r>
    </w:p>
    <w:p>
      <w:pPr>
        <w:spacing w:after="0" w:line="4" w:lineRule="exact"/>
        <w:rPr>
          <w:sz w:val="20"/>
          <w:szCs w:val="20"/>
          <w:color w:val="auto"/>
        </w:rPr>
      </w:pPr>
    </w:p>
    <w:p>
      <w:pPr>
        <w:ind w:right="160" w:firstLine="9"/>
        <w:spacing w:after="0" w:line="246" w:lineRule="auto"/>
        <w:tabs>
          <w:tab w:leader="none" w:pos="2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payments will be made on a straight-life monthly annuity basis. These assumptions are the same as are used to value the</w:t>
      </w:r>
    </w:p>
    <w:p>
      <w:pPr>
        <w:spacing w:after="0" w:line="276" w:lineRule="exact"/>
        <w:rPr>
          <w:sz w:val="20"/>
          <w:szCs w:val="20"/>
          <w:color w:val="auto"/>
        </w:rPr>
      </w:pPr>
    </w:p>
    <w:p>
      <w:pPr>
        <w:sectPr>
          <w:pgSz w:w="11900" w:h="16838" w:orient="portrait"/>
          <w:cols w:equalWidth="0" w:num="2">
            <w:col w:w="5460" w:space="360"/>
            <w:col w:w="5420"/>
          </w:cols>
          <w:pgMar w:left="240" w:top="459" w:right="419" w:bottom="1440" w:gutter="0" w:footer="0" w:header="0"/>
          <w:type w:val="continuous"/>
        </w:sectPr>
      </w:pPr>
    </w:p>
    <w:p>
      <w:pPr>
        <w:spacing w:after="0" w:line="96" w:lineRule="exact"/>
        <w:rPr>
          <w:sz w:val="20"/>
          <w:szCs w:val="20"/>
          <w:color w:val="auto"/>
        </w:rPr>
      </w:pPr>
    </w:p>
    <w:tbl>
      <w:tblPr>
        <w:tblLayout w:type="fixed"/>
        <w:tblInd w:w="8820" w:type="dxa"/>
        <w:tblCellMar>
          <w:top w:w="0" w:type="dxa"/>
          <w:left w:w="0" w:type="dxa"/>
          <w:bottom w:w="0" w:type="dxa"/>
          <w:right w:w="0" w:type="dxa"/>
        </w:tblCellMar>
      </w:tblPr>
      <w:tr>
        <w:trPr>
          <w:trHeight w:val="297"/>
        </w:trPr>
        <w:tc>
          <w:tcPr>
            <w:tcW w:w="1900" w:type="dxa"/>
            <w:vAlign w:val="bottom"/>
            <w:tcBorders>
              <w:right w:val="single" w:sz="8" w:color="0033A0"/>
            </w:tcBorders>
          </w:tcPr>
          <w:p>
            <w:pPr>
              <w:spacing w:after="0"/>
              <w:rPr>
                <w:sz w:val="20"/>
                <w:szCs w:val="20"/>
                <w:color w:val="auto"/>
              </w:rPr>
            </w:pPr>
            <w:r>
              <w:rPr>
                <w:rFonts w:ascii="Arial" w:cs="Arial" w:eastAsia="Arial" w:hAnsi="Arial"/>
                <w:sz w:val="18"/>
                <w:szCs w:val="18"/>
                <w:i w:val="1"/>
                <w:iCs w:val="1"/>
                <w:color w:val="auto"/>
              </w:rPr>
              <w:t>2019 Proxy Statement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-170815</wp:posOffset>
            </wp:positionV>
            <wp:extent cx="720090" cy="12890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0090" cy="12890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type w:val="continuous"/>
        </w:sectPr>
      </w:pPr>
    </w:p>
    <w:bookmarkStart w:id="58" w:name="page59"/>
    <w:bookmarkEnd w:id="5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0033A0"/>
        </w:rPr>
        <w:t>The Brink’s Company</w:t>
      </w:r>
    </w:p>
    <w:p>
      <w:pPr>
        <w:spacing w:after="0" w:line="215" w:lineRule="exact"/>
        <w:rPr>
          <w:sz w:val="20"/>
          <w:szCs w:val="20"/>
          <w:color w:val="auto"/>
        </w:rPr>
      </w:pPr>
    </w:p>
    <w:p>
      <w:pPr>
        <w:ind w:left="220" w:right="60"/>
        <w:spacing w:after="0" w:line="238" w:lineRule="auto"/>
        <w:rPr>
          <w:sz w:val="20"/>
          <w:szCs w:val="20"/>
          <w:color w:val="auto"/>
        </w:rPr>
      </w:pPr>
      <w:r>
        <w:rPr>
          <w:rFonts w:ascii="Arial" w:cs="Arial" w:eastAsia="Arial" w:hAnsi="Arial"/>
          <w:sz w:val="18"/>
          <w:szCs w:val="18"/>
          <w:color w:val="auto"/>
        </w:rPr>
        <w:t>Company’s pension obligations in the financial statements as of December 31, 2018. In addition, the Company has assumed Mr. Zukerman will attain the age of 65; longevity is determined using the LPP/BVG2015-Generational mortality table for payment calculations.</w:t>
      </w:r>
    </w:p>
    <w:p>
      <w:pPr>
        <w:spacing w:after="0" w:line="28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0033A0"/>
        </w:rPr>
        <w:t>Brink’s Switzerland Pension Plan</w:t>
      </w:r>
    </w:p>
    <w:p>
      <w:pPr>
        <w:spacing w:after="0" w:line="126" w:lineRule="exact"/>
        <w:rPr>
          <w:sz w:val="20"/>
          <w:szCs w:val="20"/>
          <w:color w:val="auto"/>
        </w:rPr>
      </w:pPr>
    </w:p>
    <w:p>
      <w:pPr>
        <w:ind w:left="220" w:right="300"/>
        <w:spacing w:after="0" w:line="239" w:lineRule="auto"/>
        <w:rPr>
          <w:sz w:val="20"/>
          <w:szCs w:val="20"/>
          <w:color w:val="auto"/>
        </w:rPr>
      </w:pPr>
      <w:r>
        <w:rPr>
          <w:rFonts w:ascii="Arial" w:cs="Arial" w:eastAsia="Arial" w:hAnsi="Arial"/>
          <w:sz w:val="18"/>
          <w:szCs w:val="18"/>
          <w:color w:val="auto"/>
        </w:rPr>
        <w:t>The Company maintains the Swiss Pension Plan, which is a contribution-based plan that covers all Switzerland employees, with a guarantee of a minimum interest credit and fixed conversion rates at retirement.</w:t>
      </w:r>
    </w:p>
    <w:p>
      <w:pPr>
        <w:spacing w:after="0" w:line="94" w:lineRule="exact"/>
        <w:rPr>
          <w:sz w:val="20"/>
          <w:szCs w:val="20"/>
          <w:color w:val="auto"/>
        </w:rPr>
      </w:pPr>
    </w:p>
    <w:p>
      <w:pPr>
        <w:ind w:left="220"/>
        <w:spacing w:after="0" w:line="252" w:lineRule="auto"/>
        <w:rPr>
          <w:sz w:val="20"/>
          <w:szCs w:val="20"/>
          <w:color w:val="auto"/>
        </w:rPr>
      </w:pPr>
      <w:r>
        <w:rPr>
          <w:rFonts w:ascii="Arial" w:cs="Arial" w:eastAsia="Arial" w:hAnsi="Arial"/>
          <w:sz w:val="17"/>
          <w:szCs w:val="17"/>
          <w:color w:val="auto"/>
        </w:rPr>
        <w:t>The amount financed for the benefit payable to an employee is based on a percentage of the insured salary and depends on the age attained of the member; 10% from age 25, 13% from age 35, 16% from age 45 and 20% from age 55. The financing is split between the employee (40% of total cost) and the employer (60% of total cost). The risk benefits are expressed as a percentage of the participant’s salary, which annual cost is also split between the employee (40% of total cost) and the employer (60% of total cost).</w:t>
      </w:r>
    </w:p>
    <w:p>
      <w:pPr>
        <w:spacing w:after="0" w:line="87" w:lineRule="exact"/>
        <w:rPr>
          <w:sz w:val="20"/>
          <w:szCs w:val="20"/>
          <w:color w:val="auto"/>
        </w:rPr>
      </w:pPr>
    </w:p>
    <w:p>
      <w:pPr>
        <w:ind w:left="220"/>
        <w:spacing w:after="0" w:line="237" w:lineRule="auto"/>
        <w:rPr>
          <w:sz w:val="20"/>
          <w:szCs w:val="20"/>
          <w:color w:val="auto"/>
        </w:rPr>
      </w:pPr>
      <w:r>
        <w:rPr>
          <w:rFonts w:ascii="Arial" w:cs="Arial" w:eastAsia="Arial" w:hAnsi="Arial"/>
          <w:sz w:val="18"/>
          <w:szCs w:val="18"/>
          <w:color w:val="auto"/>
        </w:rPr>
        <w:t>Subject to certain limitations, an employee who retires before he or she reaches age 65, provided he or she has reached the age of 58, may receive an annuity for life payable on a monthly basis beginning on his or her early retirement date at an annual rate not to exceed the maximum possible old-age savings tables which are based on a percentage of the participant’s salary.</w:t>
      </w:r>
    </w:p>
    <w:p>
      <w:pPr>
        <w:spacing w:after="0" w:line="97" w:lineRule="exact"/>
        <w:rPr>
          <w:sz w:val="20"/>
          <w:szCs w:val="20"/>
          <w:color w:val="auto"/>
        </w:rPr>
      </w:pPr>
    </w:p>
    <w:p>
      <w:pPr>
        <w:ind w:left="220"/>
        <w:spacing w:after="0" w:line="239" w:lineRule="auto"/>
        <w:rPr>
          <w:sz w:val="20"/>
          <w:szCs w:val="20"/>
          <w:color w:val="auto"/>
        </w:rPr>
      </w:pPr>
      <w:r>
        <w:rPr>
          <w:rFonts w:ascii="Arial" w:cs="Arial" w:eastAsia="Arial" w:hAnsi="Arial"/>
          <w:sz w:val="18"/>
          <w:szCs w:val="18"/>
          <w:color w:val="auto"/>
        </w:rPr>
        <w:t>The plan provides for payment options of an annuity for life or as a lump sum payment. Benefit elections must be made before retirement and are subject to certain requirements, such as spousal consent.</w:t>
      </w:r>
    </w:p>
    <w:p>
      <w:pPr>
        <w:spacing w:after="0" w:line="28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0033A0"/>
        </w:rPr>
        <w:t>U.S. Frozen Pension Plan</w:t>
      </w:r>
    </w:p>
    <w:p>
      <w:pPr>
        <w:spacing w:after="0" w:line="126" w:lineRule="exact"/>
        <w:rPr>
          <w:sz w:val="20"/>
          <w:szCs w:val="20"/>
          <w:color w:val="auto"/>
        </w:rPr>
      </w:pPr>
    </w:p>
    <w:p>
      <w:pPr>
        <w:ind w:left="220" w:right="100"/>
        <w:spacing w:after="0" w:line="239" w:lineRule="auto"/>
        <w:rPr>
          <w:sz w:val="20"/>
          <w:szCs w:val="20"/>
          <w:color w:val="auto"/>
        </w:rPr>
      </w:pPr>
      <w:r>
        <w:rPr>
          <w:rFonts w:ascii="Arial" w:cs="Arial" w:eastAsia="Arial" w:hAnsi="Arial"/>
          <w:sz w:val="18"/>
          <w:szCs w:val="18"/>
          <w:color w:val="auto"/>
        </w:rPr>
        <w:t>The amount of any benefit payable to a participant in the Frozen Pension Plan is based on the participant’s benefit accrual service and average salary (as these terms are defined in the Frozen Pension Plan).</w:t>
      </w:r>
    </w:p>
    <w:p>
      <w:pPr>
        <w:spacing w:after="0" w:line="94" w:lineRule="exact"/>
        <w:rPr>
          <w:sz w:val="20"/>
          <w:szCs w:val="20"/>
          <w:color w:val="auto"/>
        </w:rPr>
      </w:pPr>
    </w:p>
    <w:p>
      <w:pPr>
        <w:ind w:left="220" w:right="160"/>
        <w:spacing w:after="0" w:line="257" w:lineRule="auto"/>
        <w:rPr>
          <w:sz w:val="20"/>
          <w:szCs w:val="20"/>
          <w:color w:val="auto"/>
        </w:rPr>
      </w:pPr>
      <w:r>
        <w:rPr>
          <w:rFonts w:ascii="Arial" w:cs="Arial" w:eastAsia="Arial" w:hAnsi="Arial"/>
          <w:sz w:val="17"/>
          <w:szCs w:val="17"/>
          <w:color w:val="auto"/>
        </w:rPr>
        <w:t>Subject to certain limitations, a participant who reaches age 65 may receive an annuity for life payable monthly beginning on his or her normal retirement date (as defined in the Frozen Pension Plan) at an annual rate equal to the sum of the following:</w:t>
      </w:r>
    </w:p>
    <w:p>
      <w:pPr>
        <w:spacing w:after="0" w:line="95" w:lineRule="exact"/>
        <w:rPr>
          <w:sz w:val="20"/>
          <w:szCs w:val="20"/>
          <w:color w:val="auto"/>
        </w:rPr>
      </w:pPr>
    </w:p>
    <w:p>
      <w:pPr>
        <w:ind w:left="980" w:right="440" w:hanging="317"/>
        <w:spacing w:after="0" w:line="246" w:lineRule="auto"/>
        <w:tabs>
          <w:tab w:leader="none" w:pos="980" w:val="left"/>
        </w:tabs>
        <w:numPr>
          <w:ilvl w:val="0"/>
          <w:numId w:val="51"/>
        </w:numPr>
        <w:rPr>
          <w:rFonts w:ascii="Arial" w:cs="Arial" w:eastAsia="Arial" w:hAnsi="Arial"/>
          <w:sz w:val="18"/>
          <w:szCs w:val="18"/>
          <w:color w:val="0033A0"/>
        </w:rPr>
      </w:pPr>
      <w:r>
        <w:rPr>
          <w:rFonts w:ascii="Arial" w:cs="Arial" w:eastAsia="Arial" w:hAnsi="Arial"/>
          <w:sz w:val="18"/>
          <w:szCs w:val="18"/>
          <w:color w:val="auto"/>
        </w:rPr>
        <w:t>for the portion of the accrued benefit earned before June 1, 2003:</w:t>
      </w:r>
    </w:p>
    <w:p>
      <w:pPr>
        <w:spacing w:after="0" w:line="102" w:lineRule="exact"/>
        <w:rPr>
          <w:rFonts w:ascii="Arial" w:cs="Arial" w:eastAsia="Arial" w:hAnsi="Arial"/>
          <w:sz w:val="18"/>
          <w:szCs w:val="18"/>
          <w:color w:val="0033A0"/>
        </w:rPr>
      </w:pPr>
    </w:p>
    <w:p>
      <w:pPr>
        <w:ind w:left="1340" w:right="80" w:hanging="312"/>
        <w:spacing w:after="0" w:line="246" w:lineRule="auto"/>
        <w:tabs>
          <w:tab w:leader="none" w:pos="1340" w:val="left"/>
        </w:tabs>
        <w:numPr>
          <w:ilvl w:val="1"/>
          <w:numId w:val="51"/>
        </w:numPr>
        <w:rPr>
          <w:rFonts w:ascii="Arial" w:cs="Arial" w:eastAsia="Arial" w:hAnsi="Arial"/>
          <w:sz w:val="18"/>
          <w:szCs w:val="18"/>
          <w:color w:val="0033A0"/>
        </w:rPr>
      </w:pPr>
      <w:r>
        <w:rPr>
          <w:rFonts w:ascii="Arial" w:cs="Arial" w:eastAsia="Arial" w:hAnsi="Arial"/>
          <w:sz w:val="18"/>
          <w:szCs w:val="18"/>
          <w:color w:val="auto"/>
        </w:rPr>
        <w:t>2.1% of average salary multiplied by the number of years of benefit accrual</w:t>
      </w:r>
    </w:p>
    <w:p>
      <w:pPr>
        <w:spacing w:after="0" w:line="279" w:lineRule="exact"/>
        <w:rPr>
          <w:sz w:val="20"/>
          <w:szCs w:val="20"/>
          <w:color w:val="auto"/>
        </w:rPr>
      </w:pPr>
    </w:p>
    <w:tbl>
      <w:tblPr>
        <w:tblLayout w:type="fixed"/>
        <w:tblInd w:w="200" w:type="dxa"/>
        <w:tblCellMar>
          <w:top w:w="0" w:type="dxa"/>
          <w:left w:w="0" w:type="dxa"/>
          <w:bottom w:w="0" w:type="dxa"/>
          <w:right w:w="0" w:type="dxa"/>
        </w:tblCellMar>
      </w:tblPr>
      <w:tr>
        <w:trPr>
          <w:trHeight w:val="297"/>
        </w:trPr>
        <w:tc>
          <w:tcPr>
            <w:tcW w:w="360" w:type="dxa"/>
            <w:vAlign w:val="bottom"/>
            <w:tcBorders>
              <w:right w:val="single" w:sz="8" w:color="0033A0"/>
            </w:tcBorders>
          </w:tcPr>
          <w:p>
            <w:pPr>
              <w:jc w:val="right"/>
              <w:ind w:right="70"/>
              <w:spacing w:after="0"/>
              <w:rPr>
                <w:sz w:val="20"/>
                <w:szCs w:val="20"/>
                <w:color w:val="auto"/>
              </w:rPr>
            </w:pPr>
            <w:r>
              <w:rPr>
                <w:rFonts w:ascii="Arial" w:cs="Arial" w:eastAsia="Arial" w:hAnsi="Arial"/>
                <w:sz w:val="18"/>
                <w:szCs w:val="18"/>
                <w:b w:val="1"/>
                <w:bCs w:val="1"/>
                <w:color w:val="auto"/>
                <w:w w:val="89"/>
              </w:rPr>
              <w:t>54</w:t>
            </w:r>
          </w:p>
        </w:tc>
        <w:tc>
          <w:tcPr>
            <w:tcW w:w="3380" w:type="dxa"/>
            <w:vAlign w:val="bottom"/>
          </w:tcPr>
          <w:p>
            <w:pPr>
              <w:ind w:left="1600"/>
              <w:spacing w:after="0"/>
              <w:rPr>
                <w:sz w:val="20"/>
                <w:szCs w:val="20"/>
                <w:color w:val="auto"/>
              </w:rPr>
            </w:pPr>
            <w:r>
              <w:rPr>
                <w:rFonts w:ascii="Arial" w:cs="Arial" w:eastAsia="Arial" w:hAnsi="Arial"/>
                <w:sz w:val="18"/>
                <w:szCs w:val="18"/>
                <w:i w:val="1"/>
                <w:iCs w:val="1"/>
                <w:color w:val="auto"/>
                <w:w w:val="98"/>
              </w:rPr>
              <w:t>2019 Proxy Statement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-170815</wp:posOffset>
            </wp:positionV>
            <wp:extent cx="720090" cy="12890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009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140" w:right="700"/>
        <w:spacing w:after="0" w:line="246" w:lineRule="auto"/>
        <w:rPr>
          <w:sz w:val="20"/>
          <w:szCs w:val="20"/>
          <w:color w:val="auto"/>
        </w:rPr>
      </w:pPr>
      <w:r>
        <w:rPr>
          <w:rFonts w:ascii="Arial" w:cs="Arial" w:eastAsia="Arial" w:hAnsi="Arial"/>
          <w:sz w:val="18"/>
          <w:szCs w:val="18"/>
          <w:color w:val="auto"/>
        </w:rPr>
        <w:t>service completed as of May 31, 2003 with a maximum of 25 years; plus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-1074420</wp:posOffset>
            </wp:positionV>
            <wp:extent cx="72891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82" w:lineRule="exact"/>
        <w:rPr>
          <w:sz w:val="20"/>
          <w:szCs w:val="20"/>
          <w:color w:val="auto"/>
        </w:rPr>
      </w:pPr>
    </w:p>
    <w:p>
      <w:pPr>
        <w:ind w:left="1140" w:right="360" w:hanging="312"/>
        <w:spacing w:after="0"/>
        <w:tabs>
          <w:tab w:leader="none" w:pos="1140" w:val="left"/>
        </w:tabs>
        <w:numPr>
          <w:ilvl w:val="1"/>
          <w:numId w:val="52"/>
        </w:numPr>
        <w:rPr>
          <w:rFonts w:ascii="Arial" w:cs="Arial" w:eastAsia="Arial" w:hAnsi="Arial"/>
          <w:sz w:val="18"/>
          <w:szCs w:val="18"/>
          <w:color w:val="0033A0"/>
        </w:rPr>
      </w:pPr>
      <w:r>
        <w:rPr>
          <w:rFonts w:ascii="Arial" w:cs="Arial" w:eastAsia="Arial" w:hAnsi="Arial"/>
          <w:sz w:val="18"/>
          <w:szCs w:val="18"/>
          <w:color w:val="auto"/>
        </w:rPr>
        <w:t>1% of average salary multiplied by the number of years of benefit accrual service completed as of May 31, 2003 in excess of 25 years; less</w:t>
      </w:r>
    </w:p>
    <w:p>
      <w:pPr>
        <w:spacing w:after="0" w:line="108" w:lineRule="exact"/>
        <w:rPr>
          <w:rFonts w:ascii="Arial" w:cs="Arial" w:eastAsia="Arial" w:hAnsi="Arial"/>
          <w:sz w:val="18"/>
          <w:szCs w:val="18"/>
          <w:color w:val="0033A0"/>
        </w:rPr>
      </w:pPr>
    </w:p>
    <w:p>
      <w:pPr>
        <w:ind w:left="1140" w:right="180" w:hanging="312"/>
        <w:spacing w:after="0" w:line="238" w:lineRule="auto"/>
        <w:tabs>
          <w:tab w:leader="none" w:pos="1140" w:val="left"/>
        </w:tabs>
        <w:numPr>
          <w:ilvl w:val="1"/>
          <w:numId w:val="52"/>
        </w:numPr>
        <w:rPr>
          <w:rFonts w:ascii="Arial" w:cs="Arial" w:eastAsia="Arial" w:hAnsi="Arial"/>
          <w:sz w:val="18"/>
          <w:szCs w:val="18"/>
          <w:color w:val="0033A0"/>
        </w:rPr>
      </w:pPr>
      <w:r>
        <w:rPr>
          <w:rFonts w:ascii="Arial" w:cs="Arial" w:eastAsia="Arial" w:hAnsi="Arial"/>
          <w:sz w:val="18"/>
          <w:szCs w:val="18"/>
          <w:color w:val="auto"/>
        </w:rPr>
        <w:t>0.55% of covered compensation base (the average of the social security wage base for the 35 years preceding retirement) multiplied by the number of years of benefit accrual service completed as of May 31, 2003; and</w:t>
      </w:r>
    </w:p>
    <w:p>
      <w:pPr>
        <w:spacing w:after="0" w:line="103" w:lineRule="exact"/>
        <w:rPr>
          <w:rFonts w:ascii="Arial" w:cs="Arial" w:eastAsia="Arial" w:hAnsi="Arial"/>
          <w:sz w:val="18"/>
          <w:szCs w:val="18"/>
          <w:color w:val="0033A0"/>
        </w:rPr>
      </w:pPr>
    </w:p>
    <w:p>
      <w:pPr>
        <w:ind w:left="780" w:hanging="317"/>
        <w:spacing w:after="0"/>
        <w:tabs>
          <w:tab w:leader="none" w:pos="780" w:val="left"/>
        </w:tabs>
        <w:numPr>
          <w:ilvl w:val="0"/>
          <w:numId w:val="52"/>
        </w:numPr>
        <w:rPr>
          <w:rFonts w:ascii="Arial" w:cs="Arial" w:eastAsia="Arial" w:hAnsi="Arial"/>
          <w:sz w:val="18"/>
          <w:szCs w:val="18"/>
          <w:color w:val="0033A0"/>
        </w:rPr>
      </w:pPr>
      <w:r>
        <w:rPr>
          <w:rFonts w:ascii="Arial" w:cs="Arial" w:eastAsia="Arial" w:hAnsi="Arial"/>
          <w:sz w:val="18"/>
          <w:szCs w:val="18"/>
          <w:color w:val="auto"/>
        </w:rPr>
        <w:t>for the portion of the accrued benefit earned after May 31,</w:t>
      </w:r>
    </w:p>
    <w:p>
      <w:pPr>
        <w:ind w:left="780"/>
        <w:spacing w:after="0"/>
        <w:rPr>
          <w:rFonts w:ascii="Arial" w:cs="Arial" w:eastAsia="Arial" w:hAnsi="Arial"/>
          <w:sz w:val="18"/>
          <w:szCs w:val="18"/>
          <w:color w:val="0033A0"/>
        </w:rPr>
      </w:pPr>
      <w:r>
        <w:rPr>
          <w:rFonts w:ascii="Arial" w:cs="Arial" w:eastAsia="Arial" w:hAnsi="Arial"/>
          <w:sz w:val="18"/>
          <w:szCs w:val="18"/>
          <w:color w:val="auto"/>
        </w:rPr>
        <w:t>2003 and through December 31, 2005:</w:t>
      </w:r>
    </w:p>
    <w:p>
      <w:pPr>
        <w:spacing w:after="0" w:line="117" w:lineRule="exact"/>
        <w:rPr>
          <w:rFonts w:ascii="Arial" w:cs="Arial" w:eastAsia="Arial" w:hAnsi="Arial"/>
          <w:sz w:val="18"/>
          <w:szCs w:val="18"/>
          <w:color w:val="0033A0"/>
        </w:rPr>
      </w:pPr>
    </w:p>
    <w:p>
      <w:pPr>
        <w:ind w:left="1140" w:hanging="312"/>
        <w:spacing w:after="0" w:line="239" w:lineRule="auto"/>
        <w:tabs>
          <w:tab w:leader="none" w:pos="1140" w:val="left"/>
        </w:tabs>
        <w:numPr>
          <w:ilvl w:val="1"/>
          <w:numId w:val="52"/>
        </w:numPr>
        <w:rPr>
          <w:rFonts w:ascii="Arial" w:cs="Arial" w:eastAsia="Arial" w:hAnsi="Arial"/>
          <w:sz w:val="18"/>
          <w:szCs w:val="18"/>
          <w:color w:val="0033A0"/>
        </w:rPr>
      </w:pPr>
      <w:r>
        <w:rPr>
          <w:rFonts w:ascii="Arial" w:cs="Arial" w:eastAsia="Arial" w:hAnsi="Arial"/>
          <w:sz w:val="18"/>
          <w:szCs w:val="18"/>
          <w:color w:val="auto"/>
        </w:rPr>
        <w:t>1.75% of average salary multiplied by the number of years of benefit accrual service completed after May 31, 2003 and through December 31, 2005 with a maximum of 25 years; plus</w:t>
      </w:r>
    </w:p>
    <w:p>
      <w:pPr>
        <w:spacing w:after="0" w:line="107" w:lineRule="exact"/>
        <w:rPr>
          <w:rFonts w:ascii="Arial" w:cs="Arial" w:eastAsia="Arial" w:hAnsi="Arial"/>
          <w:sz w:val="18"/>
          <w:szCs w:val="18"/>
          <w:color w:val="0033A0"/>
        </w:rPr>
      </w:pPr>
    </w:p>
    <w:p>
      <w:pPr>
        <w:ind w:left="1140" w:right="340" w:hanging="312"/>
        <w:spacing w:after="0" w:line="239" w:lineRule="auto"/>
        <w:tabs>
          <w:tab w:leader="none" w:pos="1140" w:val="left"/>
        </w:tabs>
        <w:numPr>
          <w:ilvl w:val="1"/>
          <w:numId w:val="52"/>
        </w:numPr>
        <w:rPr>
          <w:rFonts w:ascii="Arial" w:cs="Arial" w:eastAsia="Arial" w:hAnsi="Arial"/>
          <w:sz w:val="18"/>
          <w:szCs w:val="18"/>
          <w:color w:val="0033A0"/>
        </w:rPr>
      </w:pPr>
      <w:r>
        <w:rPr>
          <w:rFonts w:ascii="Arial" w:cs="Arial" w:eastAsia="Arial" w:hAnsi="Arial"/>
          <w:sz w:val="18"/>
          <w:szCs w:val="18"/>
          <w:color w:val="auto"/>
        </w:rPr>
        <w:t>1% of average salary multiplied by the number of years of benefit accrual service completed after May 31, 2003 and through December 31, 2005 in excess of 25 years; less</w:t>
      </w:r>
    </w:p>
    <w:p>
      <w:pPr>
        <w:spacing w:after="0" w:line="107" w:lineRule="exact"/>
        <w:rPr>
          <w:rFonts w:ascii="Arial" w:cs="Arial" w:eastAsia="Arial" w:hAnsi="Arial"/>
          <w:sz w:val="18"/>
          <w:szCs w:val="18"/>
          <w:color w:val="0033A0"/>
        </w:rPr>
      </w:pPr>
    </w:p>
    <w:p>
      <w:pPr>
        <w:ind w:left="1140" w:right="180" w:hanging="312"/>
        <w:spacing w:after="0" w:line="238" w:lineRule="auto"/>
        <w:tabs>
          <w:tab w:leader="none" w:pos="1140" w:val="left"/>
        </w:tabs>
        <w:numPr>
          <w:ilvl w:val="1"/>
          <w:numId w:val="52"/>
        </w:numPr>
        <w:rPr>
          <w:rFonts w:ascii="Arial" w:cs="Arial" w:eastAsia="Arial" w:hAnsi="Arial"/>
          <w:sz w:val="18"/>
          <w:szCs w:val="18"/>
          <w:color w:val="0033A0"/>
        </w:rPr>
      </w:pPr>
      <w:r>
        <w:rPr>
          <w:rFonts w:ascii="Arial" w:cs="Arial" w:eastAsia="Arial" w:hAnsi="Arial"/>
          <w:sz w:val="18"/>
          <w:szCs w:val="18"/>
          <w:color w:val="auto"/>
        </w:rPr>
        <w:t>0.55% of covered compensation base (the average of the social security wage base for the 35 years preceding retirement) multiplied by the number of years of benefit accrual service completed after May 31, 2003 and through December 31, 2005.</w:t>
      </w:r>
    </w:p>
    <w:p>
      <w:pPr>
        <w:spacing w:after="0" w:line="95"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Subject to certain limitations, a participant who retires before he or she reaches age 65, provided he or she has completed 10 years of vesting service and reached age 55, may receive an annuity for life payable monthly beginning on his or her early retirement date (as defined in the Frozen Pension Plan) at an annual rate equal to the rate applicable to retirement on his or her normal retirement at age 65 reduced by 0.4167% for each month (the equivalent of 5% per year) by which his or her early retirement date precedes the normal retirement date.</w:t>
      </w:r>
    </w:p>
    <w:p>
      <w:pPr>
        <w:spacing w:after="0" w:line="99"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The Frozen Pension Plan provides multiple payment options for participants. Participants may select a single life annuity for the life of the participant, joint and survivor annuities under which a participant’s surviving beneficiary may receive for his or her life 50%, 75% or 100% of the monthly benefit received by the participant, and period certain options under</w:t>
      </w:r>
    </w:p>
    <w:p>
      <w:pPr>
        <w:sectPr>
          <w:pgSz w:w="11900" w:h="16838" w:orient="portrait"/>
          <w:cols w:equalWidth="0" w:num="2">
            <w:col w:w="5480" w:space="340"/>
            <w:col w:w="5400"/>
          </w:cols>
          <w:pgMar w:left="240" w:top="459" w:right="4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right"/>
        <w:ind w:right="20"/>
        <w:spacing w:after="0"/>
        <w:rPr>
          <w:sz w:val="20"/>
          <w:szCs w:val="20"/>
          <w:color w:val="auto"/>
        </w:rPr>
      </w:pPr>
      <w:r>
        <w:rPr>
          <w:rFonts w:ascii="Arial" w:cs="Arial" w:eastAsia="Arial" w:hAnsi="Arial"/>
          <w:sz w:val="20"/>
          <w:szCs w:val="20"/>
          <w:b w:val="1"/>
          <w:bCs w:val="1"/>
          <w:color w:val="0033A0"/>
        </w:rPr>
        <w:t>EXECUTIVE COMPENSATION TABLES</w:t>
      </w:r>
    </w:p>
    <w:p>
      <w:pPr>
        <w:sectPr>
          <w:pgSz w:w="11900" w:h="16838" w:orient="portrait"/>
          <w:cols w:equalWidth="0" w:num="1">
            <w:col w:w="11240"/>
          </w:cols>
          <w:pgMar w:left="240" w:top="459" w:right="419" w:bottom="1440" w:gutter="0" w:footer="0" w:header="0"/>
        </w:sectPr>
      </w:pPr>
    </w:p>
    <w:p>
      <w:pPr>
        <w:spacing w:after="0" w:line="215" w:lineRule="exact"/>
        <w:rPr>
          <w:sz w:val="20"/>
          <w:szCs w:val="20"/>
          <w:color w:val="auto"/>
        </w:rPr>
      </w:pPr>
    </w:p>
    <w:p>
      <w:pPr>
        <w:ind w:left="220"/>
        <w:spacing w:after="0" w:line="239" w:lineRule="auto"/>
        <w:rPr>
          <w:sz w:val="20"/>
          <w:szCs w:val="20"/>
          <w:color w:val="auto"/>
        </w:rPr>
      </w:pPr>
      <w:r>
        <w:rPr>
          <w:rFonts w:ascii="Arial" w:cs="Arial" w:eastAsia="Arial" w:hAnsi="Arial"/>
          <w:sz w:val="18"/>
          <w:szCs w:val="18"/>
          <w:color w:val="auto"/>
        </w:rPr>
        <w:t>which a participant’s surviving beneficiary may receive payments for a fixed term of 5, 10, 15 or 20 years. If a joint and survivor annuity or a period certain option is selected, the amount of the retirement benefit is less than the amount payable</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jc w:val="both"/>
        <w:ind w:right="220"/>
        <w:spacing w:after="0"/>
        <w:rPr>
          <w:sz w:val="20"/>
          <w:szCs w:val="20"/>
          <w:color w:val="auto"/>
        </w:rPr>
      </w:pPr>
      <w:r>
        <w:rPr>
          <w:rFonts w:ascii="Arial" w:cs="Arial" w:eastAsia="Arial" w:hAnsi="Arial"/>
          <w:sz w:val="18"/>
          <w:szCs w:val="18"/>
          <w:color w:val="auto"/>
        </w:rPr>
        <w:t>under a single life annuity. Benefit elections must be made before retirement, and some options are subject to certain requirements, such as spousal consent.</w:t>
      </w:r>
    </w:p>
    <w:p>
      <w:pPr>
        <w:spacing w:after="0" w:line="403" w:lineRule="exact"/>
        <w:rPr>
          <w:sz w:val="20"/>
          <w:szCs w:val="20"/>
          <w:color w:val="auto"/>
        </w:rPr>
      </w:pPr>
    </w:p>
    <w:p>
      <w:pPr>
        <w:sectPr>
          <w:pgSz w:w="11900" w:h="16838" w:orient="portrait"/>
          <w:cols w:equalWidth="0" w:num="2">
            <w:col w:w="5360" w:space="460"/>
            <w:col w:w="5420"/>
          </w:cols>
          <w:pgMar w:left="240" w:top="459" w:right="419" w:bottom="1440" w:gutter="0" w:footer="0" w:header="0"/>
          <w:type w:val="continuous"/>
        </w:sectPr>
      </w:pP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0033A0"/>
        </w:rPr>
        <w:t>Pension Equalization Plan</w:t>
      </w:r>
    </w:p>
    <w:p>
      <w:pPr>
        <w:spacing w:after="0" w:line="193"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The Code limits the amount of pension benefits that may be paid under federal income tax qualified plans. As a result, the Board adopted the Equalization Plan under which the Company will make additional payments so that the total amount received by each person affected by the Code limitations is the same as would have otherwise been received under the Frozen Pension Plan (formerly known as the Pension-Retirement Plan). The Company has reserved the right to terminate or amend the Equalization Plan at any time</w:t>
      </w:r>
    </w:p>
    <w:p>
      <w:pPr>
        <w:spacing w:after="0" w:line="207" w:lineRule="exact"/>
        <w:rPr>
          <w:sz w:val="20"/>
          <w:szCs w:val="20"/>
          <w:color w:val="auto"/>
        </w:rPr>
      </w:pPr>
    </w:p>
    <w:p>
      <w:pPr>
        <w:ind w:left="200" w:right="100"/>
        <w:spacing w:after="0"/>
        <w:rPr>
          <w:sz w:val="20"/>
          <w:szCs w:val="20"/>
          <w:color w:val="auto"/>
        </w:rPr>
      </w:pPr>
      <w:r>
        <w:rPr>
          <w:rFonts w:ascii="Arial" w:cs="Arial" w:eastAsia="Arial" w:hAnsi="Arial"/>
          <w:sz w:val="18"/>
          <w:szCs w:val="18"/>
          <w:color w:val="auto"/>
        </w:rPr>
        <w:t>Effective December 1, 1997, the Equalization Plan was amended to permit participants to receive the actuarial equivalent of their benefit under such plan 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a lump sum upon retirement (subject to certain limitations on distribution imposed by Section 409A of the Code). In accordance with the Equalization Plan, the Company has contributed to a trust, established between the Company and Wells Fargo Bank, N.A., amounts in cash to provide the benefits to which (1) participants under the Equalization Plan and (2) retirees covered under certain employment contracts are entitled under the terms of the equalization plan and such employment contracts. None of the named executive officers is covered by the contracts referred to in clause (2) above. The assets of the trust are subject to the claims of the Company’s general creditors in the event of the Company’s insolvency.</w:t>
      </w:r>
    </w:p>
    <w:p>
      <w:pPr>
        <w:spacing w:after="0" w:line="417" w:lineRule="exact"/>
        <w:rPr>
          <w:sz w:val="20"/>
          <w:szCs w:val="20"/>
          <w:color w:val="auto"/>
        </w:rPr>
      </w:pPr>
    </w:p>
    <w:p>
      <w:pPr>
        <w:sectPr>
          <w:pgSz w:w="11900" w:h="16838" w:orient="portrait"/>
          <w:cols w:equalWidth="0" w:num="2">
            <w:col w:w="5480" w:space="340"/>
            <w:col w:w="5420"/>
          </w:cols>
          <w:pgMar w:left="240" w:top="459" w:right="419" w:bottom="1440" w:gutter="0" w:footer="0" w:header="0"/>
          <w:type w:val="continuous"/>
        </w:sectPr>
      </w:pPr>
    </w:p>
    <w:p>
      <w:pPr>
        <w:spacing w:after="0" w:line="149"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auto"/>
        </w:rPr>
        <w:t>Non-qualified Deferred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68580</wp:posOffset>
            </wp:positionV>
            <wp:extent cx="699770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type w:val="continuous"/>
        </w:sectPr>
      </w:pPr>
    </w:p>
    <w:p>
      <w:pPr>
        <w:spacing w:after="0" w:line="323"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The following table presents information about the Company’s deferred compensation program, which provides for the deferral of compensation paid to or earned by the named executive officers on a basis that is not tax qualified (i.e., the Company is not entitled to take a tax deduction for the related expense until payments are actually made to the participants). Mr. Zukerman does not participate in the deferred compensation program because he does not reside in the United States.</w:t>
      </w:r>
    </w:p>
    <w:p>
      <w:pPr>
        <w:spacing w:after="0" w:line="100" w:lineRule="exact"/>
        <w:rPr>
          <w:sz w:val="20"/>
          <w:szCs w:val="20"/>
          <w:color w:val="auto"/>
        </w:rPr>
      </w:pPr>
    </w:p>
    <w:p>
      <w:pPr>
        <w:ind w:left="200" w:right="560"/>
        <w:spacing w:after="0" w:line="246" w:lineRule="auto"/>
        <w:rPr>
          <w:sz w:val="20"/>
          <w:szCs w:val="20"/>
          <w:color w:val="auto"/>
        </w:rPr>
      </w:pPr>
      <w:r>
        <w:rPr>
          <w:rFonts w:ascii="Arial" w:cs="Arial" w:eastAsia="Arial" w:hAnsi="Arial"/>
          <w:sz w:val="18"/>
          <w:szCs w:val="18"/>
          <w:color w:val="auto"/>
        </w:rPr>
        <w:t>The information included in the table below reflects elective deferrals, Company matching contributions,</w:t>
      </w:r>
    </w:p>
    <w:p>
      <w:pPr>
        <w:spacing w:after="0" w:line="20" w:lineRule="exact"/>
        <w:rPr>
          <w:sz w:val="20"/>
          <w:szCs w:val="20"/>
          <w:color w:val="auto"/>
        </w:rPr>
      </w:pPr>
      <w:r>
        <w:rPr>
          <w:sz w:val="20"/>
          <w:szCs w:val="20"/>
          <w:color w:val="auto"/>
        </w:rPr>
        <w:br w:type="column"/>
      </w:r>
    </w:p>
    <w:p>
      <w:pPr>
        <w:spacing w:after="0" w:line="303"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dividends credited to the participants’ accounts during 2018, aggregate withdrawals and the aggregate balance of deferred compensation accounts at December 31, 2018. Because deferrals, along with any matching contributions, related to annual incentive payouts under the EIP or the prior annual incentive plan, the Key Employees Incentive Plan (“KEIP”), are credited in the year after they are earned, these amounts differ from the annual incentive payments in the Summary Compensation Table, which, for each year, reflect amounts earned in that year.</w:t>
      </w:r>
    </w:p>
    <w:p>
      <w:pPr>
        <w:spacing w:after="0" w:line="521" w:lineRule="exact"/>
        <w:rPr>
          <w:sz w:val="20"/>
          <w:szCs w:val="20"/>
          <w:color w:val="auto"/>
        </w:rPr>
      </w:pPr>
    </w:p>
    <w:p>
      <w:pPr>
        <w:sectPr>
          <w:pgSz w:w="11900" w:h="16838" w:orient="portrait"/>
          <w:cols w:equalWidth="0" w:num="2">
            <w:col w:w="5480" w:space="340"/>
            <w:col w:w="5420"/>
          </w:cols>
          <w:pgMar w:left="240" w:top="459" w:right="419" w:bottom="1440" w:gutter="0" w:footer="0" w:header="0"/>
          <w:type w:val="continuous"/>
        </w:sectPr>
      </w:pPr>
    </w:p>
    <w:p>
      <w:pPr>
        <w:spacing w:after="0" w:line="39"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3260" w:type="dxa"/>
            <w:vAlign w:val="bottom"/>
          </w:tcPr>
          <w:p>
            <w:pPr>
              <w:spacing w:after="0"/>
              <w:rPr>
                <w:sz w:val="14"/>
                <w:szCs w:val="14"/>
                <w:color w:val="auto"/>
              </w:rPr>
            </w:pPr>
          </w:p>
        </w:tc>
        <w:tc>
          <w:tcPr>
            <w:tcW w:w="1700" w:type="dxa"/>
            <w:vAlign w:val="bottom"/>
          </w:tcPr>
          <w:p>
            <w:pPr>
              <w:jc w:val="center"/>
              <w:ind w:left="380"/>
              <w:spacing w:after="0"/>
              <w:rPr>
                <w:sz w:val="20"/>
                <w:szCs w:val="20"/>
                <w:color w:val="auto"/>
              </w:rPr>
            </w:pPr>
            <w:r>
              <w:rPr>
                <w:rFonts w:ascii="Arial" w:cs="Arial" w:eastAsia="Arial" w:hAnsi="Arial"/>
                <w:sz w:val="14"/>
                <w:szCs w:val="14"/>
                <w:b w:val="1"/>
                <w:bCs w:val="1"/>
                <w:color w:val="0033A0"/>
              </w:rPr>
              <w:t>Executive</w:t>
            </w:r>
          </w:p>
        </w:tc>
        <w:tc>
          <w:tcPr>
            <w:tcW w:w="1940" w:type="dxa"/>
            <w:vAlign w:val="bottom"/>
          </w:tcPr>
          <w:p>
            <w:pPr>
              <w:jc w:val="center"/>
              <w:ind w:left="140"/>
              <w:spacing w:after="0"/>
              <w:rPr>
                <w:sz w:val="20"/>
                <w:szCs w:val="20"/>
                <w:color w:val="auto"/>
              </w:rPr>
            </w:pPr>
            <w:r>
              <w:rPr>
                <w:rFonts w:ascii="Arial" w:cs="Arial" w:eastAsia="Arial" w:hAnsi="Arial"/>
                <w:sz w:val="14"/>
                <w:szCs w:val="14"/>
                <w:b w:val="1"/>
                <w:bCs w:val="1"/>
                <w:color w:val="0033A0"/>
              </w:rPr>
              <w:t>Company</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0033A0"/>
              </w:rPr>
              <w:t>Aggregate</w:t>
            </w:r>
          </w:p>
        </w:tc>
        <w:tc>
          <w:tcPr>
            <w:tcW w:w="1500" w:type="dxa"/>
            <w:vAlign w:val="bottom"/>
          </w:tcPr>
          <w:p>
            <w:pPr>
              <w:spacing w:after="0"/>
              <w:rPr>
                <w:sz w:val="14"/>
                <w:szCs w:val="14"/>
                <w:color w:val="auto"/>
              </w:rPr>
            </w:pPr>
          </w:p>
        </w:tc>
        <w:tc>
          <w:tcPr>
            <w:tcW w:w="1200" w:type="dxa"/>
            <w:vAlign w:val="bottom"/>
            <w:gridSpan w:val="3"/>
          </w:tcPr>
          <w:p>
            <w:pPr>
              <w:jc w:val="center"/>
              <w:ind w:left="121"/>
              <w:spacing w:after="0"/>
              <w:rPr>
                <w:sz w:val="20"/>
                <w:szCs w:val="20"/>
                <w:color w:val="auto"/>
              </w:rPr>
            </w:pPr>
            <w:r>
              <w:rPr>
                <w:rFonts w:ascii="Arial" w:cs="Arial" w:eastAsia="Arial" w:hAnsi="Arial"/>
                <w:sz w:val="14"/>
                <w:szCs w:val="14"/>
                <w:b w:val="1"/>
                <w:bCs w:val="1"/>
                <w:color w:val="0033A0"/>
              </w:rPr>
              <w:t>Aggregate</w:t>
            </w:r>
          </w:p>
        </w:tc>
        <w:tc>
          <w:tcPr>
            <w:tcW w:w="0" w:type="dxa"/>
            <w:vAlign w:val="bottom"/>
          </w:tcPr>
          <w:p>
            <w:pPr>
              <w:spacing w:after="0"/>
              <w:rPr>
                <w:sz w:val="1"/>
                <w:szCs w:val="1"/>
                <w:color w:val="auto"/>
              </w:rPr>
            </w:pPr>
          </w:p>
        </w:tc>
      </w:tr>
      <w:tr>
        <w:trPr>
          <w:trHeight w:val="162"/>
        </w:trPr>
        <w:tc>
          <w:tcPr>
            <w:tcW w:w="3260" w:type="dxa"/>
            <w:vAlign w:val="bottom"/>
          </w:tcPr>
          <w:p>
            <w:pPr>
              <w:spacing w:after="0"/>
              <w:rPr>
                <w:sz w:val="14"/>
                <w:szCs w:val="14"/>
                <w:color w:val="auto"/>
              </w:rPr>
            </w:pPr>
          </w:p>
        </w:tc>
        <w:tc>
          <w:tcPr>
            <w:tcW w:w="1700" w:type="dxa"/>
            <w:vAlign w:val="bottom"/>
          </w:tcPr>
          <w:p>
            <w:pPr>
              <w:jc w:val="center"/>
              <w:ind w:left="380"/>
              <w:spacing w:after="0"/>
              <w:rPr>
                <w:sz w:val="20"/>
                <w:szCs w:val="20"/>
                <w:color w:val="auto"/>
              </w:rPr>
            </w:pPr>
            <w:r>
              <w:rPr>
                <w:rFonts w:ascii="Arial" w:cs="Arial" w:eastAsia="Arial" w:hAnsi="Arial"/>
                <w:sz w:val="14"/>
                <w:szCs w:val="14"/>
                <w:b w:val="1"/>
                <w:bCs w:val="1"/>
                <w:color w:val="0033A0"/>
              </w:rPr>
              <w:t>Contributions in</w:t>
            </w:r>
          </w:p>
        </w:tc>
        <w:tc>
          <w:tcPr>
            <w:tcW w:w="1940" w:type="dxa"/>
            <w:vAlign w:val="bottom"/>
          </w:tcPr>
          <w:p>
            <w:pPr>
              <w:jc w:val="center"/>
              <w:ind w:left="140"/>
              <w:spacing w:after="0"/>
              <w:rPr>
                <w:sz w:val="20"/>
                <w:szCs w:val="20"/>
                <w:color w:val="auto"/>
              </w:rPr>
            </w:pPr>
            <w:r>
              <w:rPr>
                <w:rFonts w:ascii="Arial" w:cs="Arial" w:eastAsia="Arial" w:hAnsi="Arial"/>
                <w:sz w:val="14"/>
                <w:szCs w:val="14"/>
                <w:b w:val="1"/>
                <w:bCs w:val="1"/>
                <w:color w:val="0033A0"/>
              </w:rPr>
              <w:t>Contributions in</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0033A0"/>
              </w:rPr>
              <w:t>Earnings in</w:t>
            </w:r>
          </w:p>
        </w:tc>
        <w:tc>
          <w:tcPr>
            <w:tcW w:w="1500" w:type="dxa"/>
            <w:vAlign w:val="bottom"/>
          </w:tcPr>
          <w:p>
            <w:pPr>
              <w:jc w:val="right"/>
              <w:ind w:right="317"/>
              <w:spacing w:after="0"/>
              <w:rPr>
                <w:sz w:val="20"/>
                <w:szCs w:val="20"/>
                <w:color w:val="auto"/>
              </w:rPr>
            </w:pPr>
            <w:r>
              <w:rPr>
                <w:rFonts w:ascii="Arial" w:cs="Arial" w:eastAsia="Arial" w:hAnsi="Arial"/>
                <w:sz w:val="14"/>
                <w:szCs w:val="14"/>
                <w:b w:val="1"/>
                <w:bCs w:val="1"/>
                <w:color w:val="0033A0"/>
              </w:rPr>
              <w:t>Aggregate</w:t>
            </w:r>
          </w:p>
        </w:tc>
        <w:tc>
          <w:tcPr>
            <w:tcW w:w="1200" w:type="dxa"/>
            <w:vAlign w:val="bottom"/>
            <w:gridSpan w:val="3"/>
          </w:tcPr>
          <w:p>
            <w:pPr>
              <w:jc w:val="center"/>
              <w:ind w:left="121"/>
              <w:spacing w:after="0"/>
              <w:rPr>
                <w:sz w:val="20"/>
                <w:szCs w:val="20"/>
                <w:color w:val="auto"/>
              </w:rPr>
            </w:pPr>
            <w:r>
              <w:rPr>
                <w:rFonts w:ascii="Arial" w:cs="Arial" w:eastAsia="Arial" w:hAnsi="Arial"/>
                <w:sz w:val="14"/>
                <w:szCs w:val="14"/>
                <w:b w:val="1"/>
                <w:bCs w:val="1"/>
                <w:color w:val="0033A0"/>
              </w:rPr>
              <w:t>Balance at</w:t>
            </w:r>
          </w:p>
        </w:tc>
        <w:tc>
          <w:tcPr>
            <w:tcW w:w="0" w:type="dxa"/>
            <w:vAlign w:val="bottom"/>
          </w:tcPr>
          <w:p>
            <w:pPr>
              <w:spacing w:after="0"/>
              <w:rPr>
                <w:sz w:val="1"/>
                <w:szCs w:val="1"/>
                <w:color w:val="auto"/>
              </w:rPr>
            </w:pPr>
          </w:p>
        </w:tc>
      </w:tr>
      <w:tr>
        <w:trPr>
          <w:trHeight w:val="159"/>
        </w:trPr>
        <w:tc>
          <w:tcPr>
            <w:tcW w:w="3260" w:type="dxa"/>
            <w:vAlign w:val="bottom"/>
          </w:tcPr>
          <w:p>
            <w:pPr>
              <w:spacing w:after="0"/>
              <w:rPr>
                <w:sz w:val="13"/>
                <w:szCs w:val="13"/>
                <w:color w:val="auto"/>
              </w:rPr>
            </w:pPr>
          </w:p>
        </w:tc>
        <w:tc>
          <w:tcPr>
            <w:tcW w:w="1700" w:type="dxa"/>
            <w:vAlign w:val="bottom"/>
          </w:tcPr>
          <w:p>
            <w:pPr>
              <w:jc w:val="center"/>
              <w:ind w:left="340"/>
              <w:spacing w:after="0" w:line="159" w:lineRule="exact"/>
              <w:rPr>
                <w:sz w:val="20"/>
                <w:szCs w:val="20"/>
                <w:color w:val="auto"/>
              </w:rPr>
            </w:pPr>
            <w:r>
              <w:rPr>
                <w:rFonts w:ascii="Arial" w:cs="Arial" w:eastAsia="Arial" w:hAnsi="Arial"/>
                <w:sz w:val="14"/>
                <w:szCs w:val="14"/>
                <w:b w:val="1"/>
                <w:bCs w:val="1"/>
                <w:color w:val="0033A0"/>
              </w:rPr>
              <w:t>Last Fiscal</w:t>
            </w:r>
          </w:p>
        </w:tc>
        <w:tc>
          <w:tcPr>
            <w:tcW w:w="1940" w:type="dxa"/>
            <w:vAlign w:val="bottom"/>
          </w:tcPr>
          <w:p>
            <w:pPr>
              <w:jc w:val="center"/>
              <w:ind w:left="100"/>
              <w:spacing w:after="0" w:line="159" w:lineRule="exact"/>
              <w:rPr>
                <w:sz w:val="20"/>
                <w:szCs w:val="20"/>
                <w:color w:val="auto"/>
              </w:rPr>
            </w:pPr>
            <w:r>
              <w:rPr>
                <w:rFonts w:ascii="Arial" w:cs="Arial" w:eastAsia="Arial" w:hAnsi="Arial"/>
                <w:sz w:val="14"/>
                <w:szCs w:val="14"/>
                <w:b w:val="1"/>
                <w:bCs w:val="1"/>
                <w:color w:val="0033A0"/>
              </w:rPr>
              <w:t>Last Fiscal</w:t>
            </w:r>
          </w:p>
        </w:tc>
        <w:tc>
          <w:tcPr>
            <w:tcW w:w="1420" w:type="dxa"/>
            <w:vAlign w:val="bottom"/>
          </w:tcPr>
          <w:p>
            <w:pPr>
              <w:jc w:val="center"/>
              <w:ind w:right="20"/>
              <w:spacing w:after="0" w:line="159" w:lineRule="exact"/>
              <w:rPr>
                <w:sz w:val="20"/>
                <w:szCs w:val="20"/>
                <w:color w:val="auto"/>
              </w:rPr>
            </w:pPr>
            <w:r>
              <w:rPr>
                <w:rFonts w:ascii="Arial" w:cs="Arial" w:eastAsia="Arial" w:hAnsi="Arial"/>
                <w:sz w:val="14"/>
                <w:szCs w:val="14"/>
                <w:b w:val="1"/>
                <w:bCs w:val="1"/>
                <w:color w:val="0033A0"/>
              </w:rPr>
              <w:t>Last Fiscal</w:t>
            </w:r>
          </w:p>
        </w:tc>
        <w:tc>
          <w:tcPr>
            <w:tcW w:w="1500" w:type="dxa"/>
            <w:vAlign w:val="bottom"/>
          </w:tcPr>
          <w:p>
            <w:pPr>
              <w:jc w:val="right"/>
              <w:ind w:right="237"/>
              <w:spacing w:after="0" w:line="159" w:lineRule="exact"/>
              <w:rPr>
                <w:sz w:val="20"/>
                <w:szCs w:val="20"/>
                <w:color w:val="auto"/>
              </w:rPr>
            </w:pPr>
            <w:r>
              <w:rPr>
                <w:rFonts w:ascii="Arial" w:cs="Arial" w:eastAsia="Arial" w:hAnsi="Arial"/>
                <w:sz w:val="14"/>
                <w:szCs w:val="14"/>
                <w:b w:val="1"/>
                <w:bCs w:val="1"/>
                <w:color w:val="0033A0"/>
              </w:rPr>
              <w:t>Withdrawals/</w:t>
            </w:r>
          </w:p>
        </w:tc>
        <w:tc>
          <w:tcPr>
            <w:tcW w:w="1200" w:type="dxa"/>
            <w:vAlign w:val="bottom"/>
            <w:gridSpan w:val="3"/>
          </w:tcPr>
          <w:p>
            <w:pPr>
              <w:jc w:val="center"/>
              <w:ind w:left="101"/>
              <w:spacing w:after="0" w:line="159" w:lineRule="exact"/>
              <w:rPr>
                <w:sz w:val="20"/>
                <w:szCs w:val="20"/>
                <w:color w:val="auto"/>
              </w:rPr>
            </w:pPr>
            <w:r>
              <w:rPr>
                <w:rFonts w:ascii="Arial" w:cs="Arial" w:eastAsia="Arial" w:hAnsi="Arial"/>
                <w:sz w:val="14"/>
                <w:szCs w:val="14"/>
                <w:b w:val="1"/>
                <w:bCs w:val="1"/>
                <w:color w:val="0033A0"/>
              </w:rPr>
              <w:t>Last Fiscal</w:t>
            </w:r>
          </w:p>
        </w:tc>
        <w:tc>
          <w:tcPr>
            <w:tcW w:w="0" w:type="dxa"/>
            <w:vAlign w:val="bottom"/>
          </w:tcPr>
          <w:p>
            <w:pPr>
              <w:spacing w:after="0"/>
              <w:rPr>
                <w:sz w:val="1"/>
                <w:szCs w:val="1"/>
                <w:color w:val="auto"/>
              </w:rPr>
            </w:pPr>
          </w:p>
        </w:tc>
      </w:tr>
      <w:tr>
        <w:trPr>
          <w:trHeight w:val="166"/>
        </w:trPr>
        <w:tc>
          <w:tcPr>
            <w:tcW w:w="3260" w:type="dxa"/>
            <w:vAlign w:val="bottom"/>
          </w:tcPr>
          <w:p>
            <w:pPr>
              <w:spacing w:after="0"/>
              <w:rPr>
                <w:sz w:val="14"/>
                <w:szCs w:val="14"/>
                <w:color w:val="auto"/>
              </w:rPr>
            </w:pPr>
          </w:p>
        </w:tc>
        <w:tc>
          <w:tcPr>
            <w:tcW w:w="1700" w:type="dxa"/>
            <w:vAlign w:val="bottom"/>
          </w:tcPr>
          <w:p>
            <w:pPr>
              <w:jc w:val="center"/>
              <w:ind w:left="380"/>
              <w:spacing w:after="0" w:line="165" w:lineRule="exact"/>
              <w:rPr>
                <w:sz w:val="20"/>
                <w:szCs w:val="20"/>
                <w:color w:val="auto"/>
              </w:rPr>
            </w:pPr>
            <w:r>
              <w:rPr>
                <w:rFonts w:ascii="Arial" w:cs="Arial" w:eastAsia="Arial" w:hAnsi="Arial"/>
                <w:sz w:val="12"/>
                <w:szCs w:val="12"/>
                <w:b w:val="1"/>
                <w:bCs w:val="1"/>
                <w:color w:val="0033A0"/>
              </w:rPr>
              <w:t>Year</w:t>
            </w:r>
            <w:r>
              <w:rPr>
                <w:rFonts w:ascii="Arial" w:cs="Arial" w:eastAsia="Arial" w:hAnsi="Arial"/>
                <w:sz w:val="19"/>
                <w:szCs w:val="19"/>
                <w:b w:val="1"/>
                <w:bCs w:val="1"/>
                <w:color w:val="0033A0"/>
                <w:vertAlign w:val="superscript"/>
              </w:rPr>
              <w:t>(1)</w:t>
            </w:r>
          </w:p>
        </w:tc>
        <w:tc>
          <w:tcPr>
            <w:tcW w:w="1940" w:type="dxa"/>
            <w:vAlign w:val="bottom"/>
          </w:tcPr>
          <w:p>
            <w:pPr>
              <w:jc w:val="center"/>
              <w:ind w:left="140"/>
              <w:spacing w:after="0" w:line="165" w:lineRule="exact"/>
              <w:rPr>
                <w:sz w:val="20"/>
                <w:szCs w:val="20"/>
                <w:color w:val="auto"/>
              </w:rPr>
            </w:pPr>
            <w:r>
              <w:rPr>
                <w:rFonts w:ascii="Arial" w:cs="Arial" w:eastAsia="Arial" w:hAnsi="Arial"/>
                <w:sz w:val="12"/>
                <w:szCs w:val="12"/>
                <w:b w:val="1"/>
                <w:bCs w:val="1"/>
                <w:color w:val="0033A0"/>
              </w:rPr>
              <w:t>Year</w:t>
            </w:r>
            <w:r>
              <w:rPr>
                <w:rFonts w:ascii="Arial" w:cs="Arial" w:eastAsia="Arial" w:hAnsi="Arial"/>
                <w:sz w:val="19"/>
                <w:szCs w:val="19"/>
                <w:b w:val="1"/>
                <w:bCs w:val="1"/>
                <w:color w:val="0033A0"/>
                <w:vertAlign w:val="superscript"/>
              </w:rPr>
              <w:t>(2)</w:t>
            </w:r>
          </w:p>
        </w:tc>
        <w:tc>
          <w:tcPr>
            <w:tcW w:w="1420" w:type="dxa"/>
            <w:vAlign w:val="bottom"/>
          </w:tcPr>
          <w:p>
            <w:pPr>
              <w:jc w:val="center"/>
              <w:spacing w:after="0" w:line="165" w:lineRule="exact"/>
              <w:rPr>
                <w:sz w:val="20"/>
                <w:szCs w:val="20"/>
                <w:color w:val="auto"/>
              </w:rPr>
            </w:pPr>
            <w:r>
              <w:rPr>
                <w:rFonts w:ascii="Arial" w:cs="Arial" w:eastAsia="Arial" w:hAnsi="Arial"/>
                <w:sz w:val="12"/>
                <w:szCs w:val="12"/>
                <w:b w:val="1"/>
                <w:bCs w:val="1"/>
                <w:color w:val="0033A0"/>
              </w:rPr>
              <w:t>Year</w:t>
            </w:r>
            <w:r>
              <w:rPr>
                <w:rFonts w:ascii="Arial" w:cs="Arial" w:eastAsia="Arial" w:hAnsi="Arial"/>
                <w:sz w:val="19"/>
                <w:szCs w:val="19"/>
                <w:b w:val="1"/>
                <w:bCs w:val="1"/>
                <w:color w:val="0033A0"/>
                <w:vertAlign w:val="superscript"/>
              </w:rPr>
              <w:t>(3)</w:t>
            </w:r>
          </w:p>
        </w:tc>
        <w:tc>
          <w:tcPr>
            <w:tcW w:w="1500" w:type="dxa"/>
            <w:vAlign w:val="bottom"/>
          </w:tcPr>
          <w:p>
            <w:pPr>
              <w:jc w:val="right"/>
              <w:ind w:right="237"/>
              <w:spacing w:after="0"/>
              <w:rPr>
                <w:sz w:val="20"/>
                <w:szCs w:val="20"/>
                <w:color w:val="auto"/>
              </w:rPr>
            </w:pPr>
            <w:r>
              <w:rPr>
                <w:rFonts w:ascii="Arial" w:cs="Arial" w:eastAsia="Arial" w:hAnsi="Arial"/>
                <w:sz w:val="14"/>
                <w:szCs w:val="14"/>
                <w:b w:val="1"/>
                <w:bCs w:val="1"/>
                <w:color w:val="0033A0"/>
              </w:rPr>
              <w:t>Distributions</w:t>
            </w:r>
          </w:p>
        </w:tc>
        <w:tc>
          <w:tcPr>
            <w:tcW w:w="1200" w:type="dxa"/>
            <w:vAlign w:val="bottom"/>
            <w:gridSpan w:val="3"/>
          </w:tcPr>
          <w:p>
            <w:pPr>
              <w:jc w:val="center"/>
              <w:ind w:left="121"/>
              <w:spacing w:after="0" w:line="165" w:lineRule="exact"/>
              <w:rPr>
                <w:sz w:val="20"/>
                <w:szCs w:val="20"/>
                <w:color w:val="auto"/>
              </w:rPr>
            </w:pPr>
            <w:r>
              <w:rPr>
                <w:rFonts w:ascii="Arial" w:cs="Arial" w:eastAsia="Arial" w:hAnsi="Arial"/>
                <w:sz w:val="12"/>
                <w:szCs w:val="12"/>
                <w:b w:val="1"/>
                <w:bCs w:val="1"/>
                <w:color w:val="0033A0"/>
              </w:rPr>
              <w:t>Year End</w:t>
            </w:r>
            <w:r>
              <w:rPr>
                <w:rFonts w:ascii="Arial" w:cs="Arial" w:eastAsia="Arial" w:hAnsi="Arial"/>
                <w:sz w:val="19"/>
                <w:szCs w:val="19"/>
                <w:b w:val="1"/>
                <w:bCs w:val="1"/>
                <w:color w:val="0033A0"/>
                <w:vertAlign w:val="superscript"/>
              </w:rPr>
              <w:t>(4)</w:t>
            </w:r>
          </w:p>
        </w:tc>
        <w:tc>
          <w:tcPr>
            <w:tcW w:w="0" w:type="dxa"/>
            <w:vAlign w:val="bottom"/>
          </w:tcPr>
          <w:p>
            <w:pPr>
              <w:spacing w:after="0"/>
              <w:rPr>
                <w:sz w:val="1"/>
                <w:szCs w:val="1"/>
                <w:color w:val="auto"/>
              </w:rPr>
            </w:pPr>
          </w:p>
        </w:tc>
      </w:tr>
      <w:tr>
        <w:trPr>
          <w:trHeight w:val="175"/>
        </w:trPr>
        <w:tc>
          <w:tcPr>
            <w:tcW w:w="3260" w:type="dxa"/>
            <w:vAlign w:val="bottom"/>
            <w:tcBorders>
              <w:bottom w:val="single" w:sz="8" w:color="0033A0"/>
            </w:tcBorders>
          </w:tcPr>
          <w:p>
            <w:pPr>
              <w:ind w:left="60"/>
              <w:spacing w:after="0"/>
              <w:rPr>
                <w:sz w:val="20"/>
                <w:szCs w:val="20"/>
                <w:color w:val="auto"/>
              </w:rPr>
            </w:pPr>
            <w:r>
              <w:rPr>
                <w:rFonts w:ascii="Arial" w:cs="Arial" w:eastAsia="Arial" w:hAnsi="Arial"/>
                <w:sz w:val="14"/>
                <w:szCs w:val="14"/>
                <w:b w:val="1"/>
                <w:bCs w:val="1"/>
                <w:color w:val="0033A0"/>
              </w:rPr>
              <w:t>Name</w:t>
            </w:r>
          </w:p>
        </w:tc>
        <w:tc>
          <w:tcPr>
            <w:tcW w:w="1700" w:type="dxa"/>
            <w:vAlign w:val="bottom"/>
            <w:tcBorders>
              <w:bottom w:val="single" w:sz="8" w:color="0033A0"/>
            </w:tcBorders>
          </w:tcPr>
          <w:p>
            <w:pPr>
              <w:jc w:val="center"/>
              <w:ind w:left="380"/>
              <w:spacing w:after="0"/>
              <w:rPr>
                <w:sz w:val="20"/>
                <w:szCs w:val="20"/>
                <w:color w:val="auto"/>
              </w:rPr>
            </w:pPr>
            <w:r>
              <w:rPr>
                <w:rFonts w:ascii="Arial" w:cs="Arial" w:eastAsia="Arial" w:hAnsi="Arial"/>
                <w:sz w:val="14"/>
                <w:szCs w:val="14"/>
                <w:b w:val="1"/>
                <w:bCs w:val="1"/>
                <w:color w:val="0033A0"/>
                <w:w w:val="93"/>
              </w:rPr>
              <w:t>($)</w:t>
            </w:r>
          </w:p>
        </w:tc>
        <w:tc>
          <w:tcPr>
            <w:tcW w:w="1940" w:type="dxa"/>
            <w:vAlign w:val="bottom"/>
            <w:tcBorders>
              <w:bottom w:val="single" w:sz="8" w:color="0033A0"/>
            </w:tcBorders>
          </w:tcPr>
          <w:p>
            <w:pPr>
              <w:jc w:val="center"/>
              <w:ind w:left="140"/>
              <w:spacing w:after="0"/>
              <w:rPr>
                <w:sz w:val="20"/>
                <w:szCs w:val="20"/>
                <w:color w:val="auto"/>
              </w:rPr>
            </w:pPr>
            <w:r>
              <w:rPr>
                <w:rFonts w:ascii="Arial" w:cs="Arial" w:eastAsia="Arial" w:hAnsi="Arial"/>
                <w:sz w:val="14"/>
                <w:szCs w:val="14"/>
                <w:b w:val="1"/>
                <w:bCs w:val="1"/>
                <w:color w:val="0033A0"/>
                <w:w w:val="93"/>
              </w:rPr>
              <w:t>($)</w:t>
            </w:r>
          </w:p>
        </w:tc>
        <w:tc>
          <w:tcPr>
            <w:tcW w:w="1420" w:type="dxa"/>
            <w:vAlign w:val="bottom"/>
            <w:tcBorders>
              <w:bottom w:val="single" w:sz="8" w:color="0033A0"/>
            </w:tcBorders>
          </w:tcPr>
          <w:p>
            <w:pPr>
              <w:jc w:val="center"/>
              <w:spacing w:after="0"/>
              <w:rPr>
                <w:sz w:val="20"/>
                <w:szCs w:val="20"/>
                <w:color w:val="auto"/>
              </w:rPr>
            </w:pPr>
            <w:r>
              <w:rPr>
                <w:rFonts w:ascii="Arial" w:cs="Arial" w:eastAsia="Arial" w:hAnsi="Arial"/>
                <w:sz w:val="14"/>
                <w:szCs w:val="14"/>
                <w:b w:val="1"/>
                <w:bCs w:val="1"/>
                <w:color w:val="0033A0"/>
                <w:w w:val="93"/>
              </w:rPr>
              <w:t>($)</w:t>
            </w:r>
          </w:p>
        </w:tc>
        <w:tc>
          <w:tcPr>
            <w:tcW w:w="1500" w:type="dxa"/>
            <w:vAlign w:val="bottom"/>
            <w:tcBorders>
              <w:bottom w:val="single" w:sz="8" w:color="0033A0"/>
            </w:tcBorders>
          </w:tcPr>
          <w:p>
            <w:pPr>
              <w:jc w:val="right"/>
              <w:ind w:right="597"/>
              <w:spacing w:after="0"/>
              <w:rPr>
                <w:sz w:val="20"/>
                <w:szCs w:val="20"/>
                <w:color w:val="auto"/>
              </w:rPr>
            </w:pPr>
            <w:r>
              <w:rPr>
                <w:rFonts w:ascii="Arial" w:cs="Arial" w:eastAsia="Arial" w:hAnsi="Arial"/>
                <w:sz w:val="14"/>
                <w:szCs w:val="14"/>
                <w:b w:val="1"/>
                <w:bCs w:val="1"/>
                <w:color w:val="0033A0"/>
              </w:rPr>
              <w:t>($)</w:t>
            </w:r>
          </w:p>
        </w:tc>
        <w:tc>
          <w:tcPr>
            <w:tcW w:w="580" w:type="dxa"/>
            <w:vAlign w:val="bottom"/>
            <w:tcBorders>
              <w:bottom w:val="single" w:sz="8" w:color="0033A0"/>
            </w:tcBorders>
          </w:tcPr>
          <w:p>
            <w:pPr>
              <w:spacing w:after="0"/>
              <w:rPr>
                <w:sz w:val="15"/>
                <w:szCs w:val="15"/>
                <w:color w:val="auto"/>
              </w:rPr>
            </w:pPr>
          </w:p>
        </w:tc>
        <w:tc>
          <w:tcPr>
            <w:tcW w:w="620" w:type="dxa"/>
            <w:vAlign w:val="bottom"/>
            <w:tcBorders>
              <w:bottom w:val="single" w:sz="8" w:color="0033A0"/>
            </w:tcBorders>
            <w:gridSpan w:val="2"/>
          </w:tcPr>
          <w:p>
            <w:pPr>
              <w:jc w:val="center"/>
              <w:ind w:right="290"/>
              <w:spacing w:after="0"/>
              <w:rPr>
                <w:sz w:val="20"/>
                <w:szCs w:val="20"/>
                <w:color w:val="auto"/>
              </w:rPr>
            </w:pPr>
            <w:r>
              <w:rPr>
                <w:rFonts w:ascii="Arial" w:cs="Arial" w:eastAsia="Arial" w:hAnsi="Arial"/>
                <w:sz w:val="14"/>
                <w:szCs w:val="14"/>
                <w:b w:val="1"/>
                <w:bCs w:val="1"/>
                <w:color w:val="0033A0"/>
                <w:w w:val="93"/>
              </w:rPr>
              <w:t>($)</w:t>
            </w:r>
          </w:p>
        </w:tc>
        <w:tc>
          <w:tcPr>
            <w:tcW w:w="0" w:type="dxa"/>
            <w:vAlign w:val="bottom"/>
          </w:tcPr>
          <w:p>
            <w:pPr>
              <w:spacing w:after="0"/>
              <w:rPr>
                <w:sz w:val="1"/>
                <w:szCs w:val="1"/>
                <w:color w:val="auto"/>
              </w:rPr>
            </w:pPr>
          </w:p>
        </w:tc>
      </w:tr>
      <w:tr>
        <w:trPr>
          <w:trHeight w:val="21"/>
        </w:trPr>
        <w:tc>
          <w:tcPr>
            <w:tcW w:w="32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260" w:type="dxa"/>
            <w:vAlign w:val="bottom"/>
            <w:tcBorders>
              <w:bottom w:val="single" w:sz="8" w:color="E5EAF5"/>
            </w:tcBorders>
            <w:shd w:val="clear" w:color="auto" w:fill="E5EAF5"/>
          </w:tcPr>
          <w:p>
            <w:pPr>
              <w:ind w:left="60"/>
              <w:spacing w:after="0"/>
              <w:rPr>
                <w:sz w:val="20"/>
                <w:szCs w:val="20"/>
                <w:color w:val="auto"/>
              </w:rPr>
            </w:pPr>
            <w:r>
              <w:rPr>
                <w:rFonts w:ascii="Arial" w:cs="Arial" w:eastAsia="Arial" w:hAnsi="Arial"/>
                <w:sz w:val="18"/>
                <w:szCs w:val="18"/>
                <w:color w:val="auto"/>
              </w:rPr>
              <w:t>Douglas A. Pertz</w:t>
            </w:r>
          </w:p>
        </w:tc>
        <w:tc>
          <w:tcPr>
            <w:tcW w:w="1700" w:type="dxa"/>
            <w:vAlign w:val="bottom"/>
            <w:tcBorders>
              <w:bottom w:val="single" w:sz="8" w:color="E5EAF5"/>
            </w:tcBorders>
            <w:shd w:val="clear" w:color="auto" w:fill="E5EAF5"/>
          </w:tcPr>
          <w:p>
            <w:pPr>
              <w:jc w:val="right"/>
              <w:spacing w:after="0"/>
              <w:rPr>
                <w:sz w:val="20"/>
                <w:szCs w:val="20"/>
                <w:color w:val="auto"/>
              </w:rPr>
            </w:pPr>
            <w:r>
              <w:rPr>
                <w:rFonts w:ascii="Arial" w:cs="Arial" w:eastAsia="Arial" w:hAnsi="Arial"/>
                <w:sz w:val="18"/>
                <w:szCs w:val="18"/>
                <w:color w:val="auto"/>
              </w:rPr>
              <w:t>375,013</w:t>
            </w:r>
          </w:p>
        </w:tc>
        <w:tc>
          <w:tcPr>
            <w:tcW w:w="1940" w:type="dxa"/>
            <w:vAlign w:val="bottom"/>
            <w:tcBorders>
              <w:bottom w:val="single" w:sz="8" w:color="E5EAF5"/>
            </w:tcBorders>
            <w:shd w:val="clear" w:color="auto" w:fill="E5EAF5"/>
          </w:tcPr>
          <w:p>
            <w:pPr>
              <w:jc w:val="right"/>
              <w:ind w:right="220"/>
              <w:spacing w:after="0"/>
              <w:rPr>
                <w:sz w:val="20"/>
                <w:szCs w:val="20"/>
                <w:color w:val="auto"/>
              </w:rPr>
            </w:pPr>
            <w:r>
              <w:rPr>
                <w:rFonts w:ascii="Arial" w:cs="Arial" w:eastAsia="Arial" w:hAnsi="Arial"/>
                <w:sz w:val="18"/>
                <w:szCs w:val="18"/>
                <w:color w:val="auto"/>
              </w:rPr>
              <w:t>375,013</w:t>
            </w:r>
          </w:p>
        </w:tc>
        <w:tc>
          <w:tcPr>
            <w:tcW w:w="1420" w:type="dxa"/>
            <w:vAlign w:val="bottom"/>
            <w:tcBorders>
              <w:bottom w:val="single" w:sz="8" w:color="E5EAF5"/>
            </w:tcBorders>
            <w:shd w:val="clear" w:color="auto" w:fill="E5EAF5"/>
          </w:tcPr>
          <w:p>
            <w:pPr>
              <w:jc w:val="right"/>
              <w:ind w:right="200"/>
              <w:spacing w:after="0"/>
              <w:rPr>
                <w:sz w:val="20"/>
                <w:szCs w:val="20"/>
                <w:color w:val="auto"/>
              </w:rPr>
            </w:pPr>
            <w:r>
              <w:rPr>
                <w:rFonts w:ascii="Arial" w:cs="Arial" w:eastAsia="Arial" w:hAnsi="Arial"/>
                <w:sz w:val="18"/>
                <w:szCs w:val="18"/>
                <w:color w:val="auto"/>
              </w:rPr>
              <w:t>(110,931)</w:t>
            </w:r>
          </w:p>
        </w:tc>
        <w:tc>
          <w:tcPr>
            <w:tcW w:w="1500" w:type="dxa"/>
            <w:vAlign w:val="bottom"/>
            <w:tcBorders>
              <w:bottom w:val="single" w:sz="8" w:color="E5EAF5"/>
            </w:tcBorders>
            <w:shd w:val="clear" w:color="auto" w:fill="E5EAF5"/>
          </w:tcPr>
          <w:p>
            <w:pPr>
              <w:jc w:val="right"/>
              <w:ind w:right="237"/>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E5EAF5"/>
            </w:tcBorders>
            <w:gridSpan w:val="3"/>
            <w:shd w:val="clear" w:color="auto" w:fill="E5EAF5"/>
          </w:tcPr>
          <w:p>
            <w:pPr>
              <w:jc w:val="right"/>
              <w:spacing w:after="0"/>
              <w:rPr>
                <w:sz w:val="20"/>
                <w:szCs w:val="20"/>
                <w:color w:val="auto"/>
              </w:rPr>
            </w:pPr>
            <w:r>
              <w:rPr>
                <w:rFonts w:ascii="Arial" w:cs="Arial" w:eastAsia="Arial" w:hAnsi="Arial"/>
                <w:sz w:val="18"/>
                <w:szCs w:val="18"/>
                <w:color w:val="auto"/>
              </w:rPr>
              <w:t>1,069,300</w:t>
            </w:r>
          </w:p>
        </w:tc>
        <w:tc>
          <w:tcPr>
            <w:tcW w:w="0" w:type="dxa"/>
            <w:vAlign w:val="bottom"/>
          </w:tcPr>
          <w:p>
            <w:pPr>
              <w:spacing w:after="0"/>
              <w:rPr>
                <w:sz w:val="1"/>
                <w:szCs w:val="1"/>
                <w:color w:val="auto"/>
              </w:rPr>
            </w:pPr>
          </w:p>
        </w:tc>
      </w:tr>
      <w:tr>
        <w:trPr>
          <w:trHeight w:val="223"/>
        </w:trPr>
        <w:tc>
          <w:tcPr>
            <w:tcW w:w="3260" w:type="dxa"/>
            <w:vAlign w:val="bottom"/>
          </w:tcPr>
          <w:p>
            <w:pPr>
              <w:ind w:left="60"/>
              <w:spacing w:after="0"/>
              <w:rPr>
                <w:sz w:val="20"/>
                <w:szCs w:val="20"/>
                <w:color w:val="auto"/>
              </w:rPr>
            </w:pPr>
            <w:r>
              <w:rPr>
                <w:rFonts w:ascii="Arial" w:cs="Arial" w:eastAsia="Arial" w:hAnsi="Arial"/>
                <w:sz w:val="18"/>
                <w:szCs w:val="18"/>
                <w:color w:val="auto"/>
              </w:rPr>
              <w:t>Ronald J. Domanico</w:t>
            </w:r>
          </w:p>
        </w:tc>
        <w:tc>
          <w:tcPr>
            <w:tcW w:w="1700" w:type="dxa"/>
            <w:vAlign w:val="bottom"/>
          </w:tcPr>
          <w:p>
            <w:pPr>
              <w:jc w:val="right"/>
              <w:spacing w:after="0"/>
              <w:rPr>
                <w:sz w:val="20"/>
                <w:szCs w:val="20"/>
                <w:color w:val="auto"/>
              </w:rPr>
            </w:pPr>
            <w:r>
              <w:rPr>
                <w:rFonts w:ascii="Arial" w:cs="Arial" w:eastAsia="Arial" w:hAnsi="Arial"/>
                <w:sz w:val="18"/>
                <w:szCs w:val="18"/>
                <w:color w:val="auto"/>
              </w:rPr>
              <w:t>152,599</w:t>
            </w:r>
          </w:p>
        </w:tc>
        <w:tc>
          <w:tcPr>
            <w:tcW w:w="1940" w:type="dxa"/>
            <w:vAlign w:val="bottom"/>
          </w:tcPr>
          <w:p>
            <w:pPr>
              <w:jc w:val="right"/>
              <w:ind w:right="220"/>
              <w:spacing w:after="0"/>
              <w:rPr>
                <w:sz w:val="20"/>
                <w:szCs w:val="20"/>
                <w:color w:val="auto"/>
              </w:rPr>
            </w:pPr>
            <w:r>
              <w:rPr>
                <w:rFonts w:ascii="Arial" w:cs="Arial" w:eastAsia="Arial" w:hAnsi="Arial"/>
                <w:sz w:val="18"/>
                <w:szCs w:val="18"/>
                <w:color w:val="auto"/>
              </w:rPr>
              <w:t>152,599</w:t>
            </w:r>
          </w:p>
        </w:tc>
        <w:tc>
          <w:tcPr>
            <w:tcW w:w="1420" w:type="dxa"/>
            <w:vAlign w:val="bottom"/>
          </w:tcPr>
          <w:p>
            <w:pPr>
              <w:jc w:val="right"/>
              <w:ind w:right="200"/>
              <w:spacing w:after="0"/>
              <w:rPr>
                <w:sz w:val="20"/>
                <w:szCs w:val="20"/>
                <w:color w:val="auto"/>
              </w:rPr>
            </w:pPr>
            <w:r>
              <w:rPr>
                <w:rFonts w:ascii="Arial" w:cs="Arial" w:eastAsia="Arial" w:hAnsi="Arial"/>
                <w:sz w:val="18"/>
                <w:szCs w:val="18"/>
                <w:color w:val="auto"/>
              </w:rPr>
              <w:t>(76,362)</w:t>
            </w:r>
          </w:p>
        </w:tc>
        <w:tc>
          <w:tcPr>
            <w:tcW w:w="1500" w:type="dxa"/>
            <w:vAlign w:val="bottom"/>
          </w:tcPr>
          <w:p>
            <w:pPr>
              <w:jc w:val="right"/>
              <w:ind w:right="237"/>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494,250</w:t>
            </w:r>
          </w:p>
        </w:tc>
        <w:tc>
          <w:tcPr>
            <w:tcW w:w="0" w:type="dxa"/>
            <w:vAlign w:val="bottom"/>
          </w:tcPr>
          <w:p>
            <w:pPr>
              <w:spacing w:after="0"/>
              <w:rPr>
                <w:sz w:val="1"/>
                <w:szCs w:val="1"/>
                <w:color w:val="auto"/>
              </w:rPr>
            </w:pPr>
          </w:p>
        </w:tc>
      </w:tr>
      <w:tr>
        <w:trPr>
          <w:trHeight w:val="216"/>
        </w:trPr>
        <w:tc>
          <w:tcPr>
            <w:tcW w:w="3260" w:type="dxa"/>
            <w:vAlign w:val="bottom"/>
            <w:tcBorders>
              <w:bottom w:val="single" w:sz="8" w:color="E5EAF5"/>
            </w:tcBorders>
            <w:shd w:val="clear" w:color="auto" w:fill="E5EAF5"/>
          </w:tcPr>
          <w:p>
            <w:pPr>
              <w:ind w:left="60"/>
              <w:spacing w:after="0"/>
              <w:rPr>
                <w:sz w:val="20"/>
                <w:szCs w:val="20"/>
                <w:color w:val="auto"/>
              </w:rPr>
            </w:pPr>
            <w:r>
              <w:rPr>
                <w:rFonts w:ascii="Arial" w:cs="Arial" w:eastAsia="Arial" w:hAnsi="Arial"/>
                <w:sz w:val="18"/>
                <w:szCs w:val="18"/>
                <w:color w:val="auto"/>
              </w:rPr>
              <w:t>Michael F. Beech</w:t>
            </w:r>
          </w:p>
        </w:tc>
        <w:tc>
          <w:tcPr>
            <w:tcW w:w="1700" w:type="dxa"/>
            <w:vAlign w:val="bottom"/>
            <w:tcBorders>
              <w:bottom w:val="single" w:sz="8" w:color="E5EAF5"/>
            </w:tcBorders>
            <w:shd w:val="clear" w:color="auto" w:fill="E5EAF5"/>
          </w:tcPr>
          <w:p>
            <w:pPr>
              <w:jc w:val="right"/>
              <w:spacing w:after="0"/>
              <w:rPr>
                <w:sz w:val="20"/>
                <w:szCs w:val="20"/>
                <w:color w:val="auto"/>
              </w:rPr>
            </w:pPr>
            <w:r>
              <w:rPr>
                <w:rFonts w:ascii="Arial" w:cs="Arial" w:eastAsia="Arial" w:hAnsi="Arial"/>
                <w:sz w:val="18"/>
                <w:szCs w:val="18"/>
                <w:color w:val="auto"/>
              </w:rPr>
              <w:t>369,400</w:t>
            </w:r>
          </w:p>
        </w:tc>
        <w:tc>
          <w:tcPr>
            <w:tcW w:w="1940" w:type="dxa"/>
            <w:vAlign w:val="bottom"/>
            <w:tcBorders>
              <w:bottom w:val="single" w:sz="8" w:color="E5EAF5"/>
            </w:tcBorders>
            <w:shd w:val="clear" w:color="auto" w:fill="E5EAF5"/>
          </w:tcPr>
          <w:p>
            <w:pPr>
              <w:jc w:val="right"/>
              <w:ind w:right="220"/>
              <w:spacing w:after="0"/>
              <w:rPr>
                <w:sz w:val="20"/>
                <w:szCs w:val="20"/>
                <w:color w:val="auto"/>
              </w:rPr>
            </w:pPr>
            <w:r>
              <w:rPr>
                <w:rFonts w:ascii="Arial" w:cs="Arial" w:eastAsia="Arial" w:hAnsi="Arial"/>
                <w:sz w:val="18"/>
                <w:szCs w:val="18"/>
                <w:color w:val="auto"/>
              </w:rPr>
              <w:t>119,800</w:t>
            </w:r>
          </w:p>
        </w:tc>
        <w:tc>
          <w:tcPr>
            <w:tcW w:w="1420" w:type="dxa"/>
            <w:vAlign w:val="bottom"/>
            <w:tcBorders>
              <w:bottom w:val="single" w:sz="8" w:color="E5EAF5"/>
            </w:tcBorders>
            <w:shd w:val="clear" w:color="auto" w:fill="E5EAF5"/>
          </w:tcPr>
          <w:p>
            <w:pPr>
              <w:jc w:val="right"/>
              <w:ind w:right="200"/>
              <w:spacing w:after="0"/>
              <w:rPr>
                <w:sz w:val="20"/>
                <w:szCs w:val="20"/>
                <w:color w:val="auto"/>
              </w:rPr>
            </w:pPr>
            <w:r>
              <w:rPr>
                <w:rFonts w:ascii="Arial" w:cs="Arial" w:eastAsia="Arial" w:hAnsi="Arial"/>
                <w:sz w:val="18"/>
                <w:szCs w:val="18"/>
                <w:color w:val="auto"/>
              </w:rPr>
              <w:t>(119,782)</w:t>
            </w:r>
          </w:p>
        </w:tc>
        <w:tc>
          <w:tcPr>
            <w:tcW w:w="1500" w:type="dxa"/>
            <w:vAlign w:val="bottom"/>
            <w:tcBorders>
              <w:bottom w:val="single" w:sz="8" w:color="E5EAF5"/>
            </w:tcBorders>
            <w:shd w:val="clear" w:color="auto" w:fill="E5EAF5"/>
          </w:tcPr>
          <w:p>
            <w:pPr>
              <w:jc w:val="right"/>
              <w:ind w:right="237"/>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E5EAF5"/>
            </w:tcBorders>
            <w:gridSpan w:val="3"/>
            <w:shd w:val="clear" w:color="auto" w:fill="E5EAF5"/>
          </w:tcPr>
          <w:p>
            <w:pPr>
              <w:jc w:val="right"/>
              <w:spacing w:after="0"/>
              <w:rPr>
                <w:sz w:val="20"/>
                <w:szCs w:val="20"/>
                <w:color w:val="auto"/>
              </w:rPr>
            </w:pPr>
            <w:r>
              <w:rPr>
                <w:rFonts w:ascii="Arial" w:cs="Arial" w:eastAsia="Arial" w:hAnsi="Arial"/>
                <w:sz w:val="18"/>
                <w:szCs w:val="18"/>
                <w:color w:val="auto"/>
              </w:rPr>
              <w:t>1,043,195</w:t>
            </w:r>
          </w:p>
        </w:tc>
        <w:tc>
          <w:tcPr>
            <w:tcW w:w="0" w:type="dxa"/>
            <w:vAlign w:val="bottom"/>
          </w:tcPr>
          <w:p>
            <w:pPr>
              <w:spacing w:after="0"/>
              <w:rPr>
                <w:sz w:val="1"/>
                <w:szCs w:val="1"/>
                <w:color w:val="auto"/>
              </w:rPr>
            </w:pPr>
          </w:p>
        </w:tc>
      </w:tr>
      <w:tr>
        <w:trPr>
          <w:trHeight w:val="223"/>
        </w:trPr>
        <w:tc>
          <w:tcPr>
            <w:tcW w:w="3260" w:type="dxa"/>
            <w:vAlign w:val="bottom"/>
          </w:tcPr>
          <w:p>
            <w:pPr>
              <w:ind w:left="60"/>
              <w:spacing w:after="0"/>
              <w:rPr>
                <w:sz w:val="20"/>
                <w:szCs w:val="20"/>
                <w:color w:val="auto"/>
              </w:rPr>
            </w:pPr>
            <w:r>
              <w:rPr>
                <w:rFonts w:ascii="Arial" w:cs="Arial" w:eastAsia="Arial" w:hAnsi="Arial"/>
                <w:sz w:val="18"/>
                <w:szCs w:val="18"/>
                <w:color w:val="auto"/>
              </w:rPr>
              <w:t>McAlister C. Marshall, II</w:t>
            </w:r>
          </w:p>
        </w:tc>
        <w:tc>
          <w:tcPr>
            <w:tcW w:w="1700" w:type="dxa"/>
            <w:vAlign w:val="bottom"/>
          </w:tcPr>
          <w:p>
            <w:pPr>
              <w:jc w:val="right"/>
              <w:spacing w:after="0"/>
              <w:rPr>
                <w:sz w:val="20"/>
                <w:szCs w:val="20"/>
                <w:color w:val="auto"/>
              </w:rPr>
            </w:pPr>
            <w:r>
              <w:rPr>
                <w:rFonts w:ascii="Arial" w:cs="Arial" w:eastAsia="Arial" w:hAnsi="Arial"/>
                <w:sz w:val="18"/>
                <w:szCs w:val="18"/>
                <w:color w:val="auto"/>
              </w:rPr>
              <w:t>109,132</w:t>
            </w:r>
          </w:p>
        </w:tc>
        <w:tc>
          <w:tcPr>
            <w:tcW w:w="1940" w:type="dxa"/>
            <w:vAlign w:val="bottom"/>
          </w:tcPr>
          <w:p>
            <w:pPr>
              <w:jc w:val="right"/>
              <w:ind w:right="220"/>
              <w:spacing w:after="0"/>
              <w:rPr>
                <w:sz w:val="20"/>
                <w:szCs w:val="20"/>
                <w:color w:val="auto"/>
              </w:rPr>
            </w:pPr>
            <w:r>
              <w:rPr>
                <w:rFonts w:ascii="Arial" w:cs="Arial" w:eastAsia="Arial" w:hAnsi="Arial"/>
                <w:sz w:val="18"/>
                <w:szCs w:val="18"/>
                <w:color w:val="auto"/>
              </w:rPr>
              <w:t>109,132</w:t>
            </w:r>
          </w:p>
        </w:tc>
        <w:tc>
          <w:tcPr>
            <w:tcW w:w="1420" w:type="dxa"/>
            <w:vAlign w:val="bottom"/>
          </w:tcPr>
          <w:p>
            <w:pPr>
              <w:jc w:val="right"/>
              <w:ind w:right="200"/>
              <w:spacing w:after="0"/>
              <w:rPr>
                <w:sz w:val="20"/>
                <w:szCs w:val="20"/>
                <w:color w:val="auto"/>
              </w:rPr>
            </w:pPr>
            <w:r>
              <w:rPr>
                <w:rFonts w:ascii="Arial" w:cs="Arial" w:eastAsia="Arial" w:hAnsi="Arial"/>
                <w:sz w:val="18"/>
                <w:szCs w:val="18"/>
                <w:color w:val="auto"/>
              </w:rPr>
              <w:t>(605,194)</w:t>
            </w:r>
          </w:p>
        </w:tc>
        <w:tc>
          <w:tcPr>
            <w:tcW w:w="1500" w:type="dxa"/>
            <w:vAlign w:val="bottom"/>
          </w:tcPr>
          <w:p>
            <w:pPr>
              <w:jc w:val="right"/>
              <w:ind w:right="237"/>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3,240,505</w:t>
            </w:r>
          </w:p>
        </w:tc>
        <w:tc>
          <w:tcPr>
            <w:tcW w:w="0" w:type="dxa"/>
            <w:vAlign w:val="bottom"/>
          </w:tcPr>
          <w:p>
            <w:pPr>
              <w:spacing w:after="0"/>
              <w:rPr>
                <w:sz w:val="1"/>
                <w:szCs w:val="1"/>
                <w:color w:val="auto"/>
              </w:rPr>
            </w:pPr>
          </w:p>
        </w:tc>
      </w:tr>
      <w:tr>
        <w:trPr>
          <w:trHeight w:val="254"/>
        </w:trPr>
        <w:tc>
          <w:tcPr>
            <w:tcW w:w="3260" w:type="dxa"/>
            <w:vAlign w:val="bottom"/>
            <w:tcBorders>
              <w:bottom w:val="single" w:sz="8" w:color="E5EAF5"/>
            </w:tcBorders>
            <w:shd w:val="clear" w:color="auto" w:fill="E5EAF5"/>
          </w:tcPr>
          <w:p>
            <w:pPr>
              <w:ind w:left="60"/>
              <w:spacing w:after="0"/>
              <w:rPr>
                <w:sz w:val="20"/>
                <w:szCs w:val="20"/>
                <w:color w:val="auto"/>
              </w:rPr>
            </w:pPr>
            <w:r>
              <w:rPr>
                <w:rFonts w:ascii="Arial" w:cs="Arial" w:eastAsia="Arial" w:hAnsi="Arial"/>
                <w:sz w:val="18"/>
                <w:szCs w:val="18"/>
                <w:color w:val="auto"/>
              </w:rPr>
              <w:t>Amit Zukerman</w:t>
            </w:r>
          </w:p>
        </w:tc>
        <w:tc>
          <w:tcPr>
            <w:tcW w:w="1700" w:type="dxa"/>
            <w:vAlign w:val="bottom"/>
            <w:tcBorders>
              <w:bottom w:val="single" w:sz="8" w:color="E5EAF5"/>
            </w:tcBorders>
            <w:shd w:val="clear" w:color="auto" w:fill="E5EAF5"/>
          </w:tcPr>
          <w:p>
            <w:pPr>
              <w:jc w:val="right"/>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E5EAF5"/>
            </w:tcBorders>
            <w:shd w:val="clear" w:color="auto" w:fill="E5EAF5"/>
          </w:tcPr>
          <w:p>
            <w:pPr>
              <w:jc w:val="right"/>
              <w:ind w:right="2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E5EAF5"/>
            </w:tcBorders>
            <w:shd w:val="clear" w:color="auto" w:fill="E5EAF5"/>
          </w:tcPr>
          <w:p>
            <w:pPr>
              <w:jc w:val="right"/>
              <w:ind w:right="26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E5EAF5"/>
            </w:tcBorders>
            <w:shd w:val="clear" w:color="auto" w:fill="E5EAF5"/>
          </w:tcPr>
          <w:p>
            <w:pPr>
              <w:jc w:val="right"/>
              <w:ind w:right="237"/>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E5EAF5"/>
            </w:tcBorders>
            <w:shd w:val="clear" w:color="auto" w:fill="E5EAF5"/>
          </w:tcPr>
          <w:p>
            <w:pPr>
              <w:spacing w:after="0"/>
              <w:rPr>
                <w:sz w:val="21"/>
                <w:szCs w:val="21"/>
                <w:color w:val="auto"/>
              </w:rPr>
            </w:pPr>
          </w:p>
        </w:tc>
        <w:tc>
          <w:tcPr>
            <w:tcW w:w="100" w:type="dxa"/>
            <w:vAlign w:val="bottom"/>
            <w:tcBorders>
              <w:bottom w:val="single" w:sz="8" w:color="E5EAF5"/>
              <w:right w:val="single" w:sz="8" w:color="E5EAF5"/>
            </w:tcBorders>
            <w:shd w:val="clear" w:color="auto" w:fill="E5EAF5"/>
          </w:tcPr>
          <w:p>
            <w:pPr>
              <w:spacing w:after="0"/>
              <w:rPr>
                <w:sz w:val="21"/>
                <w:szCs w:val="21"/>
                <w:color w:val="auto"/>
              </w:rPr>
            </w:pPr>
          </w:p>
        </w:tc>
        <w:tc>
          <w:tcPr>
            <w:tcW w:w="520" w:type="dxa"/>
            <w:vAlign w:val="bottom"/>
            <w:tcBorders>
              <w:bottom w:val="single" w:sz="8" w:color="E5EAF5"/>
            </w:tcBorders>
            <w:shd w:val="clear" w:color="auto" w:fill="E5EAF5"/>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2"/>
        </w:trPr>
        <w:tc>
          <w:tcPr>
            <w:tcW w:w="3260" w:type="dxa"/>
            <w:vAlign w:val="bottom"/>
            <w:tcBorders>
              <w:top w:val="single" w:sz="8" w:color="0033A0"/>
            </w:tcBorders>
          </w:tcPr>
          <w:p>
            <w:pPr>
              <w:spacing w:after="0"/>
              <w:rPr>
                <w:sz w:val="12"/>
                <w:szCs w:val="12"/>
                <w:color w:val="auto"/>
              </w:rPr>
            </w:pPr>
          </w:p>
        </w:tc>
        <w:tc>
          <w:tcPr>
            <w:tcW w:w="1700" w:type="dxa"/>
            <w:vAlign w:val="bottom"/>
            <w:tcBorders>
              <w:top w:val="single" w:sz="8" w:color="0033A0"/>
            </w:tcBorders>
          </w:tcPr>
          <w:p>
            <w:pPr>
              <w:spacing w:after="0"/>
              <w:rPr>
                <w:sz w:val="12"/>
                <w:szCs w:val="12"/>
                <w:color w:val="auto"/>
              </w:rPr>
            </w:pPr>
          </w:p>
        </w:tc>
        <w:tc>
          <w:tcPr>
            <w:tcW w:w="1940" w:type="dxa"/>
            <w:vAlign w:val="bottom"/>
            <w:tcBorders>
              <w:top w:val="single" w:sz="8" w:color="0033A0"/>
            </w:tcBorders>
          </w:tcPr>
          <w:p>
            <w:pPr>
              <w:spacing w:after="0"/>
              <w:rPr>
                <w:sz w:val="12"/>
                <w:szCs w:val="12"/>
                <w:color w:val="auto"/>
              </w:rPr>
            </w:pPr>
          </w:p>
        </w:tc>
        <w:tc>
          <w:tcPr>
            <w:tcW w:w="1420" w:type="dxa"/>
            <w:vAlign w:val="bottom"/>
            <w:tcBorders>
              <w:top w:val="single" w:sz="8" w:color="0033A0"/>
            </w:tcBorders>
          </w:tcPr>
          <w:p>
            <w:pPr>
              <w:spacing w:after="0"/>
              <w:rPr>
                <w:sz w:val="12"/>
                <w:szCs w:val="12"/>
                <w:color w:val="auto"/>
              </w:rPr>
            </w:pPr>
          </w:p>
        </w:tc>
        <w:tc>
          <w:tcPr>
            <w:tcW w:w="2080" w:type="dxa"/>
            <w:vAlign w:val="bottom"/>
            <w:tcBorders>
              <w:top w:val="single" w:sz="8" w:color="0033A0"/>
            </w:tcBorders>
            <w:gridSpan w:val="2"/>
            <w:vMerge w:val="restart"/>
          </w:tcPr>
          <w:p>
            <w:pPr>
              <w:ind w:left="280"/>
              <w:spacing w:after="0"/>
              <w:rPr>
                <w:sz w:val="20"/>
                <w:szCs w:val="20"/>
                <w:color w:val="auto"/>
              </w:rPr>
            </w:pPr>
            <w:r>
              <w:rPr>
                <w:rFonts w:ascii="Arial" w:cs="Arial" w:eastAsia="Arial" w:hAnsi="Arial"/>
                <w:sz w:val="18"/>
                <w:szCs w:val="18"/>
                <w:i w:val="1"/>
                <w:iCs w:val="1"/>
                <w:color w:val="auto"/>
                <w:w w:val="99"/>
              </w:rPr>
              <w:t>2019 Proxy Statement</w:t>
            </w:r>
          </w:p>
        </w:tc>
        <w:tc>
          <w:tcPr>
            <w:tcW w:w="620" w:type="dxa"/>
            <w:vAlign w:val="bottom"/>
            <w:tcBorders>
              <w:top w:val="single" w:sz="8" w:color="0033A0"/>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32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80" w:type="dxa"/>
            <w:vAlign w:val="bottom"/>
            <w:gridSpan w:val="2"/>
            <w:vMerge w:val="continue"/>
          </w:tcPr>
          <w:p>
            <w:pPr>
              <w:spacing w:after="0"/>
              <w:rPr>
                <w:sz w:val="24"/>
                <w:szCs w:val="24"/>
                <w:color w:val="auto"/>
              </w:rPr>
            </w:pPr>
          </w:p>
        </w:tc>
        <w:tc>
          <w:tcPr>
            <w:tcW w:w="100" w:type="dxa"/>
            <w:vAlign w:val="bottom"/>
            <w:tcBorders>
              <w:right w:val="single" w:sz="8" w:color="0033A0"/>
            </w:tcBorders>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-170815</wp:posOffset>
            </wp:positionV>
            <wp:extent cx="720090" cy="12890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0090" cy="12890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type w:val="continuous"/>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0033A0"/>
        </w:rPr>
        <w:t>The Brink’s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188595</wp:posOffset>
            </wp:positionV>
            <wp:extent cx="111506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336" w:lineRule="exact"/>
        <w:rPr>
          <w:sz w:val="20"/>
          <w:szCs w:val="20"/>
          <w:color w:val="auto"/>
        </w:rPr>
      </w:pPr>
    </w:p>
    <w:p>
      <w:pPr>
        <w:ind w:left="520" w:right="80" w:hanging="316"/>
        <w:spacing w:after="0" w:line="214" w:lineRule="auto"/>
        <w:tabs>
          <w:tab w:leader="none" w:pos="520" w:val="left"/>
        </w:tabs>
        <w:numPr>
          <w:ilvl w:val="0"/>
          <w:numId w:val="53"/>
        </w:numPr>
        <w:rPr>
          <w:rFonts w:ascii="Arial" w:cs="Arial" w:eastAsia="Arial" w:hAnsi="Arial"/>
          <w:sz w:val="24"/>
          <w:szCs w:val="24"/>
          <w:color w:val="auto"/>
          <w:vertAlign w:val="superscript"/>
        </w:rPr>
      </w:pPr>
      <w:r>
        <w:rPr>
          <w:rFonts w:ascii="Arial" w:cs="Arial" w:eastAsia="Arial" w:hAnsi="Arial"/>
          <w:sz w:val="14"/>
          <w:szCs w:val="14"/>
          <w:color w:val="auto"/>
        </w:rPr>
        <w:t>Under the deferred compensation program, a participant is permitted to defer base salary, annual incentive amounts earned under the KEIP (prior to 2017) or EIP and amounts in excess of 401(k) limits (as supplemental savings). The dollar value of deferred amounts is converted into notional investments in mutual funds, selected by the participant, or common stock units that represent an equivalent number of shares of Brink’s Common Stock in accordance with the formulas in the deferred compensation program. The following table sets forth the amount of salary and annual incentive awards deferred in 2018 under the deferred compensation program by each of the named executive officers:</w:t>
      </w:r>
    </w:p>
    <w:p>
      <w:pPr>
        <w:spacing w:after="0" w:line="70"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5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20" w:type="dxa"/>
            <w:vAlign w:val="bottom"/>
          </w:tcPr>
          <w:p>
            <w:pPr>
              <w:jc w:val="center"/>
              <w:ind w:right="292"/>
              <w:spacing w:after="0"/>
              <w:rPr>
                <w:sz w:val="20"/>
                <w:szCs w:val="20"/>
                <w:color w:val="auto"/>
              </w:rPr>
            </w:pPr>
            <w:r>
              <w:rPr>
                <w:rFonts w:ascii="Arial" w:cs="Arial" w:eastAsia="Arial" w:hAnsi="Arial"/>
                <w:sz w:val="13"/>
                <w:szCs w:val="13"/>
                <w:b w:val="1"/>
                <w:bCs w:val="1"/>
                <w:color w:val="0033A0"/>
                <w:w w:val="95"/>
              </w:rPr>
              <w:t>Annual</w:t>
            </w:r>
          </w:p>
        </w:tc>
        <w:tc>
          <w:tcPr>
            <w:tcW w:w="3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35"/>
        </w:trPr>
        <w:tc>
          <w:tcPr>
            <w:tcW w:w="5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tcPr>
          <w:p>
            <w:pPr>
              <w:jc w:val="center"/>
              <w:ind w:right="292"/>
              <w:spacing w:after="0" w:line="135" w:lineRule="exact"/>
              <w:rPr>
                <w:sz w:val="20"/>
                <w:szCs w:val="20"/>
                <w:color w:val="auto"/>
              </w:rPr>
            </w:pPr>
            <w:r>
              <w:rPr>
                <w:rFonts w:ascii="Arial" w:cs="Arial" w:eastAsia="Arial" w:hAnsi="Arial"/>
                <w:sz w:val="13"/>
                <w:szCs w:val="13"/>
                <w:b w:val="1"/>
                <w:bCs w:val="1"/>
                <w:color w:val="0033A0"/>
                <w:w w:val="95"/>
              </w:rPr>
              <w:t>Incentive</w:t>
            </w:r>
          </w:p>
        </w:tc>
        <w:tc>
          <w:tcPr>
            <w:tcW w:w="13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0033A0"/>
                <w:w w:val="96"/>
              </w:rPr>
              <w:t>Supplemental</w:t>
            </w:r>
          </w:p>
        </w:tc>
        <w:tc>
          <w:tcPr>
            <w:tcW w:w="900" w:type="dxa"/>
            <w:vAlign w:val="bottom"/>
          </w:tcPr>
          <w:p>
            <w:pPr>
              <w:spacing w:after="0"/>
              <w:rPr>
                <w:sz w:val="11"/>
                <w:szCs w:val="11"/>
                <w:color w:val="auto"/>
              </w:rPr>
            </w:pPr>
          </w:p>
        </w:tc>
      </w:tr>
      <w:tr>
        <w:trPr>
          <w:trHeight w:val="135"/>
        </w:trPr>
        <w:tc>
          <w:tcPr>
            <w:tcW w:w="5280" w:type="dxa"/>
            <w:vAlign w:val="bottom"/>
          </w:tcPr>
          <w:p>
            <w:pPr>
              <w:spacing w:after="0"/>
              <w:rPr>
                <w:sz w:val="11"/>
                <w:szCs w:val="11"/>
                <w:color w:val="auto"/>
              </w:rPr>
            </w:pPr>
          </w:p>
        </w:tc>
        <w:tc>
          <w:tcPr>
            <w:tcW w:w="1020" w:type="dxa"/>
            <w:vAlign w:val="bottom"/>
          </w:tcPr>
          <w:p>
            <w:pPr>
              <w:jc w:val="right"/>
              <w:ind w:right="51"/>
              <w:spacing w:after="0" w:line="135" w:lineRule="exact"/>
              <w:rPr>
                <w:sz w:val="20"/>
                <w:szCs w:val="20"/>
                <w:color w:val="auto"/>
              </w:rPr>
            </w:pPr>
            <w:r>
              <w:rPr>
                <w:rFonts w:ascii="Arial" w:cs="Arial" w:eastAsia="Arial" w:hAnsi="Arial"/>
                <w:sz w:val="13"/>
                <w:szCs w:val="13"/>
                <w:b w:val="1"/>
                <w:bCs w:val="1"/>
                <w:color w:val="0033A0"/>
              </w:rPr>
              <w:t>Salary</w:t>
            </w:r>
          </w:p>
        </w:tc>
        <w:tc>
          <w:tcPr>
            <w:tcW w:w="1580" w:type="dxa"/>
            <w:vAlign w:val="bottom"/>
            <w:gridSpan w:val="2"/>
          </w:tcPr>
          <w:p>
            <w:pPr>
              <w:jc w:val="center"/>
              <w:ind w:left="153"/>
              <w:spacing w:after="0" w:line="135" w:lineRule="exact"/>
              <w:rPr>
                <w:sz w:val="20"/>
                <w:szCs w:val="20"/>
                <w:color w:val="auto"/>
              </w:rPr>
            </w:pPr>
            <w:r>
              <w:rPr>
                <w:rFonts w:ascii="Arial" w:cs="Arial" w:eastAsia="Arial" w:hAnsi="Arial"/>
                <w:sz w:val="13"/>
                <w:szCs w:val="13"/>
                <w:b w:val="1"/>
                <w:bCs w:val="1"/>
                <w:color w:val="0033A0"/>
                <w:w w:val="97"/>
              </w:rPr>
              <w:t>Compensation</w:t>
            </w:r>
          </w:p>
        </w:tc>
        <w:tc>
          <w:tcPr>
            <w:tcW w:w="13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0033A0"/>
                <w:w w:val="96"/>
              </w:rPr>
              <w:t>Savings Plan</w:t>
            </w:r>
          </w:p>
        </w:tc>
        <w:tc>
          <w:tcPr>
            <w:tcW w:w="900" w:type="dxa"/>
            <w:vAlign w:val="bottom"/>
          </w:tcPr>
          <w:p>
            <w:pPr>
              <w:spacing w:after="0"/>
              <w:rPr>
                <w:sz w:val="11"/>
                <w:szCs w:val="11"/>
                <w:color w:val="auto"/>
              </w:rPr>
            </w:pPr>
          </w:p>
        </w:tc>
      </w:tr>
      <w:tr>
        <w:trPr>
          <w:trHeight w:val="157"/>
        </w:trPr>
        <w:tc>
          <w:tcPr>
            <w:tcW w:w="5280" w:type="dxa"/>
            <w:vAlign w:val="bottom"/>
            <w:tcBorders>
              <w:bottom w:val="single" w:sz="8" w:color="0033A0"/>
            </w:tcBorders>
          </w:tcPr>
          <w:p>
            <w:pPr>
              <w:ind w:left="60"/>
              <w:spacing w:after="0"/>
              <w:rPr>
                <w:sz w:val="20"/>
                <w:szCs w:val="20"/>
                <w:color w:val="auto"/>
              </w:rPr>
            </w:pPr>
            <w:r>
              <w:rPr>
                <w:rFonts w:ascii="Arial" w:cs="Arial" w:eastAsia="Arial" w:hAnsi="Arial"/>
                <w:sz w:val="13"/>
                <w:szCs w:val="13"/>
                <w:b w:val="1"/>
                <w:bCs w:val="1"/>
                <w:color w:val="0033A0"/>
              </w:rPr>
              <w:t>Name</w:t>
            </w:r>
          </w:p>
        </w:tc>
        <w:tc>
          <w:tcPr>
            <w:tcW w:w="1020" w:type="dxa"/>
            <w:vAlign w:val="bottom"/>
            <w:tcBorders>
              <w:bottom w:val="single" w:sz="8" w:color="0033A0"/>
            </w:tcBorders>
          </w:tcPr>
          <w:p>
            <w:pPr>
              <w:jc w:val="right"/>
              <w:spacing w:after="0"/>
              <w:rPr>
                <w:sz w:val="20"/>
                <w:szCs w:val="20"/>
                <w:color w:val="auto"/>
              </w:rPr>
            </w:pPr>
            <w:r>
              <w:rPr>
                <w:rFonts w:ascii="Arial" w:cs="Arial" w:eastAsia="Arial" w:hAnsi="Arial"/>
                <w:sz w:val="13"/>
                <w:szCs w:val="13"/>
                <w:b w:val="1"/>
                <w:bCs w:val="1"/>
                <w:color w:val="0033A0"/>
              </w:rPr>
              <w:t>Deferred</w:t>
            </w:r>
          </w:p>
        </w:tc>
        <w:tc>
          <w:tcPr>
            <w:tcW w:w="560" w:type="dxa"/>
            <w:vAlign w:val="bottom"/>
            <w:tcBorders>
              <w:bottom w:val="single" w:sz="8" w:color="0033A0"/>
            </w:tcBorders>
          </w:tcPr>
          <w:p>
            <w:pPr>
              <w:spacing w:after="0"/>
              <w:rPr>
                <w:sz w:val="13"/>
                <w:szCs w:val="13"/>
                <w:color w:val="auto"/>
              </w:rPr>
            </w:pPr>
          </w:p>
        </w:tc>
        <w:tc>
          <w:tcPr>
            <w:tcW w:w="1020" w:type="dxa"/>
            <w:vAlign w:val="bottom"/>
            <w:tcBorders>
              <w:bottom w:val="single" w:sz="8" w:color="0033A0"/>
            </w:tcBorders>
          </w:tcPr>
          <w:p>
            <w:pPr>
              <w:jc w:val="center"/>
              <w:ind w:right="272"/>
              <w:spacing w:after="0"/>
              <w:rPr>
                <w:sz w:val="20"/>
                <w:szCs w:val="20"/>
                <w:color w:val="auto"/>
              </w:rPr>
            </w:pPr>
            <w:r>
              <w:rPr>
                <w:rFonts w:ascii="Arial" w:cs="Arial" w:eastAsia="Arial" w:hAnsi="Arial"/>
                <w:sz w:val="13"/>
                <w:szCs w:val="13"/>
                <w:b w:val="1"/>
                <w:bCs w:val="1"/>
                <w:color w:val="0033A0"/>
                <w:w w:val="97"/>
              </w:rPr>
              <w:t>Deferred</w:t>
            </w:r>
            <w:r>
              <w:rPr>
                <w:rFonts w:ascii="Arial" w:cs="Arial" w:eastAsia="Arial" w:hAnsi="Arial"/>
                <w:sz w:val="10"/>
                <w:szCs w:val="10"/>
                <w:b w:val="1"/>
                <w:bCs w:val="1"/>
                <w:color w:val="0033A0"/>
                <w:w w:val="97"/>
              </w:rPr>
              <w:t>(a)</w:t>
            </w:r>
          </w:p>
        </w:tc>
        <w:tc>
          <w:tcPr>
            <w:tcW w:w="380" w:type="dxa"/>
            <w:vAlign w:val="bottom"/>
            <w:tcBorders>
              <w:bottom w:val="single" w:sz="8" w:color="0033A0"/>
            </w:tcBorders>
          </w:tcPr>
          <w:p>
            <w:pPr>
              <w:spacing w:after="0"/>
              <w:rPr>
                <w:sz w:val="13"/>
                <w:szCs w:val="13"/>
                <w:color w:val="auto"/>
              </w:rPr>
            </w:pPr>
          </w:p>
        </w:tc>
        <w:tc>
          <w:tcPr>
            <w:tcW w:w="960" w:type="dxa"/>
            <w:vAlign w:val="bottom"/>
            <w:tcBorders>
              <w:bottom w:val="single" w:sz="8" w:color="0033A0"/>
            </w:tcBorders>
          </w:tcPr>
          <w:p>
            <w:pPr>
              <w:jc w:val="center"/>
              <w:ind w:right="290"/>
              <w:spacing w:after="0"/>
              <w:rPr>
                <w:sz w:val="20"/>
                <w:szCs w:val="20"/>
                <w:color w:val="auto"/>
              </w:rPr>
            </w:pPr>
            <w:r>
              <w:rPr>
                <w:rFonts w:ascii="Arial" w:cs="Arial" w:eastAsia="Arial" w:hAnsi="Arial"/>
                <w:sz w:val="13"/>
                <w:szCs w:val="13"/>
                <w:b w:val="1"/>
                <w:bCs w:val="1"/>
                <w:color w:val="0033A0"/>
                <w:w w:val="97"/>
              </w:rPr>
              <w:t>Deferred</w:t>
            </w:r>
          </w:p>
        </w:tc>
        <w:tc>
          <w:tcPr>
            <w:tcW w:w="900" w:type="dxa"/>
            <w:vAlign w:val="bottom"/>
            <w:tcBorders>
              <w:bottom w:val="single" w:sz="8" w:color="0033A0"/>
            </w:tcBorders>
          </w:tcPr>
          <w:p>
            <w:pPr>
              <w:jc w:val="right"/>
              <w:ind w:right="130"/>
              <w:spacing w:after="0"/>
              <w:rPr>
                <w:sz w:val="20"/>
                <w:szCs w:val="20"/>
                <w:color w:val="auto"/>
              </w:rPr>
            </w:pPr>
            <w:r>
              <w:rPr>
                <w:rFonts w:ascii="Arial" w:cs="Arial" w:eastAsia="Arial" w:hAnsi="Arial"/>
                <w:sz w:val="13"/>
                <w:szCs w:val="13"/>
                <w:b w:val="1"/>
                <w:bCs w:val="1"/>
                <w:color w:val="0033A0"/>
              </w:rPr>
              <w:t>Total</w:t>
            </w:r>
          </w:p>
        </w:tc>
      </w:tr>
      <w:tr>
        <w:trPr>
          <w:trHeight w:val="21"/>
        </w:trPr>
        <w:tc>
          <w:tcPr>
            <w:tcW w:w="5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5280" w:type="dxa"/>
            <w:vAlign w:val="bottom"/>
            <w:tcBorders>
              <w:bottom w:val="single" w:sz="8" w:color="D8E0F0"/>
            </w:tcBorders>
            <w:shd w:val="clear" w:color="auto" w:fill="D8E0F0"/>
          </w:tcPr>
          <w:p>
            <w:pPr>
              <w:ind w:left="60"/>
              <w:spacing w:after="0"/>
              <w:rPr>
                <w:sz w:val="20"/>
                <w:szCs w:val="20"/>
                <w:color w:val="auto"/>
              </w:rPr>
            </w:pPr>
            <w:r>
              <w:rPr>
                <w:rFonts w:ascii="Arial" w:cs="Arial" w:eastAsia="Arial" w:hAnsi="Arial"/>
                <w:sz w:val="14"/>
                <w:szCs w:val="14"/>
                <w:color w:val="auto"/>
              </w:rPr>
              <w:t>Mr. Pertz</w:t>
            </w:r>
          </w:p>
        </w:tc>
        <w:tc>
          <w:tcPr>
            <w:tcW w:w="1020" w:type="dxa"/>
            <w:vAlign w:val="bottom"/>
            <w:tcBorders>
              <w:bottom w:val="single" w:sz="8" w:color="D8E0F0"/>
            </w:tcBorders>
            <w:shd w:val="clear" w:color="auto" w:fill="D8E0F0"/>
          </w:tcPr>
          <w:p>
            <w:pPr>
              <w:jc w:val="right"/>
              <w:spacing w:after="0"/>
              <w:rPr>
                <w:sz w:val="20"/>
                <w:szCs w:val="20"/>
                <w:color w:val="auto"/>
              </w:rPr>
            </w:pPr>
            <w:r>
              <w:rPr>
                <w:rFonts w:ascii="Arial" w:cs="Arial" w:eastAsia="Arial" w:hAnsi="Arial"/>
                <w:sz w:val="14"/>
                <w:szCs w:val="14"/>
                <w:color w:val="auto"/>
              </w:rPr>
              <w:t>$97,500</w:t>
            </w:r>
          </w:p>
        </w:tc>
        <w:tc>
          <w:tcPr>
            <w:tcW w:w="560" w:type="dxa"/>
            <w:vAlign w:val="bottom"/>
            <w:tcBorders>
              <w:bottom w:val="single" w:sz="8" w:color="D8E0F0"/>
            </w:tcBorders>
            <w:shd w:val="clear" w:color="auto" w:fill="D8E0F0"/>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D8E0F0"/>
            </w:tcBorders>
            <w:shd w:val="clear" w:color="auto" w:fill="D8E0F0"/>
          </w:tcPr>
          <w:p>
            <w:pPr>
              <w:jc w:val="right"/>
              <w:ind w:right="172"/>
              <w:spacing w:after="0"/>
              <w:rPr>
                <w:sz w:val="20"/>
                <w:szCs w:val="20"/>
                <w:color w:val="auto"/>
              </w:rPr>
            </w:pPr>
            <w:r>
              <w:rPr>
                <w:rFonts w:ascii="Arial" w:cs="Arial" w:eastAsia="Arial" w:hAnsi="Arial"/>
                <w:sz w:val="14"/>
                <w:szCs w:val="14"/>
                <w:color w:val="auto"/>
              </w:rPr>
              <w:t>225,150</w:t>
            </w:r>
          </w:p>
        </w:tc>
        <w:tc>
          <w:tcPr>
            <w:tcW w:w="380" w:type="dxa"/>
            <w:vAlign w:val="bottom"/>
            <w:tcBorders>
              <w:bottom w:val="single" w:sz="8" w:color="D8E0F0"/>
            </w:tcBorders>
            <w:shd w:val="clear" w:color="auto" w:fill="D8E0F0"/>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D8E0F0"/>
            </w:tcBorders>
            <w:shd w:val="clear" w:color="auto" w:fill="D8E0F0"/>
          </w:tcPr>
          <w:p>
            <w:pPr>
              <w:jc w:val="right"/>
              <w:ind w:right="170"/>
              <w:spacing w:after="0"/>
              <w:rPr>
                <w:sz w:val="20"/>
                <w:szCs w:val="20"/>
                <w:color w:val="auto"/>
              </w:rPr>
            </w:pPr>
            <w:r>
              <w:rPr>
                <w:rFonts w:ascii="Arial" w:cs="Arial" w:eastAsia="Arial" w:hAnsi="Arial"/>
                <w:sz w:val="14"/>
                <w:szCs w:val="14"/>
                <w:color w:val="auto"/>
              </w:rPr>
              <w:t>52,363</w:t>
            </w:r>
          </w:p>
        </w:tc>
        <w:tc>
          <w:tcPr>
            <w:tcW w:w="900" w:type="dxa"/>
            <w:vAlign w:val="bottom"/>
            <w:tcBorders>
              <w:bottom w:val="single" w:sz="8" w:color="D8E0F0"/>
            </w:tcBorders>
            <w:shd w:val="clear" w:color="auto" w:fill="D8E0F0"/>
          </w:tcPr>
          <w:p>
            <w:pPr>
              <w:jc w:val="right"/>
              <w:spacing w:after="0"/>
              <w:rPr>
                <w:sz w:val="20"/>
                <w:szCs w:val="20"/>
                <w:color w:val="auto"/>
              </w:rPr>
            </w:pPr>
            <w:r>
              <w:rPr>
                <w:rFonts w:ascii="Arial" w:cs="Arial" w:eastAsia="Arial" w:hAnsi="Arial"/>
                <w:sz w:val="14"/>
                <w:szCs w:val="14"/>
                <w:color w:val="auto"/>
              </w:rPr>
              <w:t>$375,013</w:t>
            </w:r>
          </w:p>
        </w:tc>
      </w:tr>
      <w:tr>
        <w:trPr>
          <w:trHeight w:val="183"/>
        </w:trPr>
        <w:tc>
          <w:tcPr>
            <w:tcW w:w="5280" w:type="dxa"/>
            <w:vAlign w:val="bottom"/>
          </w:tcPr>
          <w:p>
            <w:pPr>
              <w:ind w:left="60"/>
              <w:spacing w:after="0"/>
              <w:rPr>
                <w:sz w:val="20"/>
                <w:szCs w:val="20"/>
                <w:color w:val="auto"/>
              </w:rPr>
            </w:pPr>
            <w:r>
              <w:rPr>
                <w:rFonts w:ascii="Arial" w:cs="Arial" w:eastAsia="Arial" w:hAnsi="Arial"/>
                <w:sz w:val="14"/>
                <w:szCs w:val="14"/>
                <w:color w:val="auto"/>
              </w:rPr>
              <w:t>Mr. Domanico</w:t>
            </w:r>
          </w:p>
        </w:tc>
        <w:tc>
          <w:tcPr>
            <w:tcW w:w="1020" w:type="dxa"/>
            <w:vAlign w:val="bottom"/>
          </w:tcPr>
          <w:p>
            <w:pPr>
              <w:jc w:val="right"/>
              <w:spacing w:after="0"/>
              <w:rPr>
                <w:sz w:val="20"/>
                <w:szCs w:val="20"/>
                <w:color w:val="auto"/>
              </w:rPr>
            </w:pPr>
            <w:r>
              <w:rPr>
                <w:rFonts w:ascii="Arial" w:cs="Arial" w:eastAsia="Arial" w:hAnsi="Arial"/>
                <w:sz w:val="14"/>
                <w:szCs w:val="14"/>
                <w:color w:val="auto"/>
              </w:rPr>
              <w:t>59,583</w:t>
            </w:r>
          </w:p>
        </w:tc>
        <w:tc>
          <w:tcPr>
            <w:tcW w:w="560" w:type="dxa"/>
            <w:vAlign w:val="bottom"/>
          </w:tcPr>
          <w:p>
            <w:pPr>
              <w:spacing w:after="0"/>
              <w:rPr>
                <w:sz w:val="15"/>
                <w:szCs w:val="15"/>
                <w:color w:val="auto"/>
              </w:rPr>
            </w:pPr>
          </w:p>
        </w:tc>
        <w:tc>
          <w:tcPr>
            <w:tcW w:w="1020" w:type="dxa"/>
            <w:vAlign w:val="bottom"/>
          </w:tcPr>
          <w:p>
            <w:pPr>
              <w:jc w:val="right"/>
              <w:ind w:right="172"/>
              <w:spacing w:after="0"/>
              <w:rPr>
                <w:sz w:val="20"/>
                <w:szCs w:val="20"/>
                <w:color w:val="auto"/>
              </w:rPr>
            </w:pPr>
            <w:r>
              <w:rPr>
                <w:rFonts w:ascii="Arial" w:cs="Arial" w:eastAsia="Arial" w:hAnsi="Arial"/>
                <w:sz w:val="14"/>
                <w:szCs w:val="14"/>
                <w:color w:val="auto"/>
              </w:rPr>
              <w:t>81,402</w:t>
            </w:r>
          </w:p>
        </w:tc>
        <w:tc>
          <w:tcPr>
            <w:tcW w:w="380" w:type="dxa"/>
            <w:vAlign w:val="bottom"/>
          </w:tcPr>
          <w:p>
            <w:pPr>
              <w:spacing w:after="0"/>
              <w:rPr>
                <w:sz w:val="15"/>
                <w:szCs w:val="15"/>
                <w:color w:val="auto"/>
              </w:rPr>
            </w:pPr>
          </w:p>
        </w:tc>
        <w:tc>
          <w:tcPr>
            <w:tcW w:w="960" w:type="dxa"/>
            <w:vAlign w:val="bottom"/>
          </w:tcPr>
          <w:p>
            <w:pPr>
              <w:jc w:val="right"/>
              <w:ind w:right="170"/>
              <w:spacing w:after="0"/>
              <w:rPr>
                <w:sz w:val="20"/>
                <w:szCs w:val="20"/>
                <w:color w:val="auto"/>
              </w:rPr>
            </w:pPr>
            <w:r>
              <w:rPr>
                <w:rFonts w:ascii="Arial" w:cs="Arial" w:eastAsia="Arial" w:hAnsi="Arial"/>
                <w:sz w:val="14"/>
                <w:szCs w:val="14"/>
                <w:color w:val="auto"/>
              </w:rPr>
              <w:t>11,614</w:t>
            </w:r>
          </w:p>
        </w:tc>
        <w:tc>
          <w:tcPr>
            <w:tcW w:w="900" w:type="dxa"/>
            <w:vAlign w:val="bottom"/>
          </w:tcPr>
          <w:p>
            <w:pPr>
              <w:jc w:val="right"/>
              <w:spacing w:after="0"/>
              <w:rPr>
                <w:sz w:val="20"/>
                <w:szCs w:val="20"/>
                <w:color w:val="auto"/>
              </w:rPr>
            </w:pPr>
            <w:r>
              <w:rPr>
                <w:rFonts w:ascii="Arial" w:cs="Arial" w:eastAsia="Arial" w:hAnsi="Arial"/>
                <w:sz w:val="14"/>
                <w:szCs w:val="14"/>
                <w:color w:val="auto"/>
              </w:rPr>
              <w:t>152,599</w:t>
            </w:r>
          </w:p>
        </w:tc>
      </w:tr>
      <w:tr>
        <w:trPr>
          <w:trHeight w:val="175"/>
        </w:trPr>
        <w:tc>
          <w:tcPr>
            <w:tcW w:w="5280" w:type="dxa"/>
            <w:vAlign w:val="bottom"/>
            <w:tcBorders>
              <w:bottom w:val="single" w:sz="8" w:color="D8E0F0"/>
            </w:tcBorders>
            <w:shd w:val="clear" w:color="auto" w:fill="D8E0F0"/>
          </w:tcPr>
          <w:p>
            <w:pPr>
              <w:ind w:left="60"/>
              <w:spacing w:after="0"/>
              <w:rPr>
                <w:sz w:val="20"/>
                <w:szCs w:val="20"/>
                <w:color w:val="auto"/>
              </w:rPr>
            </w:pPr>
            <w:r>
              <w:rPr>
                <w:rFonts w:ascii="Arial" w:cs="Arial" w:eastAsia="Arial" w:hAnsi="Arial"/>
                <w:sz w:val="14"/>
                <w:szCs w:val="14"/>
                <w:color w:val="auto"/>
              </w:rPr>
              <w:t>Mr. Beech</w:t>
            </w:r>
          </w:p>
        </w:tc>
        <w:tc>
          <w:tcPr>
            <w:tcW w:w="1020" w:type="dxa"/>
            <w:vAlign w:val="bottom"/>
            <w:tcBorders>
              <w:bottom w:val="single" w:sz="8" w:color="D8E0F0"/>
            </w:tcBorders>
            <w:shd w:val="clear" w:color="auto" w:fill="D8E0F0"/>
          </w:tcPr>
          <w:p>
            <w:pPr>
              <w:jc w:val="right"/>
              <w:spacing w:after="0"/>
              <w:rPr>
                <w:sz w:val="20"/>
                <w:szCs w:val="20"/>
                <w:color w:val="auto"/>
              </w:rPr>
            </w:pPr>
            <w:r>
              <w:rPr>
                <w:rFonts w:ascii="Arial" w:cs="Arial" w:eastAsia="Arial" w:hAnsi="Arial"/>
                <w:sz w:val="14"/>
                <w:szCs w:val="14"/>
                <w:color w:val="auto"/>
              </w:rPr>
              <w:t>49,167</w:t>
            </w:r>
          </w:p>
        </w:tc>
        <w:tc>
          <w:tcPr>
            <w:tcW w:w="560" w:type="dxa"/>
            <w:vAlign w:val="bottom"/>
            <w:tcBorders>
              <w:bottom w:val="single" w:sz="8" w:color="D8E0F0"/>
            </w:tcBorders>
            <w:shd w:val="clear" w:color="auto" w:fill="D8E0F0"/>
          </w:tcPr>
          <w:p>
            <w:pPr>
              <w:spacing w:after="0"/>
              <w:rPr>
                <w:sz w:val="15"/>
                <w:szCs w:val="15"/>
                <w:color w:val="auto"/>
              </w:rPr>
            </w:pPr>
          </w:p>
        </w:tc>
        <w:tc>
          <w:tcPr>
            <w:tcW w:w="1020" w:type="dxa"/>
            <w:vAlign w:val="bottom"/>
            <w:tcBorders>
              <w:bottom w:val="single" w:sz="8" w:color="D8E0F0"/>
            </w:tcBorders>
            <w:shd w:val="clear" w:color="auto" w:fill="D8E0F0"/>
          </w:tcPr>
          <w:p>
            <w:pPr>
              <w:jc w:val="right"/>
              <w:ind w:right="172"/>
              <w:spacing w:after="0"/>
              <w:rPr>
                <w:sz w:val="20"/>
                <w:szCs w:val="20"/>
                <w:color w:val="auto"/>
              </w:rPr>
            </w:pPr>
            <w:r>
              <w:rPr>
                <w:rFonts w:ascii="Arial" w:cs="Arial" w:eastAsia="Arial" w:hAnsi="Arial"/>
                <w:sz w:val="14"/>
                <w:szCs w:val="14"/>
                <w:color w:val="auto"/>
              </w:rPr>
              <w:t>312,000</w:t>
            </w:r>
          </w:p>
        </w:tc>
        <w:tc>
          <w:tcPr>
            <w:tcW w:w="380" w:type="dxa"/>
            <w:vAlign w:val="bottom"/>
            <w:tcBorders>
              <w:bottom w:val="single" w:sz="8" w:color="D8E0F0"/>
            </w:tcBorders>
            <w:shd w:val="clear" w:color="auto" w:fill="D8E0F0"/>
          </w:tcPr>
          <w:p>
            <w:pPr>
              <w:spacing w:after="0"/>
              <w:rPr>
                <w:sz w:val="15"/>
                <w:szCs w:val="15"/>
                <w:color w:val="auto"/>
              </w:rPr>
            </w:pPr>
          </w:p>
        </w:tc>
        <w:tc>
          <w:tcPr>
            <w:tcW w:w="960" w:type="dxa"/>
            <w:vAlign w:val="bottom"/>
            <w:tcBorders>
              <w:bottom w:val="single" w:sz="8" w:color="D8E0F0"/>
            </w:tcBorders>
            <w:shd w:val="clear" w:color="auto" w:fill="D8E0F0"/>
          </w:tcPr>
          <w:p>
            <w:pPr>
              <w:jc w:val="right"/>
              <w:ind w:right="170"/>
              <w:spacing w:after="0"/>
              <w:rPr>
                <w:sz w:val="20"/>
                <w:szCs w:val="20"/>
                <w:color w:val="auto"/>
              </w:rPr>
            </w:pPr>
            <w:r>
              <w:rPr>
                <w:rFonts w:ascii="Arial" w:cs="Arial" w:eastAsia="Arial" w:hAnsi="Arial"/>
                <w:sz w:val="14"/>
                <w:szCs w:val="14"/>
                <w:color w:val="auto"/>
              </w:rPr>
              <w:t>8,233</w:t>
            </w:r>
          </w:p>
        </w:tc>
        <w:tc>
          <w:tcPr>
            <w:tcW w:w="900" w:type="dxa"/>
            <w:vAlign w:val="bottom"/>
            <w:tcBorders>
              <w:bottom w:val="single" w:sz="8" w:color="D8E0F0"/>
            </w:tcBorders>
            <w:shd w:val="clear" w:color="auto" w:fill="D8E0F0"/>
          </w:tcPr>
          <w:p>
            <w:pPr>
              <w:jc w:val="right"/>
              <w:spacing w:after="0"/>
              <w:rPr>
                <w:sz w:val="20"/>
                <w:szCs w:val="20"/>
                <w:color w:val="auto"/>
              </w:rPr>
            </w:pPr>
            <w:r>
              <w:rPr>
                <w:rFonts w:ascii="Arial" w:cs="Arial" w:eastAsia="Arial" w:hAnsi="Arial"/>
                <w:sz w:val="14"/>
                <w:szCs w:val="14"/>
                <w:color w:val="auto"/>
              </w:rPr>
              <w:t>369,400</w:t>
            </w:r>
          </w:p>
        </w:tc>
      </w:tr>
      <w:tr>
        <w:trPr>
          <w:trHeight w:val="177"/>
        </w:trPr>
        <w:tc>
          <w:tcPr>
            <w:tcW w:w="5280" w:type="dxa"/>
            <w:vAlign w:val="bottom"/>
          </w:tcPr>
          <w:p>
            <w:pPr>
              <w:ind w:left="60"/>
              <w:spacing w:after="0"/>
              <w:rPr>
                <w:sz w:val="20"/>
                <w:szCs w:val="20"/>
                <w:color w:val="auto"/>
              </w:rPr>
            </w:pPr>
            <w:r>
              <w:rPr>
                <w:rFonts w:ascii="Arial" w:cs="Arial" w:eastAsia="Arial" w:hAnsi="Arial"/>
                <w:sz w:val="14"/>
                <w:szCs w:val="14"/>
                <w:color w:val="auto"/>
              </w:rPr>
              <w:t>Mr. Marshall</w:t>
            </w:r>
          </w:p>
        </w:tc>
        <w:tc>
          <w:tcPr>
            <w:tcW w:w="1020" w:type="dxa"/>
            <w:vAlign w:val="bottom"/>
          </w:tcPr>
          <w:p>
            <w:pPr>
              <w:jc w:val="right"/>
              <w:spacing w:after="0"/>
              <w:rPr>
                <w:sz w:val="20"/>
                <w:szCs w:val="20"/>
                <w:color w:val="auto"/>
              </w:rPr>
            </w:pPr>
            <w:r>
              <w:rPr>
                <w:rFonts w:ascii="Arial" w:cs="Arial" w:eastAsia="Arial" w:hAnsi="Arial"/>
                <w:sz w:val="14"/>
                <w:szCs w:val="14"/>
                <w:color w:val="auto"/>
              </w:rPr>
              <w:t>50,218</w:t>
            </w:r>
          </w:p>
        </w:tc>
        <w:tc>
          <w:tcPr>
            <w:tcW w:w="560" w:type="dxa"/>
            <w:vAlign w:val="bottom"/>
          </w:tcPr>
          <w:p>
            <w:pPr>
              <w:spacing w:after="0"/>
              <w:rPr>
                <w:sz w:val="15"/>
                <w:szCs w:val="15"/>
                <w:color w:val="auto"/>
              </w:rPr>
            </w:pPr>
          </w:p>
        </w:tc>
        <w:tc>
          <w:tcPr>
            <w:tcW w:w="1020" w:type="dxa"/>
            <w:vAlign w:val="bottom"/>
          </w:tcPr>
          <w:p>
            <w:pPr>
              <w:jc w:val="right"/>
              <w:ind w:right="172"/>
              <w:spacing w:after="0"/>
              <w:rPr>
                <w:sz w:val="20"/>
                <w:szCs w:val="20"/>
                <w:color w:val="auto"/>
              </w:rPr>
            </w:pPr>
            <w:r>
              <w:rPr>
                <w:rFonts w:ascii="Arial" w:cs="Arial" w:eastAsia="Arial" w:hAnsi="Arial"/>
                <w:sz w:val="14"/>
                <w:szCs w:val="14"/>
                <w:color w:val="auto"/>
              </w:rPr>
              <w:t>50,414</w:t>
            </w:r>
          </w:p>
        </w:tc>
        <w:tc>
          <w:tcPr>
            <w:tcW w:w="380" w:type="dxa"/>
            <w:vAlign w:val="bottom"/>
          </w:tcPr>
          <w:p>
            <w:pPr>
              <w:spacing w:after="0"/>
              <w:rPr>
                <w:sz w:val="15"/>
                <w:szCs w:val="15"/>
                <w:color w:val="auto"/>
              </w:rPr>
            </w:pPr>
          </w:p>
        </w:tc>
        <w:tc>
          <w:tcPr>
            <w:tcW w:w="960" w:type="dxa"/>
            <w:vAlign w:val="bottom"/>
          </w:tcPr>
          <w:p>
            <w:pPr>
              <w:jc w:val="right"/>
              <w:ind w:right="170"/>
              <w:spacing w:after="0"/>
              <w:rPr>
                <w:sz w:val="20"/>
                <w:szCs w:val="20"/>
                <w:color w:val="auto"/>
              </w:rPr>
            </w:pPr>
            <w:r>
              <w:rPr>
                <w:rFonts w:ascii="Arial" w:cs="Arial" w:eastAsia="Arial" w:hAnsi="Arial"/>
                <w:sz w:val="14"/>
                <w:szCs w:val="14"/>
                <w:color w:val="auto"/>
              </w:rPr>
              <w:t>8,500</w:t>
            </w:r>
          </w:p>
        </w:tc>
        <w:tc>
          <w:tcPr>
            <w:tcW w:w="900" w:type="dxa"/>
            <w:vAlign w:val="bottom"/>
          </w:tcPr>
          <w:p>
            <w:pPr>
              <w:jc w:val="right"/>
              <w:spacing w:after="0"/>
              <w:rPr>
                <w:sz w:val="20"/>
                <w:szCs w:val="20"/>
                <w:color w:val="auto"/>
              </w:rPr>
            </w:pPr>
            <w:r>
              <w:rPr>
                <w:rFonts w:ascii="Arial" w:cs="Arial" w:eastAsia="Arial" w:hAnsi="Arial"/>
                <w:sz w:val="14"/>
                <w:szCs w:val="14"/>
                <w:color w:val="auto"/>
              </w:rPr>
              <w:t>109,132</w:t>
            </w:r>
          </w:p>
        </w:tc>
      </w:tr>
      <w:tr>
        <w:trPr>
          <w:trHeight w:val="26"/>
        </w:trPr>
        <w:tc>
          <w:tcPr>
            <w:tcW w:w="5280" w:type="dxa"/>
            <w:vAlign w:val="bottom"/>
            <w:tcBorders>
              <w:bottom w:val="single" w:sz="8" w:color="0033A0"/>
            </w:tcBorders>
          </w:tcPr>
          <w:p>
            <w:pPr>
              <w:spacing w:after="0"/>
              <w:rPr>
                <w:sz w:val="2"/>
                <w:szCs w:val="2"/>
                <w:color w:val="auto"/>
              </w:rPr>
            </w:pPr>
          </w:p>
        </w:tc>
        <w:tc>
          <w:tcPr>
            <w:tcW w:w="1020" w:type="dxa"/>
            <w:vAlign w:val="bottom"/>
            <w:tcBorders>
              <w:bottom w:val="single" w:sz="8" w:color="0033A0"/>
            </w:tcBorders>
          </w:tcPr>
          <w:p>
            <w:pPr>
              <w:spacing w:after="0"/>
              <w:rPr>
                <w:sz w:val="2"/>
                <w:szCs w:val="2"/>
                <w:color w:val="auto"/>
              </w:rPr>
            </w:pPr>
          </w:p>
        </w:tc>
        <w:tc>
          <w:tcPr>
            <w:tcW w:w="560" w:type="dxa"/>
            <w:vAlign w:val="bottom"/>
            <w:tcBorders>
              <w:bottom w:val="single" w:sz="8" w:color="0033A0"/>
            </w:tcBorders>
          </w:tcPr>
          <w:p>
            <w:pPr>
              <w:spacing w:after="0"/>
              <w:rPr>
                <w:sz w:val="2"/>
                <w:szCs w:val="2"/>
                <w:color w:val="auto"/>
              </w:rPr>
            </w:pPr>
          </w:p>
        </w:tc>
        <w:tc>
          <w:tcPr>
            <w:tcW w:w="1020" w:type="dxa"/>
            <w:vAlign w:val="bottom"/>
            <w:tcBorders>
              <w:bottom w:val="single" w:sz="8" w:color="0033A0"/>
            </w:tcBorders>
          </w:tcPr>
          <w:p>
            <w:pPr>
              <w:spacing w:after="0"/>
              <w:rPr>
                <w:sz w:val="2"/>
                <w:szCs w:val="2"/>
                <w:color w:val="auto"/>
              </w:rPr>
            </w:pPr>
          </w:p>
        </w:tc>
        <w:tc>
          <w:tcPr>
            <w:tcW w:w="380" w:type="dxa"/>
            <w:vAlign w:val="bottom"/>
            <w:tcBorders>
              <w:bottom w:val="single" w:sz="8" w:color="0033A0"/>
            </w:tcBorders>
          </w:tcPr>
          <w:p>
            <w:pPr>
              <w:spacing w:after="0"/>
              <w:rPr>
                <w:sz w:val="2"/>
                <w:szCs w:val="2"/>
                <w:color w:val="auto"/>
              </w:rPr>
            </w:pPr>
          </w:p>
        </w:tc>
        <w:tc>
          <w:tcPr>
            <w:tcW w:w="960" w:type="dxa"/>
            <w:vAlign w:val="bottom"/>
            <w:tcBorders>
              <w:bottom w:val="single" w:sz="8" w:color="0033A0"/>
            </w:tcBorders>
          </w:tcPr>
          <w:p>
            <w:pPr>
              <w:spacing w:after="0"/>
              <w:rPr>
                <w:sz w:val="2"/>
                <w:szCs w:val="2"/>
                <w:color w:val="auto"/>
              </w:rPr>
            </w:pPr>
          </w:p>
        </w:tc>
        <w:tc>
          <w:tcPr>
            <w:tcW w:w="900" w:type="dxa"/>
            <w:vAlign w:val="bottom"/>
            <w:tcBorders>
              <w:bottom w:val="single" w:sz="8" w:color="0033A0"/>
            </w:tcBorders>
          </w:tcPr>
          <w:p>
            <w:pPr>
              <w:spacing w:after="0"/>
              <w:rPr>
                <w:sz w:val="2"/>
                <w:szCs w:val="2"/>
                <w:color w:val="auto"/>
              </w:rPr>
            </w:pPr>
          </w:p>
        </w:tc>
      </w:tr>
    </w:tbl>
    <w:p>
      <w:pPr>
        <w:spacing w:after="0" w:line="23" w:lineRule="exact"/>
        <w:rPr>
          <w:sz w:val="20"/>
          <w:szCs w:val="20"/>
          <w:color w:val="auto"/>
        </w:rPr>
      </w:pPr>
    </w:p>
    <w:p>
      <w:pPr>
        <w:ind w:left="960" w:hanging="432"/>
        <w:spacing w:after="0"/>
        <w:tabs>
          <w:tab w:leader="none" w:pos="960" w:val="left"/>
        </w:tabs>
        <w:numPr>
          <w:ilvl w:val="1"/>
          <w:numId w:val="54"/>
        </w:numPr>
        <w:rPr>
          <w:rFonts w:ascii="Arial" w:cs="Arial" w:eastAsia="Arial" w:hAnsi="Arial"/>
          <w:sz w:val="24"/>
          <w:szCs w:val="24"/>
          <w:color w:val="auto"/>
          <w:vertAlign w:val="superscript"/>
        </w:rPr>
      </w:pPr>
      <w:r>
        <w:rPr>
          <w:rFonts w:ascii="Arial" w:cs="Arial" w:eastAsia="Arial" w:hAnsi="Arial"/>
          <w:sz w:val="14"/>
          <w:szCs w:val="14"/>
          <w:color w:val="auto"/>
        </w:rPr>
        <w:t>The incentive compensation deferred in 2018 was earned by each named executive officer for 2017 under the EIP.</w:t>
      </w:r>
    </w:p>
    <w:p>
      <w:pPr>
        <w:spacing w:after="0" w:line="30" w:lineRule="exact"/>
        <w:rPr>
          <w:rFonts w:ascii="Arial" w:cs="Arial" w:eastAsia="Arial" w:hAnsi="Arial"/>
          <w:sz w:val="24"/>
          <w:szCs w:val="24"/>
          <w:color w:val="auto"/>
          <w:vertAlign w:val="superscript"/>
        </w:rPr>
      </w:pPr>
    </w:p>
    <w:p>
      <w:pPr>
        <w:ind w:left="520" w:right="80" w:hanging="316"/>
        <w:spacing w:after="0"/>
        <w:tabs>
          <w:tab w:leader="none" w:pos="520" w:val="left"/>
        </w:tabs>
        <w:numPr>
          <w:ilvl w:val="0"/>
          <w:numId w:val="55"/>
        </w:numPr>
        <w:rPr>
          <w:rFonts w:ascii="Arial" w:cs="Arial" w:eastAsia="Arial" w:hAnsi="Arial"/>
          <w:sz w:val="24"/>
          <w:szCs w:val="24"/>
          <w:color w:val="auto"/>
          <w:vertAlign w:val="superscript"/>
        </w:rPr>
      </w:pPr>
      <w:r>
        <w:rPr>
          <w:rFonts w:ascii="Arial" w:cs="Arial" w:eastAsia="Arial" w:hAnsi="Arial"/>
          <w:sz w:val="14"/>
          <w:szCs w:val="14"/>
          <w:color w:val="auto"/>
        </w:rPr>
        <w:t>Under the deferred compensation program, a participant also receives Company matching contributions with respect to salary and annual incentive awards deferred and supplemental savings plan contributions, which amounts are converted into common stock units that represent an equivalent number of shares of Brink’s Common Stock in accordance with the formulas in the deferred compensation program. The following table sets forth the amount of Company matching contributions made in 2018 with respect to deferrals of salary and annual incentive awards under the EIP and supplemental savings plan contributions for each of the named executive officers:</w:t>
      </w:r>
    </w:p>
    <w:p>
      <w:pPr>
        <w:spacing w:after="0" w:line="132"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5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60" w:type="dxa"/>
            <w:vAlign w:val="bottom"/>
          </w:tcPr>
          <w:p>
            <w:pPr>
              <w:jc w:val="center"/>
              <w:ind w:left="133"/>
              <w:spacing w:after="0"/>
              <w:rPr>
                <w:sz w:val="20"/>
                <w:szCs w:val="20"/>
                <w:color w:val="auto"/>
              </w:rPr>
            </w:pPr>
            <w:r>
              <w:rPr>
                <w:rFonts w:ascii="Arial" w:cs="Arial" w:eastAsia="Arial" w:hAnsi="Arial"/>
                <w:sz w:val="13"/>
                <w:szCs w:val="13"/>
                <w:b w:val="1"/>
                <w:bCs w:val="1"/>
                <w:color w:val="0033A0"/>
                <w:w w:val="95"/>
              </w:rPr>
              <w:t>Annual</w:t>
            </w:r>
          </w:p>
        </w:tc>
        <w:tc>
          <w:tcPr>
            <w:tcW w:w="340" w:type="dxa"/>
            <w:vAlign w:val="bottom"/>
          </w:tcPr>
          <w:p>
            <w:pPr>
              <w:spacing w:after="0"/>
              <w:rPr>
                <w:sz w:val="13"/>
                <w:szCs w:val="13"/>
                <w:color w:val="auto"/>
              </w:rPr>
            </w:pPr>
          </w:p>
        </w:tc>
        <w:tc>
          <w:tcPr>
            <w:tcW w:w="920" w:type="dxa"/>
            <w:vAlign w:val="bottom"/>
          </w:tcPr>
          <w:p>
            <w:pPr>
              <w:jc w:val="center"/>
              <w:ind w:right="252"/>
              <w:spacing w:after="0"/>
              <w:rPr>
                <w:sz w:val="20"/>
                <w:szCs w:val="20"/>
                <w:color w:val="auto"/>
              </w:rPr>
            </w:pPr>
            <w:r>
              <w:rPr>
                <w:rFonts w:ascii="Arial" w:cs="Arial" w:eastAsia="Arial" w:hAnsi="Arial"/>
                <w:sz w:val="13"/>
                <w:szCs w:val="13"/>
                <w:b w:val="1"/>
                <w:bCs w:val="1"/>
                <w:color w:val="0033A0"/>
                <w:w w:val="96"/>
              </w:rPr>
              <w:t>Savings</w:t>
            </w:r>
          </w:p>
        </w:tc>
        <w:tc>
          <w:tcPr>
            <w:tcW w:w="900" w:type="dxa"/>
            <w:vAlign w:val="bottom"/>
          </w:tcPr>
          <w:p>
            <w:pPr>
              <w:spacing w:after="0"/>
              <w:rPr>
                <w:sz w:val="13"/>
                <w:szCs w:val="13"/>
                <w:color w:val="auto"/>
              </w:rPr>
            </w:pPr>
          </w:p>
        </w:tc>
      </w:tr>
      <w:tr>
        <w:trPr>
          <w:trHeight w:val="135"/>
        </w:trPr>
        <w:tc>
          <w:tcPr>
            <w:tcW w:w="5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jc w:val="right"/>
              <w:ind w:right="171"/>
              <w:spacing w:after="0" w:line="135" w:lineRule="exact"/>
              <w:rPr>
                <w:sz w:val="20"/>
                <w:szCs w:val="20"/>
                <w:color w:val="auto"/>
              </w:rPr>
            </w:pPr>
            <w:r>
              <w:rPr>
                <w:rFonts w:ascii="Arial" w:cs="Arial" w:eastAsia="Arial" w:hAnsi="Arial"/>
                <w:sz w:val="13"/>
                <w:szCs w:val="13"/>
                <w:b w:val="1"/>
                <w:bCs w:val="1"/>
                <w:color w:val="0033A0"/>
              </w:rPr>
              <w:t>Salary</w:t>
            </w:r>
          </w:p>
        </w:tc>
        <w:tc>
          <w:tcPr>
            <w:tcW w:w="1460" w:type="dxa"/>
            <w:vAlign w:val="bottom"/>
          </w:tcPr>
          <w:p>
            <w:pPr>
              <w:jc w:val="center"/>
              <w:ind w:left="133"/>
              <w:spacing w:after="0" w:line="135" w:lineRule="exact"/>
              <w:rPr>
                <w:sz w:val="20"/>
                <w:szCs w:val="20"/>
                <w:color w:val="auto"/>
              </w:rPr>
            </w:pPr>
            <w:r>
              <w:rPr>
                <w:rFonts w:ascii="Arial" w:cs="Arial" w:eastAsia="Arial" w:hAnsi="Arial"/>
                <w:sz w:val="13"/>
                <w:szCs w:val="13"/>
                <w:b w:val="1"/>
                <w:bCs w:val="1"/>
                <w:color w:val="0033A0"/>
                <w:w w:val="95"/>
              </w:rPr>
              <w:t>Incentive</w:t>
            </w:r>
          </w:p>
        </w:tc>
        <w:tc>
          <w:tcPr>
            <w:tcW w:w="340" w:type="dxa"/>
            <w:vAlign w:val="bottom"/>
          </w:tcPr>
          <w:p>
            <w:pPr>
              <w:spacing w:after="0"/>
              <w:rPr>
                <w:sz w:val="11"/>
                <w:szCs w:val="11"/>
                <w:color w:val="auto"/>
              </w:rPr>
            </w:pPr>
          </w:p>
        </w:tc>
        <w:tc>
          <w:tcPr>
            <w:tcW w:w="920" w:type="dxa"/>
            <w:vAlign w:val="bottom"/>
          </w:tcPr>
          <w:p>
            <w:pPr>
              <w:jc w:val="center"/>
              <w:ind w:right="272"/>
              <w:spacing w:after="0" w:line="135" w:lineRule="exact"/>
              <w:rPr>
                <w:sz w:val="20"/>
                <w:szCs w:val="20"/>
                <w:color w:val="auto"/>
              </w:rPr>
            </w:pPr>
            <w:r>
              <w:rPr>
                <w:rFonts w:ascii="Arial" w:cs="Arial" w:eastAsia="Arial" w:hAnsi="Arial"/>
                <w:sz w:val="13"/>
                <w:szCs w:val="13"/>
                <w:b w:val="1"/>
                <w:bCs w:val="1"/>
                <w:color w:val="0033A0"/>
                <w:w w:val="94"/>
              </w:rPr>
              <w:t>Plan</w:t>
            </w:r>
          </w:p>
        </w:tc>
        <w:tc>
          <w:tcPr>
            <w:tcW w:w="900" w:type="dxa"/>
            <w:vAlign w:val="bottom"/>
          </w:tcPr>
          <w:p>
            <w:pPr>
              <w:spacing w:after="0"/>
              <w:rPr>
                <w:sz w:val="11"/>
                <w:szCs w:val="11"/>
                <w:color w:val="auto"/>
              </w:rPr>
            </w:pPr>
          </w:p>
        </w:tc>
      </w:tr>
      <w:tr>
        <w:trPr>
          <w:trHeight w:val="135"/>
        </w:trPr>
        <w:tc>
          <w:tcPr>
            <w:tcW w:w="5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jc w:val="right"/>
              <w:ind w:right="71"/>
              <w:spacing w:after="0" w:line="135" w:lineRule="exact"/>
              <w:rPr>
                <w:sz w:val="20"/>
                <w:szCs w:val="20"/>
                <w:color w:val="auto"/>
              </w:rPr>
            </w:pPr>
            <w:r>
              <w:rPr>
                <w:rFonts w:ascii="Arial" w:cs="Arial" w:eastAsia="Arial" w:hAnsi="Arial"/>
                <w:sz w:val="13"/>
                <w:szCs w:val="13"/>
                <w:b w:val="1"/>
                <w:bCs w:val="1"/>
                <w:color w:val="0033A0"/>
                <w:w w:val="94"/>
              </w:rPr>
              <w:t>Matching</w:t>
            </w:r>
          </w:p>
        </w:tc>
        <w:tc>
          <w:tcPr>
            <w:tcW w:w="1460" w:type="dxa"/>
            <w:vAlign w:val="bottom"/>
          </w:tcPr>
          <w:p>
            <w:pPr>
              <w:jc w:val="center"/>
              <w:ind w:left="153"/>
              <w:spacing w:after="0" w:line="135" w:lineRule="exact"/>
              <w:rPr>
                <w:sz w:val="20"/>
                <w:szCs w:val="20"/>
                <w:color w:val="auto"/>
              </w:rPr>
            </w:pPr>
            <w:r>
              <w:rPr>
                <w:rFonts w:ascii="Arial" w:cs="Arial" w:eastAsia="Arial" w:hAnsi="Arial"/>
                <w:sz w:val="13"/>
                <w:szCs w:val="13"/>
                <w:b w:val="1"/>
                <w:bCs w:val="1"/>
                <w:color w:val="0033A0"/>
                <w:w w:val="98"/>
              </w:rPr>
              <w:t>Matching</w:t>
            </w:r>
          </w:p>
        </w:tc>
        <w:tc>
          <w:tcPr>
            <w:tcW w:w="340" w:type="dxa"/>
            <w:vAlign w:val="bottom"/>
          </w:tcPr>
          <w:p>
            <w:pPr>
              <w:spacing w:after="0"/>
              <w:rPr>
                <w:sz w:val="11"/>
                <w:szCs w:val="11"/>
                <w:color w:val="auto"/>
              </w:rPr>
            </w:pPr>
          </w:p>
        </w:tc>
        <w:tc>
          <w:tcPr>
            <w:tcW w:w="920" w:type="dxa"/>
            <w:vAlign w:val="bottom"/>
          </w:tcPr>
          <w:p>
            <w:pPr>
              <w:jc w:val="center"/>
              <w:ind w:right="272"/>
              <w:spacing w:after="0" w:line="135" w:lineRule="exact"/>
              <w:rPr>
                <w:sz w:val="20"/>
                <w:szCs w:val="20"/>
                <w:color w:val="auto"/>
              </w:rPr>
            </w:pPr>
            <w:r>
              <w:rPr>
                <w:rFonts w:ascii="Arial" w:cs="Arial" w:eastAsia="Arial" w:hAnsi="Arial"/>
                <w:sz w:val="13"/>
                <w:szCs w:val="13"/>
                <w:b w:val="1"/>
                <w:bCs w:val="1"/>
                <w:color w:val="0033A0"/>
                <w:w w:val="94"/>
              </w:rPr>
              <w:t>Matching</w:t>
            </w:r>
          </w:p>
        </w:tc>
        <w:tc>
          <w:tcPr>
            <w:tcW w:w="900" w:type="dxa"/>
            <w:vAlign w:val="bottom"/>
          </w:tcPr>
          <w:p>
            <w:pPr>
              <w:spacing w:after="0"/>
              <w:rPr>
                <w:sz w:val="11"/>
                <w:szCs w:val="11"/>
                <w:color w:val="auto"/>
              </w:rPr>
            </w:pPr>
          </w:p>
        </w:tc>
      </w:tr>
      <w:tr>
        <w:trPr>
          <w:trHeight w:val="157"/>
        </w:trPr>
        <w:tc>
          <w:tcPr>
            <w:tcW w:w="5240" w:type="dxa"/>
            <w:vAlign w:val="bottom"/>
            <w:tcBorders>
              <w:bottom w:val="single" w:sz="8" w:color="0033A0"/>
            </w:tcBorders>
          </w:tcPr>
          <w:p>
            <w:pPr>
              <w:ind w:left="60"/>
              <w:spacing w:after="0"/>
              <w:rPr>
                <w:sz w:val="20"/>
                <w:szCs w:val="20"/>
                <w:color w:val="auto"/>
              </w:rPr>
            </w:pPr>
            <w:r>
              <w:rPr>
                <w:rFonts w:ascii="Arial" w:cs="Arial" w:eastAsia="Arial" w:hAnsi="Arial"/>
                <w:sz w:val="13"/>
                <w:szCs w:val="13"/>
                <w:b w:val="1"/>
                <w:bCs w:val="1"/>
                <w:color w:val="0033A0"/>
              </w:rPr>
              <w:t>Name</w:t>
            </w:r>
          </w:p>
        </w:tc>
        <w:tc>
          <w:tcPr>
            <w:tcW w:w="1260" w:type="dxa"/>
            <w:vAlign w:val="bottom"/>
            <w:tcBorders>
              <w:bottom w:val="single" w:sz="8" w:color="0033A0"/>
            </w:tcBorders>
            <w:gridSpan w:val="2"/>
          </w:tcPr>
          <w:p>
            <w:pPr>
              <w:jc w:val="right"/>
              <w:spacing w:after="0"/>
              <w:rPr>
                <w:sz w:val="20"/>
                <w:szCs w:val="20"/>
                <w:color w:val="auto"/>
              </w:rPr>
            </w:pPr>
            <w:r>
              <w:rPr>
                <w:rFonts w:ascii="Arial" w:cs="Arial" w:eastAsia="Arial" w:hAnsi="Arial"/>
                <w:sz w:val="13"/>
                <w:szCs w:val="13"/>
                <w:b w:val="1"/>
                <w:bCs w:val="1"/>
                <w:color w:val="0033A0"/>
              </w:rPr>
              <w:t>Contribution</w:t>
            </w:r>
          </w:p>
        </w:tc>
        <w:tc>
          <w:tcPr>
            <w:tcW w:w="1460" w:type="dxa"/>
            <w:vAlign w:val="bottom"/>
            <w:tcBorders>
              <w:bottom w:val="single" w:sz="8" w:color="0033A0"/>
            </w:tcBorders>
          </w:tcPr>
          <w:p>
            <w:pPr>
              <w:jc w:val="center"/>
              <w:ind w:left="153"/>
              <w:spacing w:after="0"/>
              <w:rPr>
                <w:sz w:val="20"/>
                <w:szCs w:val="20"/>
                <w:color w:val="auto"/>
              </w:rPr>
            </w:pPr>
            <w:r>
              <w:rPr>
                <w:rFonts w:ascii="Arial" w:cs="Arial" w:eastAsia="Arial" w:hAnsi="Arial"/>
                <w:sz w:val="13"/>
                <w:szCs w:val="13"/>
                <w:b w:val="1"/>
                <w:bCs w:val="1"/>
                <w:color w:val="0033A0"/>
                <w:w w:val="97"/>
              </w:rPr>
              <w:t>Contribution</w:t>
            </w:r>
          </w:p>
        </w:tc>
        <w:tc>
          <w:tcPr>
            <w:tcW w:w="1260" w:type="dxa"/>
            <w:vAlign w:val="bottom"/>
            <w:tcBorders>
              <w:bottom w:val="single" w:sz="8" w:color="0033A0"/>
            </w:tcBorders>
            <w:gridSpan w:val="2"/>
          </w:tcPr>
          <w:p>
            <w:pPr>
              <w:jc w:val="center"/>
              <w:spacing w:after="0"/>
              <w:rPr>
                <w:sz w:val="20"/>
                <w:szCs w:val="20"/>
                <w:color w:val="auto"/>
              </w:rPr>
            </w:pPr>
            <w:r>
              <w:rPr>
                <w:rFonts w:ascii="Arial" w:cs="Arial" w:eastAsia="Arial" w:hAnsi="Arial"/>
                <w:sz w:val="13"/>
                <w:szCs w:val="13"/>
                <w:b w:val="1"/>
                <w:bCs w:val="1"/>
                <w:color w:val="0033A0"/>
                <w:w w:val="97"/>
              </w:rPr>
              <w:t>Contribution</w:t>
            </w:r>
          </w:p>
        </w:tc>
        <w:tc>
          <w:tcPr>
            <w:tcW w:w="900" w:type="dxa"/>
            <w:vAlign w:val="bottom"/>
            <w:tcBorders>
              <w:bottom w:val="single" w:sz="8" w:color="0033A0"/>
            </w:tcBorders>
          </w:tcPr>
          <w:p>
            <w:pPr>
              <w:jc w:val="right"/>
              <w:ind w:right="70"/>
              <w:spacing w:after="0"/>
              <w:rPr>
                <w:sz w:val="20"/>
                <w:szCs w:val="20"/>
                <w:color w:val="auto"/>
              </w:rPr>
            </w:pPr>
            <w:r>
              <w:rPr>
                <w:rFonts w:ascii="Arial" w:cs="Arial" w:eastAsia="Arial" w:hAnsi="Arial"/>
                <w:sz w:val="13"/>
                <w:szCs w:val="13"/>
                <w:b w:val="1"/>
                <w:bCs w:val="1"/>
                <w:color w:val="0033A0"/>
              </w:rPr>
              <w:t>Total</w:t>
            </w:r>
            <w:r>
              <w:rPr>
                <w:rFonts w:ascii="Arial" w:cs="Arial" w:eastAsia="Arial" w:hAnsi="Arial"/>
                <w:sz w:val="10"/>
                <w:szCs w:val="10"/>
                <w:b w:val="1"/>
                <w:bCs w:val="1"/>
                <w:color w:val="0033A0"/>
              </w:rPr>
              <w:t>(a)</w:t>
            </w:r>
          </w:p>
        </w:tc>
      </w:tr>
      <w:tr>
        <w:trPr>
          <w:trHeight w:val="21"/>
        </w:trPr>
        <w:tc>
          <w:tcPr>
            <w:tcW w:w="5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5240" w:type="dxa"/>
            <w:vAlign w:val="bottom"/>
            <w:tcBorders>
              <w:bottom w:val="single" w:sz="8" w:color="D8E0F0"/>
            </w:tcBorders>
            <w:shd w:val="clear" w:color="auto" w:fill="D8E0F0"/>
          </w:tcPr>
          <w:p>
            <w:pPr>
              <w:ind w:left="60"/>
              <w:spacing w:after="0"/>
              <w:rPr>
                <w:sz w:val="20"/>
                <w:szCs w:val="20"/>
                <w:color w:val="auto"/>
              </w:rPr>
            </w:pPr>
            <w:r>
              <w:rPr>
                <w:rFonts w:ascii="Arial" w:cs="Arial" w:eastAsia="Arial" w:hAnsi="Arial"/>
                <w:sz w:val="14"/>
                <w:szCs w:val="14"/>
                <w:color w:val="auto"/>
              </w:rPr>
              <w:t>Mr. Pertz</w:t>
            </w:r>
          </w:p>
        </w:tc>
        <w:tc>
          <w:tcPr>
            <w:tcW w:w="560" w:type="dxa"/>
            <w:vAlign w:val="bottom"/>
            <w:tcBorders>
              <w:bottom w:val="single" w:sz="8" w:color="D8E0F0"/>
            </w:tcBorders>
            <w:shd w:val="clear" w:color="auto" w:fill="D8E0F0"/>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D8E0F0"/>
            </w:tcBorders>
            <w:shd w:val="clear" w:color="auto" w:fill="D8E0F0"/>
          </w:tcPr>
          <w:p>
            <w:pPr>
              <w:jc w:val="right"/>
              <w:spacing w:after="0"/>
              <w:rPr>
                <w:sz w:val="20"/>
                <w:szCs w:val="20"/>
                <w:color w:val="auto"/>
              </w:rPr>
            </w:pPr>
            <w:r>
              <w:rPr>
                <w:rFonts w:ascii="Arial" w:cs="Arial" w:eastAsia="Arial" w:hAnsi="Arial"/>
                <w:sz w:val="14"/>
                <w:szCs w:val="14"/>
                <w:color w:val="auto"/>
              </w:rPr>
              <w:t>97,500</w:t>
            </w:r>
          </w:p>
        </w:tc>
        <w:tc>
          <w:tcPr>
            <w:tcW w:w="1460" w:type="dxa"/>
            <w:vAlign w:val="bottom"/>
            <w:tcBorders>
              <w:bottom w:val="single" w:sz="8" w:color="D8E0F0"/>
            </w:tcBorders>
            <w:shd w:val="clear" w:color="auto" w:fill="D8E0F0"/>
          </w:tcPr>
          <w:p>
            <w:pPr>
              <w:jc w:val="right"/>
              <w:ind w:right="173"/>
              <w:spacing w:after="0"/>
              <w:rPr>
                <w:sz w:val="20"/>
                <w:szCs w:val="20"/>
                <w:color w:val="auto"/>
              </w:rPr>
            </w:pPr>
            <w:r>
              <w:rPr>
                <w:rFonts w:ascii="Arial" w:cs="Arial" w:eastAsia="Arial" w:hAnsi="Arial"/>
                <w:sz w:val="14"/>
                <w:szCs w:val="14"/>
                <w:color w:val="auto"/>
              </w:rPr>
              <w:t>$  225,150</w:t>
            </w:r>
          </w:p>
        </w:tc>
        <w:tc>
          <w:tcPr>
            <w:tcW w:w="340" w:type="dxa"/>
            <w:vAlign w:val="bottom"/>
            <w:tcBorders>
              <w:bottom w:val="single" w:sz="8" w:color="D8E0F0"/>
            </w:tcBorders>
            <w:shd w:val="clear" w:color="auto" w:fill="D8E0F0"/>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D8E0F0"/>
            </w:tcBorders>
            <w:shd w:val="clear" w:color="auto" w:fill="D8E0F0"/>
          </w:tcPr>
          <w:p>
            <w:pPr>
              <w:jc w:val="right"/>
              <w:ind w:right="172"/>
              <w:spacing w:after="0"/>
              <w:rPr>
                <w:sz w:val="20"/>
                <w:szCs w:val="20"/>
                <w:color w:val="auto"/>
              </w:rPr>
            </w:pPr>
            <w:r>
              <w:rPr>
                <w:rFonts w:ascii="Arial" w:cs="Arial" w:eastAsia="Arial" w:hAnsi="Arial"/>
                <w:sz w:val="14"/>
                <w:szCs w:val="14"/>
                <w:color w:val="auto"/>
              </w:rPr>
              <w:t>52,363</w:t>
            </w:r>
          </w:p>
        </w:tc>
        <w:tc>
          <w:tcPr>
            <w:tcW w:w="900" w:type="dxa"/>
            <w:vAlign w:val="bottom"/>
            <w:tcBorders>
              <w:bottom w:val="single" w:sz="8" w:color="D8E0F0"/>
            </w:tcBorders>
            <w:shd w:val="clear" w:color="auto" w:fill="D8E0F0"/>
          </w:tcPr>
          <w:p>
            <w:pPr>
              <w:jc w:val="right"/>
              <w:spacing w:after="0"/>
              <w:rPr>
                <w:sz w:val="20"/>
                <w:szCs w:val="20"/>
                <w:color w:val="auto"/>
              </w:rPr>
            </w:pPr>
            <w:r>
              <w:rPr>
                <w:rFonts w:ascii="Arial" w:cs="Arial" w:eastAsia="Arial" w:hAnsi="Arial"/>
                <w:sz w:val="14"/>
                <w:szCs w:val="14"/>
                <w:color w:val="auto"/>
              </w:rPr>
              <w:t>$375,013</w:t>
            </w:r>
          </w:p>
        </w:tc>
      </w:tr>
      <w:tr>
        <w:trPr>
          <w:trHeight w:val="183"/>
        </w:trPr>
        <w:tc>
          <w:tcPr>
            <w:tcW w:w="5240" w:type="dxa"/>
            <w:vAlign w:val="bottom"/>
          </w:tcPr>
          <w:p>
            <w:pPr>
              <w:ind w:left="60"/>
              <w:spacing w:after="0"/>
              <w:rPr>
                <w:sz w:val="20"/>
                <w:szCs w:val="20"/>
                <w:color w:val="auto"/>
              </w:rPr>
            </w:pPr>
            <w:r>
              <w:rPr>
                <w:rFonts w:ascii="Arial" w:cs="Arial" w:eastAsia="Arial" w:hAnsi="Arial"/>
                <w:sz w:val="14"/>
                <w:szCs w:val="14"/>
                <w:color w:val="auto"/>
              </w:rPr>
              <w:t>Mr. Domanico</w:t>
            </w:r>
          </w:p>
        </w:tc>
        <w:tc>
          <w:tcPr>
            <w:tcW w:w="5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59,583</w:t>
            </w:r>
          </w:p>
        </w:tc>
        <w:tc>
          <w:tcPr>
            <w:tcW w:w="1460" w:type="dxa"/>
            <w:vAlign w:val="bottom"/>
          </w:tcPr>
          <w:p>
            <w:pPr>
              <w:jc w:val="right"/>
              <w:ind w:right="173"/>
              <w:spacing w:after="0"/>
              <w:rPr>
                <w:sz w:val="20"/>
                <w:szCs w:val="20"/>
                <w:color w:val="auto"/>
              </w:rPr>
            </w:pPr>
            <w:r>
              <w:rPr>
                <w:rFonts w:ascii="Arial" w:cs="Arial" w:eastAsia="Arial" w:hAnsi="Arial"/>
                <w:sz w:val="14"/>
                <w:szCs w:val="14"/>
                <w:color w:val="auto"/>
              </w:rPr>
              <w:t>81,402</w:t>
            </w:r>
          </w:p>
        </w:tc>
        <w:tc>
          <w:tcPr>
            <w:tcW w:w="340" w:type="dxa"/>
            <w:vAlign w:val="bottom"/>
          </w:tcPr>
          <w:p>
            <w:pPr>
              <w:spacing w:after="0"/>
              <w:rPr>
                <w:sz w:val="15"/>
                <w:szCs w:val="15"/>
                <w:color w:val="auto"/>
              </w:rPr>
            </w:pPr>
          </w:p>
        </w:tc>
        <w:tc>
          <w:tcPr>
            <w:tcW w:w="920" w:type="dxa"/>
            <w:vAlign w:val="bottom"/>
          </w:tcPr>
          <w:p>
            <w:pPr>
              <w:jc w:val="right"/>
              <w:ind w:right="172"/>
              <w:spacing w:after="0"/>
              <w:rPr>
                <w:sz w:val="20"/>
                <w:szCs w:val="20"/>
                <w:color w:val="auto"/>
              </w:rPr>
            </w:pPr>
            <w:r>
              <w:rPr>
                <w:rFonts w:ascii="Arial" w:cs="Arial" w:eastAsia="Arial" w:hAnsi="Arial"/>
                <w:sz w:val="14"/>
                <w:szCs w:val="14"/>
                <w:color w:val="auto"/>
              </w:rPr>
              <w:t>11,614</w:t>
            </w:r>
          </w:p>
        </w:tc>
        <w:tc>
          <w:tcPr>
            <w:tcW w:w="900" w:type="dxa"/>
            <w:vAlign w:val="bottom"/>
          </w:tcPr>
          <w:p>
            <w:pPr>
              <w:jc w:val="right"/>
              <w:spacing w:after="0"/>
              <w:rPr>
                <w:sz w:val="20"/>
                <w:szCs w:val="20"/>
                <w:color w:val="auto"/>
              </w:rPr>
            </w:pPr>
            <w:r>
              <w:rPr>
                <w:rFonts w:ascii="Arial" w:cs="Arial" w:eastAsia="Arial" w:hAnsi="Arial"/>
                <w:sz w:val="14"/>
                <w:szCs w:val="14"/>
                <w:color w:val="auto"/>
              </w:rPr>
              <w:t>152,599</w:t>
            </w:r>
          </w:p>
        </w:tc>
      </w:tr>
      <w:tr>
        <w:trPr>
          <w:trHeight w:val="175"/>
        </w:trPr>
        <w:tc>
          <w:tcPr>
            <w:tcW w:w="5240" w:type="dxa"/>
            <w:vAlign w:val="bottom"/>
            <w:tcBorders>
              <w:bottom w:val="single" w:sz="8" w:color="D8E0F0"/>
            </w:tcBorders>
            <w:shd w:val="clear" w:color="auto" w:fill="D8E0F0"/>
          </w:tcPr>
          <w:p>
            <w:pPr>
              <w:ind w:left="60"/>
              <w:spacing w:after="0"/>
              <w:rPr>
                <w:sz w:val="20"/>
                <w:szCs w:val="20"/>
                <w:color w:val="auto"/>
              </w:rPr>
            </w:pPr>
            <w:r>
              <w:rPr>
                <w:rFonts w:ascii="Arial" w:cs="Arial" w:eastAsia="Arial" w:hAnsi="Arial"/>
                <w:sz w:val="14"/>
                <w:szCs w:val="14"/>
                <w:color w:val="auto"/>
              </w:rPr>
              <w:t>Mr. Beech</w:t>
            </w:r>
          </w:p>
        </w:tc>
        <w:tc>
          <w:tcPr>
            <w:tcW w:w="560" w:type="dxa"/>
            <w:vAlign w:val="bottom"/>
            <w:tcBorders>
              <w:bottom w:val="single" w:sz="8" w:color="D8E0F0"/>
            </w:tcBorders>
            <w:shd w:val="clear" w:color="auto" w:fill="D8E0F0"/>
          </w:tcPr>
          <w:p>
            <w:pPr>
              <w:spacing w:after="0"/>
              <w:rPr>
                <w:sz w:val="15"/>
                <w:szCs w:val="15"/>
                <w:color w:val="auto"/>
              </w:rPr>
            </w:pPr>
          </w:p>
        </w:tc>
        <w:tc>
          <w:tcPr>
            <w:tcW w:w="700" w:type="dxa"/>
            <w:vAlign w:val="bottom"/>
            <w:tcBorders>
              <w:bottom w:val="single" w:sz="8" w:color="D8E0F0"/>
            </w:tcBorders>
            <w:shd w:val="clear" w:color="auto" w:fill="D8E0F0"/>
          </w:tcPr>
          <w:p>
            <w:pPr>
              <w:jc w:val="right"/>
              <w:spacing w:after="0"/>
              <w:rPr>
                <w:sz w:val="20"/>
                <w:szCs w:val="20"/>
                <w:color w:val="auto"/>
              </w:rPr>
            </w:pPr>
            <w:r>
              <w:rPr>
                <w:rFonts w:ascii="Arial" w:cs="Arial" w:eastAsia="Arial" w:hAnsi="Arial"/>
                <w:sz w:val="14"/>
                <w:szCs w:val="14"/>
                <w:color w:val="auto"/>
              </w:rPr>
              <w:t>49,167</w:t>
            </w:r>
          </w:p>
        </w:tc>
        <w:tc>
          <w:tcPr>
            <w:tcW w:w="1460" w:type="dxa"/>
            <w:vAlign w:val="bottom"/>
            <w:tcBorders>
              <w:bottom w:val="single" w:sz="8" w:color="D8E0F0"/>
            </w:tcBorders>
            <w:shd w:val="clear" w:color="auto" w:fill="D8E0F0"/>
          </w:tcPr>
          <w:p>
            <w:pPr>
              <w:jc w:val="right"/>
              <w:ind w:right="173"/>
              <w:spacing w:after="0"/>
              <w:rPr>
                <w:sz w:val="20"/>
                <w:szCs w:val="20"/>
                <w:color w:val="auto"/>
              </w:rPr>
            </w:pPr>
            <w:r>
              <w:rPr>
                <w:rFonts w:ascii="Arial" w:cs="Arial" w:eastAsia="Arial" w:hAnsi="Arial"/>
                <w:sz w:val="14"/>
                <w:szCs w:val="14"/>
                <w:color w:val="auto"/>
              </w:rPr>
              <w:t>62,400</w:t>
            </w:r>
          </w:p>
        </w:tc>
        <w:tc>
          <w:tcPr>
            <w:tcW w:w="340" w:type="dxa"/>
            <w:vAlign w:val="bottom"/>
            <w:tcBorders>
              <w:bottom w:val="single" w:sz="8" w:color="D8E0F0"/>
            </w:tcBorders>
            <w:shd w:val="clear" w:color="auto" w:fill="D8E0F0"/>
          </w:tcPr>
          <w:p>
            <w:pPr>
              <w:spacing w:after="0"/>
              <w:rPr>
                <w:sz w:val="15"/>
                <w:szCs w:val="15"/>
                <w:color w:val="auto"/>
              </w:rPr>
            </w:pPr>
          </w:p>
        </w:tc>
        <w:tc>
          <w:tcPr>
            <w:tcW w:w="920" w:type="dxa"/>
            <w:vAlign w:val="bottom"/>
            <w:tcBorders>
              <w:bottom w:val="single" w:sz="8" w:color="D8E0F0"/>
            </w:tcBorders>
            <w:shd w:val="clear" w:color="auto" w:fill="D8E0F0"/>
          </w:tcPr>
          <w:p>
            <w:pPr>
              <w:jc w:val="right"/>
              <w:ind w:right="172"/>
              <w:spacing w:after="0"/>
              <w:rPr>
                <w:sz w:val="20"/>
                <w:szCs w:val="20"/>
                <w:color w:val="auto"/>
              </w:rPr>
            </w:pPr>
            <w:r>
              <w:rPr>
                <w:rFonts w:ascii="Arial" w:cs="Arial" w:eastAsia="Arial" w:hAnsi="Arial"/>
                <w:sz w:val="14"/>
                <w:szCs w:val="14"/>
                <w:color w:val="auto"/>
              </w:rPr>
              <w:t>8,233</w:t>
            </w:r>
          </w:p>
        </w:tc>
        <w:tc>
          <w:tcPr>
            <w:tcW w:w="900" w:type="dxa"/>
            <w:vAlign w:val="bottom"/>
            <w:tcBorders>
              <w:bottom w:val="single" w:sz="8" w:color="D8E0F0"/>
            </w:tcBorders>
            <w:shd w:val="clear" w:color="auto" w:fill="D8E0F0"/>
          </w:tcPr>
          <w:p>
            <w:pPr>
              <w:jc w:val="right"/>
              <w:spacing w:after="0"/>
              <w:rPr>
                <w:sz w:val="20"/>
                <w:szCs w:val="20"/>
                <w:color w:val="auto"/>
              </w:rPr>
            </w:pPr>
            <w:r>
              <w:rPr>
                <w:rFonts w:ascii="Arial" w:cs="Arial" w:eastAsia="Arial" w:hAnsi="Arial"/>
                <w:sz w:val="14"/>
                <w:szCs w:val="14"/>
                <w:color w:val="auto"/>
              </w:rPr>
              <w:t>119,800</w:t>
            </w:r>
          </w:p>
        </w:tc>
      </w:tr>
      <w:tr>
        <w:trPr>
          <w:trHeight w:val="177"/>
        </w:trPr>
        <w:tc>
          <w:tcPr>
            <w:tcW w:w="5240" w:type="dxa"/>
            <w:vAlign w:val="bottom"/>
          </w:tcPr>
          <w:p>
            <w:pPr>
              <w:ind w:left="60"/>
              <w:spacing w:after="0"/>
              <w:rPr>
                <w:sz w:val="20"/>
                <w:szCs w:val="20"/>
                <w:color w:val="auto"/>
              </w:rPr>
            </w:pPr>
            <w:r>
              <w:rPr>
                <w:rFonts w:ascii="Arial" w:cs="Arial" w:eastAsia="Arial" w:hAnsi="Arial"/>
                <w:sz w:val="14"/>
                <w:szCs w:val="14"/>
                <w:color w:val="auto"/>
              </w:rPr>
              <w:t>Mr. Marshall</w:t>
            </w:r>
          </w:p>
        </w:tc>
        <w:tc>
          <w:tcPr>
            <w:tcW w:w="5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50,218</w:t>
            </w:r>
          </w:p>
        </w:tc>
        <w:tc>
          <w:tcPr>
            <w:tcW w:w="1460" w:type="dxa"/>
            <w:vAlign w:val="bottom"/>
          </w:tcPr>
          <w:p>
            <w:pPr>
              <w:jc w:val="right"/>
              <w:ind w:right="173"/>
              <w:spacing w:after="0"/>
              <w:rPr>
                <w:sz w:val="20"/>
                <w:szCs w:val="20"/>
                <w:color w:val="auto"/>
              </w:rPr>
            </w:pPr>
            <w:r>
              <w:rPr>
                <w:rFonts w:ascii="Arial" w:cs="Arial" w:eastAsia="Arial" w:hAnsi="Arial"/>
                <w:sz w:val="14"/>
                <w:szCs w:val="14"/>
                <w:color w:val="auto"/>
              </w:rPr>
              <w:t>50,414</w:t>
            </w:r>
          </w:p>
        </w:tc>
        <w:tc>
          <w:tcPr>
            <w:tcW w:w="340" w:type="dxa"/>
            <w:vAlign w:val="bottom"/>
          </w:tcPr>
          <w:p>
            <w:pPr>
              <w:spacing w:after="0"/>
              <w:rPr>
                <w:sz w:val="15"/>
                <w:szCs w:val="15"/>
                <w:color w:val="auto"/>
              </w:rPr>
            </w:pPr>
          </w:p>
        </w:tc>
        <w:tc>
          <w:tcPr>
            <w:tcW w:w="920" w:type="dxa"/>
            <w:vAlign w:val="bottom"/>
          </w:tcPr>
          <w:p>
            <w:pPr>
              <w:jc w:val="right"/>
              <w:ind w:right="172"/>
              <w:spacing w:after="0"/>
              <w:rPr>
                <w:sz w:val="20"/>
                <w:szCs w:val="20"/>
                <w:color w:val="auto"/>
              </w:rPr>
            </w:pPr>
            <w:r>
              <w:rPr>
                <w:rFonts w:ascii="Arial" w:cs="Arial" w:eastAsia="Arial" w:hAnsi="Arial"/>
                <w:sz w:val="14"/>
                <w:szCs w:val="14"/>
                <w:color w:val="auto"/>
              </w:rPr>
              <w:t>8,500</w:t>
            </w:r>
          </w:p>
        </w:tc>
        <w:tc>
          <w:tcPr>
            <w:tcW w:w="900" w:type="dxa"/>
            <w:vAlign w:val="bottom"/>
          </w:tcPr>
          <w:p>
            <w:pPr>
              <w:jc w:val="right"/>
              <w:spacing w:after="0"/>
              <w:rPr>
                <w:sz w:val="20"/>
                <w:szCs w:val="20"/>
                <w:color w:val="auto"/>
              </w:rPr>
            </w:pPr>
            <w:r>
              <w:rPr>
                <w:rFonts w:ascii="Arial" w:cs="Arial" w:eastAsia="Arial" w:hAnsi="Arial"/>
                <w:sz w:val="14"/>
                <w:szCs w:val="14"/>
                <w:color w:val="auto"/>
              </w:rPr>
              <w:t>109,132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16510</wp:posOffset>
            </wp:positionV>
            <wp:extent cx="643191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431915" cy="8890"/>
                    </a:xfrm>
                    <a:prstGeom prst="rect">
                      <a:avLst/>
                    </a:prstGeom>
                    <a:noFill/>
                  </pic:spPr>
                </pic:pic>
              </a:graphicData>
            </a:graphic>
          </wp:anchor>
        </w:drawing>
      </w:r>
    </w:p>
    <w:p>
      <w:pPr>
        <w:ind w:left="960" w:hanging="432"/>
        <w:spacing w:after="0" w:line="187" w:lineRule="auto"/>
        <w:tabs>
          <w:tab w:leader="none" w:pos="960" w:val="left"/>
        </w:tabs>
        <w:numPr>
          <w:ilvl w:val="1"/>
          <w:numId w:val="56"/>
        </w:numPr>
        <w:rPr>
          <w:rFonts w:ascii="Arial" w:cs="Arial" w:eastAsia="Arial" w:hAnsi="Arial"/>
          <w:sz w:val="24"/>
          <w:szCs w:val="24"/>
          <w:color w:val="auto"/>
          <w:vertAlign w:val="superscript"/>
        </w:rPr>
      </w:pPr>
      <w:r>
        <w:rPr>
          <w:rFonts w:ascii="Arial" w:cs="Arial" w:eastAsia="Arial" w:hAnsi="Arial"/>
          <w:sz w:val="14"/>
          <w:szCs w:val="14"/>
          <w:color w:val="auto"/>
        </w:rPr>
        <w:t>These amounts are included within “All Other Compensation” for 2018 in the Summary Compensation Table.</w:t>
      </w:r>
    </w:p>
    <w:p>
      <w:pPr>
        <w:spacing w:after="0" w:line="31" w:lineRule="exact"/>
        <w:rPr>
          <w:rFonts w:ascii="Arial" w:cs="Arial" w:eastAsia="Arial" w:hAnsi="Arial"/>
          <w:sz w:val="24"/>
          <w:szCs w:val="24"/>
          <w:color w:val="auto"/>
          <w:vertAlign w:val="superscript"/>
        </w:rPr>
      </w:pPr>
    </w:p>
    <w:p>
      <w:pPr>
        <w:ind w:left="520" w:hanging="316"/>
        <w:spacing w:after="0"/>
        <w:tabs>
          <w:tab w:leader="none" w:pos="520" w:val="left"/>
        </w:tabs>
        <w:numPr>
          <w:ilvl w:val="0"/>
          <w:numId w:val="57"/>
        </w:numPr>
        <w:rPr>
          <w:rFonts w:ascii="Arial" w:cs="Arial" w:eastAsia="Arial" w:hAnsi="Arial"/>
          <w:sz w:val="24"/>
          <w:szCs w:val="24"/>
          <w:color w:val="auto"/>
          <w:vertAlign w:val="superscript"/>
        </w:rPr>
      </w:pPr>
      <w:r>
        <w:rPr>
          <w:rFonts w:ascii="Arial" w:cs="Arial" w:eastAsia="Arial" w:hAnsi="Arial"/>
          <w:sz w:val="14"/>
          <w:szCs w:val="14"/>
          <w:color w:val="auto"/>
        </w:rPr>
        <w:t>Under the deferred compensation program, dividends paid on Brink’s Common Stock for the common stock units in a participant’s account are deferred and converted into common stock units that represent an equivalent number of shares of Brink’s Common Stock in accordance with the formula in the deferred compensation program. The following table sets forth the aggregate amount of dividends paid on Brink’s Common Stock in 2018 for the common stock units in each named executive officer’s account:</w:t>
      </w:r>
    </w:p>
    <w:p>
      <w:pPr>
        <w:spacing w:after="0" w:line="131"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7540" w:type="dxa"/>
            <w:vAlign w:val="bottom"/>
          </w:tcPr>
          <w:p>
            <w:pPr>
              <w:spacing w:after="0"/>
              <w:rPr>
                <w:sz w:val="12"/>
                <w:szCs w:val="12"/>
                <w:color w:val="auto"/>
              </w:rPr>
            </w:pPr>
          </w:p>
        </w:tc>
        <w:tc>
          <w:tcPr>
            <w:tcW w:w="2580" w:type="dxa"/>
            <w:vAlign w:val="bottom"/>
            <w:gridSpan w:val="2"/>
          </w:tcPr>
          <w:p>
            <w:pPr>
              <w:ind w:left="1280"/>
              <w:spacing w:after="0"/>
              <w:rPr>
                <w:sz w:val="20"/>
                <w:szCs w:val="20"/>
                <w:color w:val="auto"/>
              </w:rPr>
            </w:pPr>
            <w:r>
              <w:rPr>
                <w:rFonts w:ascii="Arial" w:cs="Arial" w:eastAsia="Arial" w:hAnsi="Arial"/>
                <w:sz w:val="13"/>
                <w:szCs w:val="13"/>
                <w:b w:val="1"/>
                <w:bCs w:val="1"/>
                <w:color w:val="0033A0"/>
                <w:w w:val="98"/>
              </w:rPr>
              <w:t>Dividends on Brink’s</w:t>
            </w:r>
          </w:p>
        </w:tc>
      </w:tr>
      <w:tr>
        <w:trPr>
          <w:trHeight w:val="157"/>
        </w:trPr>
        <w:tc>
          <w:tcPr>
            <w:tcW w:w="7540" w:type="dxa"/>
            <w:vAlign w:val="bottom"/>
            <w:tcBorders>
              <w:bottom w:val="single" w:sz="8" w:color="0033A0"/>
            </w:tcBorders>
          </w:tcPr>
          <w:p>
            <w:pPr>
              <w:ind w:left="60"/>
              <w:spacing w:after="0"/>
              <w:rPr>
                <w:sz w:val="20"/>
                <w:szCs w:val="20"/>
                <w:color w:val="auto"/>
              </w:rPr>
            </w:pPr>
            <w:r>
              <w:rPr>
                <w:rFonts w:ascii="Arial" w:cs="Arial" w:eastAsia="Arial" w:hAnsi="Arial"/>
                <w:sz w:val="13"/>
                <w:szCs w:val="13"/>
                <w:b w:val="1"/>
                <w:bCs w:val="1"/>
                <w:color w:val="0033A0"/>
              </w:rPr>
              <w:t>Name</w:t>
            </w:r>
          </w:p>
        </w:tc>
        <w:tc>
          <w:tcPr>
            <w:tcW w:w="1380" w:type="dxa"/>
            <w:vAlign w:val="bottom"/>
            <w:tcBorders>
              <w:bottom w:val="single" w:sz="8" w:color="0033A0"/>
            </w:tcBorders>
          </w:tcPr>
          <w:p>
            <w:pPr>
              <w:spacing w:after="0"/>
              <w:rPr>
                <w:sz w:val="13"/>
                <w:szCs w:val="13"/>
                <w:color w:val="auto"/>
              </w:rPr>
            </w:pPr>
          </w:p>
        </w:tc>
        <w:tc>
          <w:tcPr>
            <w:tcW w:w="1200" w:type="dxa"/>
            <w:vAlign w:val="bottom"/>
            <w:tcBorders>
              <w:bottom w:val="single" w:sz="8" w:color="0033A0"/>
            </w:tcBorders>
          </w:tcPr>
          <w:p>
            <w:pPr>
              <w:jc w:val="right"/>
              <w:ind w:right="70"/>
              <w:spacing w:after="0"/>
              <w:rPr>
                <w:sz w:val="20"/>
                <w:szCs w:val="20"/>
                <w:color w:val="auto"/>
              </w:rPr>
            </w:pPr>
            <w:r>
              <w:rPr>
                <w:rFonts w:ascii="Arial" w:cs="Arial" w:eastAsia="Arial" w:hAnsi="Arial"/>
                <w:sz w:val="13"/>
                <w:szCs w:val="13"/>
                <w:b w:val="1"/>
                <w:bCs w:val="1"/>
                <w:color w:val="0033A0"/>
                <w:w w:val="96"/>
              </w:rPr>
              <w:t>Common Stock</w:t>
            </w:r>
            <w:r>
              <w:rPr>
                <w:rFonts w:ascii="Arial" w:cs="Arial" w:eastAsia="Arial" w:hAnsi="Arial"/>
                <w:sz w:val="10"/>
                <w:szCs w:val="10"/>
                <w:b w:val="1"/>
                <w:bCs w:val="1"/>
                <w:color w:val="0033A0"/>
                <w:w w:val="96"/>
              </w:rPr>
              <w:t>(a)</w:t>
            </w:r>
          </w:p>
        </w:tc>
      </w:tr>
      <w:tr>
        <w:trPr>
          <w:trHeight w:val="21"/>
        </w:trPr>
        <w:tc>
          <w:tcPr>
            <w:tcW w:w="75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16"/>
        </w:trPr>
        <w:tc>
          <w:tcPr>
            <w:tcW w:w="7540" w:type="dxa"/>
            <w:vAlign w:val="bottom"/>
            <w:shd w:val="clear" w:color="auto" w:fill="D8E0F0"/>
          </w:tcPr>
          <w:p>
            <w:pPr>
              <w:ind w:left="60"/>
              <w:spacing w:after="0"/>
              <w:rPr>
                <w:sz w:val="20"/>
                <w:szCs w:val="20"/>
                <w:color w:val="auto"/>
              </w:rPr>
            </w:pPr>
            <w:r>
              <w:rPr>
                <w:rFonts w:ascii="Arial" w:cs="Arial" w:eastAsia="Arial" w:hAnsi="Arial"/>
                <w:sz w:val="14"/>
                <w:szCs w:val="14"/>
                <w:color w:val="auto"/>
              </w:rPr>
              <w:t>Mr. Pertz</w:t>
            </w:r>
          </w:p>
        </w:tc>
        <w:tc>
          <w:tcPr>
            <w:tcW w:w="1380" w:type="dxa"/>
            <w:vAlign w:val="bottom"/>
            <w:shd w:val="clear" w:color="auto" w:fill="D8E0F0"/>
          </w:tcPr>
          <w:p>
            <w:pPr>
              <w:ind w:left="1280"/>
              <w:spacing w:after="0"/>
              <w:rPr>
                <w:sz w:val="20"/>
                <w:szCs w:val="20"/>
                <w:color w:val="auto"/>
              </w:rPr>
            </w:pPr>
            <w:r>
              <w:rPr>
                <w:rFonts w:ascii="Arial" w:cs="Arial" w:eastAsia="Arial" w:hAnsi="Arial"/>
                <w:sz w:val="14"/>
                <w:szCs w:val="14"/>
                <w:color w:val="auto"/>
              </w:rPr>
              <w:t>$</w:t>
            </w:r>
          </w:p>
        </w:tc>
        <w:tc>
          <w:tcPr>
            <w:tcW w:w="1200" w:type="dxa"/>
            <w:vAlign w:val="bottom"/>
            <w:shd w:val="clear" w:color="auto" w:fill="D8E0F0"/>
          </w:tcPr>
          <w:p>
            <w:pPr>
              <w:jc w:val="right"/>
              <w:spacing w:after="0"/>
              <w:rPr>
                <w:sz w:val="20"/>
                <w:szCs w:val="20"/>
                <w:color w:val="auto"/>
              </w:rPr>
            </w:pPr>
            <w:r>
              <w:rPr>
                <w:rFonts w:ascii="Arial" w:cs="Arial" w:eastAsia="Arial" w:hAnsi="Arial"/>
                <w:sz w:val="14"/>
                <w:szCs w:val="14"/>
                <w:color w:val="auto"/>
              </w:rPr>
              <w:t>4,689</w:t>
            </w:r>
          </w:p>
        </w:tc>
      </w:tr>
      <w:tr>
        <w:trPr>
          <w:trHeight w:val="183"/>
        </w:trPr>
        <w:tc>
          <w:tcPr>
            <w:tcW w:w="7540" w:type="dxa"/>
            <w:vAlign w:val="bottom"/>
          </w:tcPr>
          <w:p>
            <w:pPr>
              <w:ind w:left="60"/>
              <w:spacing w:after="0"/>
              <w:rPr>
                <w:sz w:val="20"/>
                <w:szCs w:val="20"/>
                <w:color w:val="auto"/>
              </w:rPr>
            </w:pPr>
            <w:r>
              <w:rPr>
                <w:rFonts w:ascii="Arial" w:cs="Arial" w:eastAsia="Arial" w:hAnsi="Arial"/>
                <w:sz w:val="14"/>
                <w:szCs w:val="14"/>
                <w:color w:val="auto"/>
              </w:rPr>
              <w:t>Mr. Domanico</w:t>
            </w:r>
          </w:p>
        </w:tc>
        <w:tc>
          <w:tcPr>
            <w:tcW w:w="1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3,660</w:t>
            </w:r>
          </w:p>
        </w:tc>
      </w:tr>
      <w:tr>
        <w:trPr>
          <w:trHeight w:val="175"/>
        </w:trPr>
        <w:tc>
          <w:tcPr>
            <w:tcW w:w="7540" w:type="dxa"/>
            <w:vAlign w:val="bottom"/>
            <w:tcBorders>
              <w:bottom w:val="single" w:sz="8" w:color="D8E0F0"/>
            </w:tcBorders>
            <w:shd w:val="clear" w:color="auto" w:fill="D8E0F0"/>
          </w:tcPr>
          <w:p>
            <w:pPr>
              <w:ind w:left="60"/>
              <w:spacing w:after="0"/>
              <w:rPr>
                <w:sz w:val="20"/>
                <w:szCs w:val="20"/>
                <w:color w:val="auto"/>
              </w:rPr>
            </w:pPr>
            <w:r>
              <w:rPr>
                <w:rFonts w:ascii="Arial" w:cs="Arial" w:eastAsia="Arial" w:hAnsi="Arial"/>
                <w:sz w:val="14"/>
                <w:szCs w:val="14"/>
                <w:color w:val="auto"/>
              </w:rPr>
              <w:t>Mr. Beech</w:t>
            </w:r>
          </w:p>
        </w:tc>
        <w:tc>
          <w:tcPr>
            <w:tcW w:w="1380" w:type="dxa"/>
            <w:vAlign w:val="bottom"/>
            <w:tcBorders>
              <w:bottom w:val="single" w:sz="8" w:color="D8E0F0"/>
            </w:tcBorders>
            <w:shd w:val="clear" w:color="auto" w:fill="D8E0F0"/>
          </w:tcPr>
          <w:p>
            <w:pPr>
              <w:spacing w:after="0"/>
              <w:rPr>
                <w:sz w:val="15"/>
                <w:szCs w:val="15"/>
                <w:color w:val="auto"/>
              </w:rPr>
            </w:pPr>
          </w:p>
        </w:tc>
        <w:tc>
          <w:tcPr>
            <w:tcW w:w="1200" w:type="dxa"/>
            <w:vAlign w:val="bottom"/>
            <w:tcBorders>
              <w:bottom w:val="single" w:sz="8" w:color="D8E0F0"/>
            </w:tcBorders>
            <w:shd w:val="clear" w:color="auto" w:fill="D8E0F0"/>
          </w:tcPr>
          <w:p>
            <w:pPr>
              <w:jc w:val="right"/>
              <w:spacing w:after="0"/>
              <w:rPr>
                <w:sz w:val="20"/>
                <w:szCs w:val="20"/>
                <w:color w:val="auto"/>
              </w:rPr>
            </w:pPr>
            <w:r>
              <w:rPr>
                <w:rFonts w:ascii="Arial" w:cs="Arial" w:eastAsia="Arial" w:hAnsi="Arial"/>
                <w:sz w:val="14"/>
                <w:szCs w:val="14"/>
                <w:color w:val="auto"/>
              </w:rPr>
              <w:t>4,591</w:t>
            </w:r>
          </w:p>
        </w:tc>
      </w:tr>
      <w:tr>
        <w:trPr>
          <w:trHeight w:val="177"/>
        </w:trPr>
        <w:tc>
          <w:tcPr>
            <w:tcW w:w="7540" w:type="dxa"/>
            <w:vAlign w:val="bottom"/>
          </w:tcPr>
          <w:p>
            <w:pPr>
              <w:ind w:left="60"/>
              <w:spacing w:after="0"/>
              <w:rPr>
                <w:sz w:val="20"/>
                <w:szCs w:val="20"/>
                <w:color w:val="auto"/>
              </w:rPr>
            </w:pPr>
            <w:r>
              <w:rPr>
                <w:rFonts w:ascii="Arial" w:cs="Arial" w:eastAsia="Arial" w:hAnsi="Arial"/>
                <w:sz w:val="14"/>
                <w:szCs w:val="14"/>
                <w:color w:val="auto"/>
              </w:rPr>
              <w:t>Mr. Marshall</w:t>
            </w:r>
          </w:p>
        </w:tc>
        <w:tc>
          <w:tcPr>
            <w:tcW w:w="1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26,215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16510</wp:posOffset>
            </wp:positionV>
            <wp:extent cx="643191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431915" cy="8890"/>
                    </a:xfrm>
                    <a:prstGeom prst="rect">
                      <a:avLst/>
                    </a:prstGeom>
                    <a:noFill/>
                  </pic:spPr>
                </pic:pic>
              </a:graphicData>
            </a:graphic>
          </wp:anchor>
        </w:drawing>
      </w:r>
    </w:p>
    <w:p>
      <w:pPr>
        <w:ind w:left="960" w:hanging="432"/>
        <w:spacing w:after="0" w:line="187" w:lineRule="auto"/>
        <w:tabs>
          <w:tab w:leader="none" w:pos="960" w:val="left"/>
        </w:tabs>
        <w:numPr>
          <w:ilvl w:val="1"/>
          <w:numId w:val="58"/>
        </w:numPr>
        <w:rPr>
          <w:rFonts w:ascii="Arial" w:cs="Arial" w:eastAsia="Arial" w:hAnsi="Arial"/>
          <w:sz w:val="24"/>
          <w:szCs w:val="24"/>
          <w:color w:val="auto"/>
          <w:vertAlign w:val="superscript"/>
        </w:rPr>
      </w:pPr>
      <w:r>
        <w:rPr>
          <w:rFonts w:ascii="Arial" w:cs="Arial" w:eastAsia="Arial" w:hAnsi="Arial"/>
          <w:sz w:val="14"/>
          <w:szCs w:val="14"/>
          <w:color w:val="auto"/>
        </w:rPr>
        <w:t>These amounts are not included in the Summary Compensation Table, as they are not earned at a rate higher than dividends on Brink’s Common Stock.</w:t>
      </w:r>
    </w:p>
    <w:p>
      <w:pPr>
        <w:spacing w:after="0" w:line="31" w:lineRule="exact"/>
        <w:rPr>
          <w:rFonts w:ascii="Arial" w:cs="Arial" w:eastAsia="Arial" w:hAnsi="Arial"/>
          <w:sz w:val="24"/>
          <w:szCs w:val="24"/>
          <w:color w:val="auto"/>
          <w:vertAlign w:val="superscript"/>
        </w:rPr>
      </w:pPr>
    </w:p>
    <w:p>
      <w:pPr>
        <w:ind w:left="520" w:hanging="316"/>
        <w:spacing w:after="0" w:line="214" w:lineRule="auto"/>
        <w:tabs>
          <w:tab w:leader="none" w:pos="520" w:val="left"/>
        </w:tabs>
        <w:numPr>
          <w:ilvl w:val="0"/>
          <w:numId w:val="59"/>
        </w:numPr>
        <w:rPr>
          <w:rFonts w:ascii="Arial" w:cs="Arial" w:eastAsia="Arial" w:hAnsi="Arial"/>
          <w:sz w:val="24"/>
          <w:szCs w:val="24"/>
          <w:color w:val="auto"/>
          <w:vertAlign w:val="superscript"/>
        </w:rPr>
      </w:pPr>
      <w:r>
        <w:rPr>
          <w:rFonts w:ascii="Arial" w:cs="Arial" w:eastAsia="Arial" w:hAnsi="Arial"/>
          <w:sz w:val="14"/>
          <w:szCs w:val="14"/>
          <w:color w:val="auto"/>
        </w:rPr>
        <w:t>The following table sets forth the composition of the aggregate balance of deferred compensation under the deferred compensation program as of December 31, 2018 for each of the named executive officers. It includes (a) the aggregate contributions made by each of the named executive officers, (b) the aggregate contributions made by the Company on behalf of each of the named executive officers, (c) dividends paid on Brink’s Common Stock for the common stock units in each named executive officer’s account and the change in market value of the common stock units based on the change in market value of Brink’s Common Stock or the change in value of notional investments in mutual funds, as appropriate; and (d) aggregate distributions to participants:</w:t>
      </w:r>
    </w:p>
    <w:p>
      <w:pPr>
        <w:spacing w:after="0" w:line="70"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5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jc w:val="center"/>
              <w:ind w:right="291"/>
              <w:spacing w:after="0"/>
              <w:rPr>
                <w:sz w:val="20"/>
                <w:szCs w:val="20"/>
                <w:color w:val="auto"/>
              </w:rPr>
            </w:pPr>
            <w:r>
              <w:rPr>
                <w:rFonts w:ascii="Arial" w:cs="Arial" w:eastAsia="Arial" w:hAnsi="Arial"/>
                <w:sz w:val="13"/>
                <w:szCs w:val="13"/>
                <w:b w:val="1"/>
                <w:bCs w:val="1"/>
                <w:color w:val="0033A0"/>
                <w:w w:val="96"/>
              </w:rPr>
              <w:t>Dividends</w:t>
            </w: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35"/>
        </w:trPr>
        <w:tc>
          <w:tcPr>
            <w:tcW w:w="25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500" w:type="dxa"/>
            <w:vAlign w:val="bottom"/>
          </w:tcPr>
          <w:p>
            <w:pPr>
              <w:jc w:val="center"/>
              <w:ind w:left="132"/>
              <w:spacing w:after="0" w:line="135" w:lineRule="exact"/>
              <w:rPr>
                <w:sz w:val="20"/>
                <w:szCs w:val="20"/>
                <w:color w:val="auto"/>
              </w:rPr>
            </w:pPr>
            <w:r>
              <w:rPr>
                <w:rFonts w:ascii="Arial" w:cs="Arial" w:eastAsia="Arial" w:hAnsi="Arial"/>
                <w:sz w:val="13"/>
                <w:szCs w:val="13"/>
                <w:b w:val="1"/>
                <w:bCs w:val="1"/>
                <w:color w:val="0033A0"/>
                <w:w w:val="96"/>
              </w:rPr>
              <w:t>Aggregate</w:t>
            </w:r>
          </w:p>
        </w:tc>
        <w:tc>
          <w:tcPr>
            <w:tcW w:w="1320" w:type="dxa"/>
            <w:vAlign w:val="bottom"/>
          </w:tcPr>
          <w:p>
            <w:pPr>
              <w:jc w:val="center"/>
              <w:spacing w:after="0" w:line="135" w:lineRule="exact"/>
              <w:rPr>
                <w:sz w:val="20"/>
                <w:szCs w:val="20"/>
                <w:color w:val="auto"/>
              </w:rPr>
            </w:pPr>
            <w:r>
              <w:rPr>
                <w:rFonts w:ascii="Arial" w:cs="Arial" w:eastAsia="Arial" w:hAnsi="Arial"/>
                <w:sz w:val="13"/>
                <w:szCs w:val="13"/>
                <w:b w:val="1"/>
                <w:bCs w:val="1"/>
                <w:color w:val="0033A0"/>
                <w:w w:val="96"/>
              </w:rPr>
              <w:t>Aggregate</w:t>
            </w:r>
          </w:p>
        </w:tc>
        <w:tc>
          <w:tcPr>
            <w:tcW w:w="320" w:type="dxa"/>
            <w:vAlign w:val="bottom"/>
          </w:tcPr>
          <w:p>
            <w:pPr>
              <w:spacing w:after="0"/>
              <w:rPr>
                <w:sz w:val="11"/>
                <w:szCs w:val="11"/>
                <w:color w:val="auto"/>
              </w:rPr>
            </w:pPr>
          </w:p>
        </w:tc>
        <w:tc>
          <w:tcPr>
            <w:tcW w:w="960" w:type="dxa"/>
            <w:vAlign w:val="bottom"/>
          </w:tcPr>
          <w:p>
            <w:pPr>
              <w:jc w:val="center"/>
              <w:ind w:right="271"/>
              <w:spacing w:after="0" w:line="135" w:lineRule="exact"/>
              <w:rPr>
                <w:sz w:val="20"/>
                <w:szCs w:val="20"/>
                <w:color w:val="auto"/>
              </w:rPr>
            </w:pPr>
            <w:r>
              <w:rPr>
                <w:rFonts w:ascii="Arial" w:cs="Arial" w:eastAsia="Arial" w:hAnsi="Arial"/>
                <w:sz w:val="13"/>
                <w:szCs w:val="13"/>
                <w:b w:val="1"/>
                <w:bCs w:val="1"/>
                <w:color w:val="0033A0"/>
                <w:w w:val="94"/>
              </w:rPr>
              <w:t>and</w:t>
            </w: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35"/>
        </w:trPr>
        <w:tc>
          <w:tcPr>
            <w:tcW w:w="2540" w:type="dxa"/>
            <w:vAlign w:val="bottom"/>
          </w:tcPr>
          <w:p>
            <w:pPr>
              <w:spacing w:after="0"/>
              <w:rPr>
                <w:sz w:val="11"/>
                <w:szCs w:val="11"/>
                <w:color w:val="auto"/>
              </w:rPr>
            </w:pPr>
          </w:p>
        </w:tc>
        <w:tc>
          <w:tcPr>
            <w:tcW w:w="1240" w:type="dxa"/>
            <w:vAlign w:val="bottom"/>
          </w:tcPr>
          <w:p>
            <w:pPr>
              <w:jc w:val="right"/>
              <w:ind w:right="111"/>
              <w:spacing w:after="0" w:line="135" w:lineRule="exact"/>
              <w:rPr>
                <w:sz w:val="20"/>
                <w:szCs w:val="20"/>
                <w:color w:val="auto"/>
              </w:rPr>
            </w:pPr>
            <w:r>
              <w:rPr>
                <w:rFonts w:ascii="Arial" w:cs="Arial" w:eastAsia="Arial" w:hAnsi="Arial"/>
                <w:sz w:val="13"/>
                <w:szCs w:val="13"/>
                <w:b w:val="1"/>
                <w:bCs w:val="1"/>
                <w:color w:val="0033A0"/>
              </w:rPr>
              <w:t>Years of</w:t>
            </w:r>
          </w:p>
        </w:tc>
        <w:tc>
          <w:tcPr>
            <w:tcW w:w="1500" w:type="dxa"/>
            <w:vAlign w:val="bottom"/>
          </w:tcPr>
          <w:p>
            <w:pPr>
              <w:jc w:val="center"/>
              <w:ind w:left="112"/>
              <w:spacing w:after="0" w:line="135" w:lineRule="exact"/>
              <w:rPr>
                <w:sz w:val="20"/>
                <w:szCs w:val="20"/>
                <w:color w:val="auto"/>
              </w:rPr>
            </w:pPr>
            <w:r>
              <w:rPr>
                <w:rFonts w:ascii="Arial" w:cs="Arial" w:eastAsia="Arial" w:hAnsi="Arial"/>
                <w:sz w:val="13"/>
                <w:szCs w:val="13"/>
                <w:b w:val="1"/>
                <w:bCs w:val="1"/>
                <w:color w:val="0033A0"/>
                <w:w w:val="98"/>
              </w:rPr>
              <w:t>Executive</w:t>
            </w:r>
          </w:p>
        </w:tc>
        <w:tc>
          <w:tcPr>
            <w:tcW w:w="1320" w:type="dxa"/>
            <w:vAlign w:val="bottom"/>
          </w:tcPr>
          <w:p>
            <w:pPr>
              <w:jc w:val="center"/>
              <w:spacing w:after="0" w:line="135" w:lineRule="exact"/>
              <w:rPr>
                <w:sz w:val="20"/>
                <w:szCs w:val="20"/>
                <w:color w:val="auto"/>
              </w:rPr>
            </w:pPr>
            <w:r>
              <w:rPr>
                <w:rFonts w:ascii="Arial" w:cs="Arial" w:eastAsia="Arial" w:hAnsi="Arial"/>
                <w:sz w:val="13"/>
                <w:szCs w:val="13"/>
                <w:b w:val="1"/>
                <w:bCs w:val="1"/>
                <w:color w:val="0033A0"/>
                <w:w w:val="97"/>
              </w:rPr>
              <w:t>Company</w:t>
            </w:r>
          </w:p>
        </w:tc>
        <w:tc>
          <w:tcPr>
            <w:tcW w:w="12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0033A0"/>
                <w:w w:val="96"/>
              </w:rPr>
              <w:t>Changes in</w:t>
            </w:r>
          </w:p>
        </w:tc>
        <w:tc>
          <w:tcPr>
            <w:tcW w:w="280" w:type="dxa"/>
            <w:vAlign w:val="bottom"/>
          </w:tcPr>
          <w:p>
            <w:pPr>
              <w:spacing w:after="0"/>
              <w:rPr>
                <w:sz w:val="11"/>
                <w:szCs w:val="11"/>
                <w:color w:val="auto"/>
              </w:rPr>
            </w:pPr>
          </w:p>
        </w:tc>
        <w:tc>
          <w:tcPr>
            <w:tcW w:w="940" w:type="dxa"/>
            <w:vAlign w:val="bottom"/>
          </w:tcPr>
          <w:p>
            <w:pPr>
              <w:jc w:val="right"/>
              <w:ind w:right="250"/>
              <w:spacing w:after="0" w:line="135" w:lineRule="exact"/>
              <w:rPr>
                <w:sz w:val="20"/>
                <w:szCs w:val="20"/>
                <w:color w:val="auto"/>
              </w:rPr>
            </w:pPr>
            <w:r>
              <w:rPr>
                <w:rFonts w:ascii="Arial" w:cs="Arial" w:eastAsia="Arial" w:hAnsi="Arial"/>
                <w:sz w:val="13"/>
                <w:szCs w:val="13"/>
                <w:b w:val="1"/>
                <w:bCs w:val="1"/>
                <w:color w:val="0033A0"/>
                <w:w w:val="93"/>
              </w:rPr>
              <w:t>Aggregate</w:t>
            </w:r>
          </w:p>
        </w:tc>
        <w:tc>
          <w:tcPr>
            <w:tcW w:w="1020" w:type="dxa"/>
            <w:vAlign w:val="bottom"/>
          </w:tcPr>
          <w:p>
            <w:pPr>
              <w:jc w:val="right"/>
              <w:ind w:right="31"/>
              <w:spacing w:after="0" w:line="135" w:lineRule="exact"/>
              <w:rPr>
                <w:sz w:val="20"/>
                <w:szCs w:val="20"/>
                <w:color w:val="auto"/>
              </w:rPr>
            </w:pPr>
            <w:r>
              <w:rPr>
                <w:rFonts w:ascii="Arial" w:cs="Arial" w:eastAsia="Arial" w:hAnsi="Arial"/>
                <w:sz w:val="13"/>
                <w:szCs w:val="13"/>
                <w:b w:val="1"/>
                <w:bCs w:val="1"/>
                <w:color w:val="0033A0"/>
              </w:rPr>
              <w:t>Aggregate</w:t>
            </w:r>
          </w:p>
        </w:tc>
      </w:tr>
      <w:tr>
        <w:trPr>
          <w:trHeight w:val="157"/>
        </w:trPr>
        <w:tc>
          <w:tcPr>
            <w:tcW w:w="2540" w:type="dxa"/>
            <w:vAlign w:val="bottom"/>
            <w:tcBorders>
              <w:bottom w:val="single" w:sz="8" w:color="0033A0"/>
            </w:tcBorders>
          </w:tcPr>
          <w:p>
            <w:pPr>
              <w:ind w:left="60"/>
              <w:spacing w:after="0"/>
              <w:rPr>
                <w:sz w:val="20"/>
                <w:szCs w:val="20"/>
                <w:color w:val="auto"/>
              </w:rPr>
            </w:pPr>
            <w:r>
              <w:rPr>
                <w:rFonts w:ascii="Arial" w:cs="Arial" w:eastAsia="Arial" w:hAnsi="Arial"/>
                <w:sz w:val="13"/>
                <w:szCs w:val="13"/>
                <w:b w:val="1"/>
                <w:bCs w:val="1"/>
                <w:color w:val="0033A0"/>
              </w:rPr>
              <w:t>Name</w:t>
            </w:r>
          </w:p>
        </w:tc>
        <w:tc>
          <w:tcPr>
            <w:tcW w:w="1240" w:type="dxa"/>
            <w:vAlign w:val="bottom"/>
            <w:tcBorders>
              <w:bottom w:val="single" w:sz="8" w:color="0033A0"/>
            </w:tcBorders>
          </w:tcPr>
          <w:p>
            <w:pPr>
              <w:jc w:val="right"/>
              <w:spacing w:after="0"/>
              <w:rPr>
                <w:sz w:val="20"/>
                <w:szCs w:val="20"/>
                <w:color w:val="auto"/>
              </w:rPr>
            </w:pPr>
            <w:r>
              <w:rPr>
                <w:rFonts w:ascii="Arial" w:cs="Arial" w:eastAsia="Arial" w:hAnsi="Arial"/>
                <w:sz w:val="13"/>
                <w:szCs w:val="13"/>
                <w:b w:val="1"/>
                <w:bCs w:val="1"/>
                <w:color w:val="0033A0"/>
              </w:rPr>
              <w:t>Participation</w:t>
            </w:r>
          </w:p>
        </w:tc>
        <w:tc>
          <w:tcPr>
            <w:tcW w:w="1500" w:type="dxa"/>
            <w:vAlign w:val="bottom"/>
            <w:tcBorders>
              <w:bottom w:val="single" w:sz="8" w:color="0033A0"/>
            </w:tcBorders>
          </w:tcPr>
          <w:p>
            <w:pPr>
              <w:jc w:val="center"/>
              <w:ind w:left="112"/>
              <w:spacing w:after="0"/>
              <w:rPr>
                <w:sz w:val="20"/>
                <w:szCs w:val="20"/>
                <w:color w:val="auto"/>
              </w:rPr>
            </w:pPr>
            <w:r>
              <w:rPr>
                <w:rFonts w:ascii="Arial" w:cs="Arial" w:eastAsia="Arial" w:hAnsi="Arial"/>
                <w:sz w:val="13"/>
                <w:szCs w:val="13"/>
                <w:b w:val="1"/>
                <w:bCs w:val="1"/>
                <w:color w:val="0033A0"/>
                <w:w w:val="98"/>
              </w:rPr>
              <w:t>Contributions</w:t>
            </w:r>
          </w:p>
        </w:tc>
        <w:tc>
          <w:tcPr>
            <w:tcW w:w="1320" w:type="dxa"/>
            <w:vAlign w:val="bottom"/>
            <w:tcBorders>
              <w:bottom w:val="single" w:sz="8" w:color="0033A0"/>
            </w:tcBorders>
          </w:tcPr>
          <w:p>
            <w:pPr>
              <w:jc w:val="center"/>
              <w:spacing w:after="0"/>
              <w:rPr>
                <w:sz w:val="20"/>
                <w:szCs w:val="20"/>
                <w:color w:val="auto"/>
              </w:rPr>
            </w:pPr>
            <w:r>
              <w:rPr>
                <w:rFonts w:ascii="Arial" w:cs="Arial" w:eastAsia="Arial" w:hAnsi="Arial"/>
                <w:sz w:val="13"/>
                <w:szCs w:val="13"/>
                <w:b w:val="1"/>
                <w:bCs w:val="1"/>
                <w:color w:val="0033A0"/>
                <w:w w:val="96"/>
              </w:rPr>
              <w:t>Contributions</w:t>
            </w:r>
          </w:p>
        </w:tc>
        <w:tc>
          <w:tcPr>
            <w:tcW w:w="1280" w:type="dxa"/>
            <w:vAlign w:val="bottom"/>
            <w:tcBorders>
              <w:bottom w:val="single" w:sz="8" w:color="0033A0"/>
            </w:tcBorders>
            <w:gridSpan w:val="2"/>
          </w:tcPr>
          <w:p>
            <w:pPr>
              <w:jc w:val="center"/>
              <w:spacing w:after="0"/>
              <w:rPr>
                <w:sz w:val="20"/>
                <w:szCs w:val="20"/>
                <w:color w:val="auto"/>
              </w:rPr>
            </w:pPr>
            <w:r>
              <w:rPr>
                <w:rFonts w:ascii="Arial" w:cs="Arial" w:eastAsia="Arial" w:hAnsi="Arial"/>
                <w:sz w:val="13"/>
                <w:szCs w:val="13"/>
                <w:b w:val="1"/>
                <w:bCs w:val="1"/>
                <w:color w:val="0033A0"/>
                <w:w w:val="97"/>
              </w:rPr>
              <w:t>Market Value</w:t>
            </w:r>
          </w:p>
        </w:tc>
        <w:tc>
          <w:tcPr>
            <w:tcW w:w="1220" w:type="dxa"/>
            <w:vAlign w:val="bottom"/>
            <w:tcBorders>
              <w:bottom w:val="single" w:sz="8" w:color="0033A0"/>
            </w:tcBorders>
            <w:gridSpan w:val="2"/>
          </w:tcPr>
          <w:p>
            <w:pPr>
              <w:ind w:left="200"/>
              <w:spacing w:after="0"/>
              <w:rPr>
                <w:sz w:val="20"/>
                <w:szCs w:val="20"/>
                <w:color w:val="auto"/>
              </w:rPr>
            </w:pPr>
            <w:r>
              <w:rPr>
                <w:rFonts w:ascii="Arial" w:cs="Arial" w:eastAsia="Arial" w:hAnsi="Arial"/>
                <w:sz w:val="13"/>
                <w:szCs w:val="13"/>
                <w:b w:val="1"/>
                <w:bCs w:val="1"/>
                <w:color w:val="0033A0"/>
              </w:rPr>
              <w:t>Distributions</w:t>
            </w:r>
          </w:p>
        </w:tc>
        <w:tc>
          <w:tcPr>
            <w:tcW w:w="1020" w:type="dxa"/>
            <w:vAlign w:val="bottom"/>
            <w:tcBorders>
              <w:bottom w:val="single" w:sz="8" w:color="0033A0"/>
            </w:tcBorders>
          </w:tcPr>
          <w:p>
            <w:pPr>
              <w:jc w:val="right"/>
              <w:ind w:right="31"/>
              <w:spacing w:after="0"/>
              <w:rPr>
                <w:sz w:val="20"/>
                <w:szCs w:val="20"/>
                <w:color w:val="auto"/>
              </w:rPr>
            </w:pPr>
            <w:r>
              <w:rPr>
                <w:rFonts w:ascii="Arial" w:cs="Arial" w:eastAsia="Arial" w:hAnsi="Arial"/>
                <w:sz w:val="13"/>
                <w:szCs w:val="13"/>
                <w:b w:val="1"/>
                <w:bCs w:val="1"/>
                <w:color w:val="0033A0"/>
              </w:rPr>
              <w:t>Balance</w:t>
            </w:r>
            <w:r>
              <w:rPr>
                <w:rFonts w:ascii="Arial" w:cs="Arial" w:eastAsia="Arial" w:hAnsi="Arial"/>
                <w:sz w:val="10"/>
                <w:szCs w:val="10"/>
                <w:b w:val="1"/>
                <w:bCs w:val="1"/>
                <w:color w:val="0033A0"/>
              </w:rPr>
              <w:t>(a)</w:t>
            </w:r>
          </w:p>
        </w:tc>
      </w:tr>
      <w:tr>
        <w:trPr>
          <w:trHeight w:val="21"/>
        </w:trPr>
        <w:tc>
          <w:tcPr>
            <w:tcW w:w="2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2540" w:type="dxa"/>
            <w:vAlign w:val="bottom"/>
            <w:tcBorders>
              <w:bottom w:val="single" w:sz="8" w:color="D8E0F0"/>
            </w:tcBorders>
            <w:shd w:val="clear" w:color="auto" w:fill="D8E0F0"/>
          </w:tcPr>
          <w:p>
            <w:pPr>
              <w:ind w:left="60"/>
              <w:spacing w:after="0"/>
              <w:rPr>
                <w:sz w:val="20"/>
                <w:szCs w:val="20"/>
                <w:color w:val="auto"/>
              </w:rPr>
            </w:pPr>
            <w:r>
              <w:rPr>
                <w:rFonts w:ascii="Arial" w:cs="Arial" w:eastAsia="Arial" w:hAnsi="Arial"/>
                <w:sz w:val="14"/>
                <w:szCs w:val="14"/>
                <w:color w:val="auto"/>
              </w:rPr>
              <w:t>Mr. Pertz</w:t>
            </w:r>
          </w:p>
        </w:tc>
        <w:tc>
          <w:tcPr>
            <w:tcW w:w="1240" w:type="dxa"/>
            <w:vAlign w:val="bottom"/>
            <w:tcBorders>
              <w:bottom w:val="single" w:sz="8" w:color="D8E0F0"/>
            </w:tcBorders>
            <w:shd w:val="clear" w:color="auto" w:fill="D8E0F0"/>
          </w:tcPr>
          <w:p>
            <w:pPr>
              <w:jc w:val="right"/>
              <w:spacing w:after="0"/>
              <w:rPr>
                <w:sz w:val="20"/>
                <w:szCs w:val="20"/>
                <w:color w:val="auto"/>
              </w:rPr>
            </w:pPr>
            <w:r>
              <w:rPr>
                <w:rFonts w:ascii="Arial" w:cs="Arial" w:eastAsia="Arial" w:hAnsi="Arial"/>
                <w:sz w:val="14"/>
                <w:szCs w:val="14"/>
                <w:color w:val="auto"/>
              </w:rPr>
              <w:t>2</w:t>
            </w:r>
          </w:p>
        </w:tc>
        <w:tc>
          <w:tcPr>
            <w:tcW w:w="1500" w:type="dxa"/>
            <w:vAlign w:val="bottom"/>
            <w:tcBorders>
              <w:bottom w:val="single" w:sz="8" w:color="D8E0F0"/>
            </w:tcBorders>
            <w:shd w:val="clear" w:color="auto" w:fill="D8E0F0"/>
          </w:tcPr>
          <w:p>
            <w:pPr>
              <w:jc w:val="right"/>
              <w:ind w:right="172"/>
              <w:spacing w:after="0"/>
              <w:rPr>
                <w:sz w:val="20"/>
                <w:szCs w:val="20"/>
                <w:color w:val="auto"/>
              </w:rPr>
            </w:pPr>
            <w:r>
              <w:rPr>
                <w:rFonts w:ascii="Arial" w:cs="Arial" w:eastAsia="Arial" w:hAnsi="Arial"/>
                <w:sz w:val="14"/>
                <w:szCs w:val="14"/>
                <w:color w:val="auto"/>
              </w:rPr>
              <w:t>$   538,222</w:t>
            </w:r>
          </w:p>
        </w:tc>
        <w:tc>
          <w:tcPr>
            <w:tcW w:w="1320" w:type="dxa"/>
            <w:vAlign w:val="bottom"/>
            <w:tcBorders>
              <w:bottom w:val="single" w:sz="8" w:color="D8E0F0"/>
            </w:tcBorders>
            <w:shd w:val="clear" w:color="auto" w:fill="D8E0F0"/>
          </w:tcPr>
          <w:p>
            <w:pPr>
              <w:jc w:val="right"/>
              <w:ind w:right="172"/>
              <w:spacing w:after="0"/>
              <w:rPr>
                <w:sz w:val="20"/>
                <w:szCs w:val="20"/>
                <w:color w:val="auto"/>
              </w:rPr>
            </w:pPr>
            <w:r>
              <w:rPr>
                <w:rFonts w:ascii="Arial" w:cs="Arial" w:eastAsia="Arial" w:hAnsi="Arial"/>
                <w:sz w:val="14"/>
                <w:szCs w:val="14"/>
                <w:color w:val="auto"/>
              </w:rPr>
              <w:t>$   538,222</w:t>
            </w:r>
          </w:p>
        </w:tc>
        <w:tc>
          <w:tcPr>
            <w:tcW w:w="320" w:type="dxa"/>
            <w:vAlign w:val="bottom"/>
            <w:tcBorders>
              <w:bottom w:val="single" w:sz="8" w:color="D8E0F0"/>
            </w:tcBorders>
            <w:shd w:val="clear" w:color="auto" w:fill="D8E0F0"/>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D8E0F0"/>
            </w:tcBorders>
            <w:shd w:val="clear" w:color="auto" w:fill="D8E0F0"/>
          </w:tcPr>
          <w:p>
            <w:pPr>
              <w:jc w:val="right"/>
              <w:ind w:right="151"/>
              <w:spacing w:after="0"/>
              <w:rPr>
                <w:sz w:val="20"/>
                <w:szCs w:val="20"/>
                <w:color w:val="auto"/>
              </w:rPr>
            </w:pPr>
            <w:r>
              <w:rPr>
                <w:rFonts w:ascii="Arial" w:cs="Arial" w:eastAsia="Arial" w:hAnsi="Arial"/>
                <w:sz w:val="14"/>
                <w:szCs w:val="14"/>
                <w:color w:val="auto"/>
              </w:rPr>
              <w:t>(7,144)</w:t>
            </w:r>
          </w:p>
        </w:tc>
        <w:tc>
          <w:tcPr>
            <w:tcW w:w="280" w:type="dxa"/>
            <w:vAlign w:val="bottom"/>
            <w:tcBorders>
              <w:bottom w:val="single" w:sz="8" w:color="D8E0F0"/>
            </w:tcBorders>
            <w:shd w:val="clear" w:color="auto" w:fill="D8E0F0"/>
          </w:tcPr>
          <w:p>
            <w:pPr>
              <w:ind w:left="200"/>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D8E0F0"/>
            </w:tcBorders>
            <w:shd w:val="clear" w:color="auto" w:fill="D8E0F0"/>
          </w:tcPr>
          <w:p>
            <w:pPr>
              <w:jc w:val="right"/>
              <w:ind w:right="17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D8E0F0"/>
            </w:tcBorders>
            <w:shd w:val="clear" w:color="auto" w:fill="D8E0F0"/>
          </w:tcPr>
          <w:p>
            <w:pPr>
              <w:jc w:val="right"/>
              <w:spacing w:after="0"/>
              <w:rPr>
                <w:sz w:val="20"/>
                <w:szCs w:val="20"/>
                <w:color w:val="auto"/>
              </w:rPr>
            </w:pPr>
            <w:r>
              <w:rPr>
                <w:rFonts w:ascii="Arial" w:cs="Arial" w:eastAsia="Arial" w:hAnsi="Arial"/>
                <w:sz w:val="14"/>
                <w:szCs w:val="14"/>
                <w:color w:val="auto"/>
              </w:rPr>
              <w:t>$1,069,300</w:t>
            </w:r>
          </w:p>
        </w:tc>
      </w:tr>
      <w:tr>
        <w:trPr>
          <w:trHeight w:val="183"/>
        </w:trPr>
        <w:tc>
          <w:tcPr>
            <w:tcW w:w="2540" w:type="dxa"/>
            <w:vAlign w:val="bottom"/>
          </w:tcPr>
          <w:p>
            <w:pPr>
              <w:ind w:left="60"/>
              <w:spacing w:after="0"/>
              <w:rPr>
                <w:sz w:val="20"/>
                <w:szCs w:val="20"/>
                <w:color w:val="auto"/>
              </w:rPr>
            </w:pPr>
            <w:r>
              <w:rPr>
                <w:rFonts w:ascii="Arial" w:cs="Arial" w:eastAsia="Arial" w:hAnsi="Arial"/>
                <w:sz w:val="14"/>
                <w:szCs w:val="14"/>
                <w:color w:val="auto"/>
              </w:rPr>
              <w:t>Mr. Domanico</w:t>
            </w:r>
          </w:p>
        </w:tc>
        <w:tc>
          <w:tcPr>
            <w:tcW w:w="1240" w:type="dxa"/>
            <w:vAlign w:val="bottom"/>
          </w:tcPr>
          <w:p>
            <w:pPr>
              <w:jc w:val="right"/>
              <w:spacing w:after="0"/>
              <w:rPr>
                <w:sz w:val="20"/>
                <w:szCs w:val="20"/>
                <w:color w:val="auto"/>
              </w:rPr>
            </w:pPr>
            <w:r>
              <w:rPr>
                <w:rFonts w:ascii="Arial" w:cs="Arial" w:eastAsia="Arial" w:hAnsi="Arial"/>
                <w:sz w:val="14"/>
                <w:szCs w:val="14"/>
                <w:color w:val="auto"/>
              </w:rPr>
              <w:t>2</w:t>
            </w:r>
          </w:p>
        </w:tc>
        <w:tc>
          <w:tcPr>
            <w:tcW w:w="1500" w:type="dxa"/>
            <w:vAlign w:val="bottom"/>
          </w:tcPr>
          <w:p>
            <w:pPr>
              <w:jc w:val="right"/>
              <w:ind w:right="172"/>
              <w:spacing w:after="0"/>
              <w:rPr>
                <w:sz w:val="20"/>
                <w:szCs w:val="20"/>
                <w:color w:val="auto"/>
              </w:rPr>
            </w:pPr>
            <w:r>
              <w:rPr>
                <w:rFonts w:ascii="Arial" w:cs="Arial" w:eastAsia="Arial" w:hAnsi="Arial"/>
                <w:sz w:val="14"/>
                <w:szCs w:val="14"/>
                <w:color w:val="auto"/>
              </w:rPr>
              <w:t>244,610</w:t>
            </w:r>
          </w:p>
        </w:tc>
        <w:tc>
          <w:tcPr>
            <w:tcW w:w="1320" w:type="dxa"/>
            <w:vAlign w:val="bottom"/>
          </w:tcPr>
          <w:p>
            <w:pPr>
              <w:jc w:val="right"/>
              <w:ind w:right="172"/>
              <w:spacing w:after="0"/>
              <w:rPr>
                <w:sz w:val="20"/>
                <w:szCs w:val="20"/>
                <w:color w:val="auto"/>
              </w:rPr>
            </w:pPr>
            <w:r>
              <w:rPr>
                <w:rFonts w:ascii="Arial" w:cs="Arial" w:eastAsia="Arial" w:hAnsi="Arial"/>
                <w:sz w:val="14"/>
                <w:szCs w:val="14"/>
                <w:color w:val="auto"/>
              </w:rPr>
              <w:t>244,610</w:t>
            </w:r>
          </w:p>
        </w:tc>
        <w:tc>
          <w:tcPr>
            <w:tcW w:w="320" w:type="dxa"/>
            <w:vAlign w:val="bottom"/>
          </w:tcPr>
          <w:p>
            <w:pPr>
              <w:spacing w:after="0"/>
              <w:rPr>
                <w:sz w:val="15"/>
                <w:szCs w:val="15"/>
                <w:color w:val="auto"/>
              </w:rPr>
            </w:pPr>
          </w:p>
        </w:tc>
        <w:tc>
          <w:tcPr>
            <w:tcW w:w="960" w:type="dxa"/>
            <w:vAlign w:val="bottom"/>
          </w:tcPr>
          <w:p>
            <w:pPr>
              <w:jc w:val="right"/>
              <w:ind w:right="191"/>
              <w:spacing w:after="0"/>
              <w:rPr>
                <w:sz w:val="20"/>
                <w:szCs w:val="20"/>
                <w:color w:val="auto"/>
              </w:rPr>
            </w:pPr>
            <w:r>
              <w:rPr>
                <w:rFonts w:ascii="Arial" w:cs="Arial" w:eastAsia="Arial" w:hAnsi="Arial"/>
                <w:sz w:val="14"/>
                <w:szCs w:val="14"/>
                <w:color w:val="auto"/>
              </w:rPr>
              <w:t>5,030</w:t>
            </w:r>
          </w:p>
        </w:tc>
        <w:tc>
          <w:tcPr>
            <w:tcW w:w="280" w:type="dxa"/>
            <w:vAlign w:val="bottom"/>
          </w:tcPr>
          <w:p>
            <w:pPr>
              <w:spacing w:after="0"/>
              <w:rPr>
                <w:sz w:val="15"/>
                <w:szCs w:val="15"/>
                <w:color w:val="auto"/>
              </w:rPr>
            </w:pPr>
          </w:p>
        </w:tc>
        <w:tc>
          <w:tcPr>
            <w:tcW w:w="940" w:type="dxa"/>
            <w:vAlign w:val="bottom"/>
          </w:tcPr>
          <w:p>
            <w:pPr>
              <w:jc w:val="right"/>
              <w:ind w:right="17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494,250</w:t>
            </w:r>
          </w:p>
        </w:tc>
      </w:tr>
      <w:tr>
        <w:trPr>
          <w:trHeight w:val="175"/>
        </w:trPr>
        <w:tc>
          <w:tcPr>
            <w:tcW w:w="2540" w:type="dxa"/>
            <w:vAlign w:val="bottom"/>
            <w:tcBorders>
              <w:bottom w:val="single" w:sz="8" w:color="D8E0F0"/>
            </w:tcBorders>
            <w:shd w:val="clear" w:color="auto" w:fill="D8E0F0"/>
          </w:tcPr>
          <w:p>
            <w:pPr>
              <w:ind w:left="60"/>
              <w:spacing w:after="0"/>
              <w:rPr>
                <w:sz w:val="20"/>
                <w:szCs w:val="20"/>
                <w:color w:val="auto"/>
              </w:rPr>
            </w:pPr>
            <w:r>
              <w:rPr>
                <w:rFonts w:ascii="Arial" w:cs="Arial" w:eastAsia="Arial" w:hAnsi="Arial"/>
                <w:sz w:val="14"/>
                <w:szCs w:val="14"/>
                <w:color w:val="auto"/>
              </w:rPr>
              <w:t>Mr. Beech</w:t>
            </w:r>
          </w:p>
        </w:tc>
        <w:tc>
          <w:tcPr>
            <w:tcW w:w="1240" w:type="dxa"/>
            <w:vAlign w:val="bottom"/>
            <w:tcBorders>
              <w:bottom w:val="single" w:sz="8" w:color="D8E0F0"/>
            </w:tcBorders>
            <w:shd w:val="clear" w:color="auto" w:fill="D8E0F0"/>
          </w:tcPr>
          <w:p>
            <w:pPr>
              <w:jc w:val="right"/>
              <w:spacing w:after="0"/>
              <w:rPr>
                <w:sz w:val="20"/>
                <w:szCs w:val="20"/>
                <w:color w:val="auto"/>
              </w:rPr>
            </w:pPr>
            <w:r>
              <w:rPr>
                <w:rFonts w:ascii="Arial" w:cs="Arial" w:eastAsia="Arial" w:hAnsi="Arial"/>
                <w:sz w:val="14"/>
                <w:szCs w:val="14"/>
                <w:color w:val="auto"/>
              </w:rPr>
              <w:t>5</w:t>
            </w:r>
          </w:p>
        </w:tc>
        <w:tc>
          <w:tcPr>
            <w:tcW w:w="1500" w:type="dxa"/>
            <w:vAlign w:val="bottom"/>
            <w:tcBorders>
              <w:bottom w:val="single" w:sz="8" w:color="D8E0F0"/>
            </w:tcBorders>
            <w:shd w:val="clear" w:color="auto" w:fill="D8E0F0"/>
          </w:tcPr>
          <w:p>
            <w:pPr>
              <w:jc w:val="right"/>
              <w:ind w:right="172"/>
              <w:spacing w:after="0"/>
              <w:rPr>
                <w:sz w:val="20"/>
                <w:szCs w:val="20"/>
                <w:color w:val="auto"/>
              </w:rPr>
            </w:pPr>
            <w:r>
              <w:rPr>
                <w:rFonts w:ascii="Arial" w:cs="Arial" w:eastAsia="Arial" w:hAnsi="Arial"/>
                <w:sz w:val="14"/>
                <w:szCs w:val="14"/>
                <w:color w:val="auto"/>
              </w:rPr>
              <w:t>537,024</w:t>
            </w:r>
          </w:p>
        </w:tc>
        <w:tc>
          <w:tcPr>
            <w:tcW w:w="1320" w:type="dxa"/>
            <w:vAlign w:val="bottom"/>
            <w:tcBorders>
              <w:bottom w:val="single" w:sz="8" w:color="D8E0F0"/>
            </w:tcBorders>
            <w:shd w:val="clear" w:color="auto" w:fill="D8E0F0"/>
          </w:tcPr>
          <w:p>
            <w:pPr>
              <w:jc w:val="right"/>
              <w:ind w:right="172"/>
              <w:spacing w:after="0"/>
              <w:rPr>
                <w:sz w:val="20"/>
                <w:szCs w:val="20"/>
                <w:color w:val="auto"/>
              </w:rPr>
            </w:pPr>
            <w:r>
              <w:rPr>
                <w:rFonts w:ascii="Arial" w:cs="Arial" w:eastAsia="Arial" w:hAnsi="Arial"/>
                <w:sz w:val="14"/>
                <w:szCs w:val="14"/>
                <w:color w:val="auto"/>
              </w:rPr>
              <w:t>261,412</w:t>
            </w:r>
          </w:p>
        </w:tc>
        <w:tc>
          <w:tcPr>
            <w:tcW w:w="320" w:type="dxa"/>
            <w:vAlign w:val="bottom"/>
            <w:tcBorders>
              <w:bottom w:val="single" w:sz="8" w:color="D8E0F0"/>
            </w:tcBorders>
            <w:shd w:val="clear" w:color="auto" w:fill="D8E0F0"/>
          </w:tcPr>
          <w:p>
            <w:pPr>
              <w:spacing w:after="0"/>
              <w:rPr>
                <w:sz w:val="15"/>
                <w:szCs w:val="15"/>
                <w:color w:val="auto"/>
              </w:rPr>
            </w:pPr>
          </w:p>
        </w:tc>
        <w:tc>
          <w:tcPr>
            <w:tcW w:w="960" w:type="dxa"/>
            <w:vAlign w:val="bottom"/>
            <w:tcBorders>
              <w:bottom w:val="single" w:sz="8" w:color="D8E0F0"/>
            </w:tcBorders>
            <w:shd w:val="clear" w:color="auto" w:fill="D8E0F0"/>
          </w:tcPr>
          <w:p>
            <w:pPr>
              <w:jc w:val="right"/>
              <w:ind w:right="191"/>
              <w:spacing w:after="0"/>
              <w:rPr>
                <w:sz w:val="20"/>
                <w:szCs w:val="20"/>
                <w:color w:val="auto"/>
              </w:rPr>
            </w:pPr>
            <w:r>
              <w:rPr>
                <w:rFonts w:ascii="Arial" w:cs="Arial" w:eastAsia="Arial" w:hAnsi="Arial"/>
                <w:sz w:val="14"/>
                <w:szCs w:val="14"/>
                <w:color w:val="auto"/>
              </w:rPr>
              <w:t>244,759</w:t>
            </w:r>
          </w:p>
        </w:tc>
        <w:tc>
          <w:tcPr>
            <w:tcW w:w="280" w:type="dxa"/>
            <w:vAlign w:val="bottom"/>
            <w:tcBorders>
              <w:bottom w:val="single" w:sz="8" w:color="D8E0F0"/>
            </w:tcBorders>
            <w:shd w:val="clear" w:color="auto" w:fill="D8E0F0"/>
          </w:tcPr>
          <w:p>
            <w:pPr>
              <w:spacing w:after="0"/>
              <w:rPr>
                <w:sz w:val="15"/>
                <w:szCs w:val="15"/>
                <w:color w:val="auto"/>
              </w:rPr>
            </w:pPr>
          </w:p>
        </w:tc>
        <w:tc>
          <w:tcPr>
            <w:tcW w:w="940" w:type="dxa"/>
            <w:vAlign w:val="bottom"/>
            <w:tcBorders>
              <w:bottom w:val="single" w:sz="8" w:color="D8E0F0"/>
            </w:tcBorders>
            <w:shd w:val="clear" w:color="auto" w:fill="D8E0F0"/>
          </w:tcPr>
          <w:p>
            <w:pPr>
              <w:jc w:val="right"/>
              <w:ind w:right="17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D8E0F0"/>
            </w:tcBorders>
            <w:shd w:val="clear" w:color="auto" w:fill="D8E0F0"/>
          </w:tcPr>
          <w:p>
            <w:pPr>
              <w:jc w:val="right"/>
              <w:spacing w:after="0"/>
              <w:rPr>
                <w:sz w:val="20"/>
                <w:szCs w:val="20"/>
                <w:color w:val="auto"/>
              </w:rPr>
            </w:pPr>
            <w:r>
              <w:rPr>
                <w:rFonts w:ascii="Arial" w:cs="Arial" w:eastAsia="Arial" w:hAnsi="Arial"/>
                <w:sz w:val="14"/>
                <w:szCs w:val="14"/>
                <w:color w:val="auto"/>
              </w:rPr>
              <w:t>1,043,195</w:t>
            </w:r>
          </w:p>
        </w:tc>
      </w:tr>
      <w:tr>
        <w:trPr>
          <w:trHeight w:val="177"/>
        </w:trPr>
        <w:tc>
          <w:tcPr>
            <w:tcW w:w="2540" w:type="dxa"/>
            <w:vAlign w:val="bottom"/>
          </w:tcPr>
          <w:p>
            <w:pPr>
              <w:ind w:left="60"/>
              <w:spacing w:after="0"/>
              <w:rPr>
                <w:sz w:val="20"/>
                <w:szCs w:val="20"/>
                <w:color w:val="auto"/>
              </w:rPr>
            </w:pPr>
            <w:r>
              <w:rPr>
                <w:rFonts w:ascii="Arial" w:cs="Arial" w:eastAsia="Arial" w:hAnsi="Arial"/>
                <w:sz w:val="14"/>
                <w:szCs w:val="14"/>
                <w:color w:val="auto"/>
              </w:rPr>
              <w:t>Mr. Marshall</w:t>
            </w:r>
          </w:p>
        </w:tc>
        <w:tc>
          <w:tcPr>
            <w:tcW w:w="1240" w:type="dxa"/>
            <w:vAlign w:val="bottom"/>
          </w:tcPr>
          <w:p>
            <w:pPr>
              <w:jc w:val="right"/>
              <w:spacing w:after="0"/>
              <w:rPr>
                <w:sz w:val="20"/>
                <w:szCs w:val="20"/>
                <w:color w:val="auto"/>
              </w:rPr>
            </w:pPr>
            <w:r>
              <w:rPr>
                <w:rFonts w:ascii="Arial" w:cs="Arial" w:eastAsia="Arial" w:hAnsi="Arial"/>
                <w:sz w:val="14"/>
                <w:szCs w:val="14"/>
                <w:color w:val="auto"/>
              </w:rPr>
              <w:t>16</w:t>
            </w:r>
          </w:p>
        </w:tc>
        <w:tc>
          <w:tcPr>
            <w:tcW w:w="1500" w:type="dxa"/>
            <w:vAlign w:val="bottom"/>
          </w:tcPr>
          <w:p>
            <w:pPr>
              <w:jc w:val="right"/>
              <w:ind w:right="172"/>
              <w:spacing w:after="0"/>
              <w:rPr>
                <w:sz w:val="20"/>
                <w:szCs w:val="20"/>
                <w:color w:val="auto"/>
              </w:rPr>
            </w:pPr>
            <w:r>
              <w:rPr>
                <w:rFonts w:ascii="Arial" w:cs="Arial" w:eastAsia="Arial" w:hAnsi="Arial"/>
                <w:sz w:val="14"/>
                <w:szCs w:val="14"/>
                <w:color w:val="auto"/>
              </w:rPr>
              <w:t>822,804</w:t>
            </w:r>
          </w:p>
        </w:tc>
        <w:tc>
          <w:tcPr>
            <w:tcW w:w="1320" w:type="dxa"/>
            <w:vAlign w:val="bottom"/>
          </w:tcPr>
          <w:p>
            <w:pPr>
              <w:jc w:val="right"/>
              <w:ind w:right="172"/>
              <w:spacing w:after="0"/>
              <w:rPr>
                <w:sz w:val="20"/>
                <w:szCs w:val="20"/>
                <w:color w:val="auto"/>
              </w:rPr>
            </w:pPr>
            <w:r>
              <w:rPr>
                <w:rFonts w:ascii="Arial" w:cs="Arial" w:eastAsia="Arial" w:hAnsi="Arial"/>
                <w:sz w:val="14"/>
                <w:szCs w:val="14"/>
                <w:color w:val="auto"/>
              </w:rPr>
              <w:t>790,368</w:t>
            </w:r>
          </w:p>
        </w:tc>
        <w:tc>
          <w:tcPr>
            <w:tcW w:w="320" w:type="dxa"/>
            <w:vAlign w:val="bottom"/>
          </w:tcPr>
          <w:p>
            <w:pPr>
              <w:spacing w:after="0"/>
              <w:rPr>
                <w:sz w:val="15"/>
                <w:szCs w:val="15"/>
                <w:color w:val="auto"/>
              </w:rPr>
            </w:pPr>
          </w:p>
        </w:tc>
        <w:tc>
          <w:tcPr>
            <w:tcW w:w="960" w:type="dxa"/>
            <w:vAlign w:val="bottom"/>
          </w:tcPr>
          <w:p>
            <w:pPr>
              <w:jc w:val="right"/>
              <w:ind w:right="191"/>
              <w:spacing w:after="0"/>
              <w:rPr>
                <w:sz w:val="20"/>
                <w:szCs w:val="20"/>
                <w:color w:val="auto"/>
              </w:rPr>
            </w:pPr>
            <w:r>
              <w:rPr>
                <w:rFonts w:ascii="Arial" w:cs="Arial" w:eastAsia="Arial" w:hAnsi="Arial"/>
                <w:sz w:val="14"/>
                <w:szCs w:val="14"/>
                <w:color w:val="auto"/>
              </w:rPr>
              <w:t>1,690,711</w:t>
            </w:r>
          </w:p>
        </w:tc>
        <w:tc>
          <w:tcPr>
            <w:tcW w:w="280" w:type="dxa"/>
            <w:vAlign w:val="bottom"/>
          </w:tcPr>
          <w:p>
            <w:pPr>
              <w:spacing w:after="0"/>
              <w:rPr>
                <w:sz w:val="15"/>
                <w:szCs w:val="15"/>
                <w:color w:val="auto"/>
              </w:rPr>
            </w:pPr>
          </w:p>
        </w:tc>
        <w:tc>
          <w:tcPr>
            <w:tcW w:w="940" w:type="dxa"/>
            <w:vAlign w:val="bottom"/>
          </w:tcPr>
          <w:p>
            <w:pPr>
              <w:jc w:val="right"/>
              <w:ind w:right="170"/>
              <w:spacing w:after="0"/>
              <w:rPr>
                <w:sz w:val="20"/>
                <w:szCs w:val="20"/>
                <w:color w:val="auto"/>
              </w:rPr>
            </w:pPr>
            <w:r>
              <w:rPr>
                <w:rFonts w:ascii="Arial" w:cs="Arial" w:eastAsia="Arial" w:hAnsi="Arial"/>
                <w:sz w:val="14"/>
                <w:szCs w:val="14"/>
                <w:color w:val="auto"/>
              </w:rPr>
              <w:t>63,378</w:t>
            </w:r>
          </w:p>
        </w:tc>
        <w:tc>
          <w:tcPr>
            <w:tcW w:w="1020" w:type="dxa"/>
            <w:vAlign w:val="bottom"/>
          </w:tcPr>
          <w:p>
            <w:pPr>
              <w:jc w:val="right"/>
              <w:spacing w:after="0"/>
              <w:rPr>
                <w:sz w:val="20"/>
                <w:szCs w:val="20"/>
                <w:color w:val="auto"/>
              </w:rPr>
            </w:pPr>
            <w:r>
              <w:rPr>
                <w:rFonts w:ascii="Arial" w:cs="Arial" w:eastAsia="Arial" w:hAnsi="Arial"/>
                <w:sz w:val="14"/>
                <w:szCs w:val="14"/>
                <w:color w:val="auto"/>
              </w:rPr>
              <w:t>3,367,261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16510</wp:posOffset>
            </wp:positionV>
            <wp:extent cx="643191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431915" cy="8890"/>
                    </a:xfrm>
                    <a:prstGeom prst="rect">
                      <a:avLst/>
                    </a:prstGeom>
                    <a:noFill/>
                  </pic:spPr>
                </pic:pic>
              </a:graphicData>
            </a:graphic>
          </wp:anchor>
        </w:drawing>
      </w:r>
    </w:p>
    <w:p>
      <w:pPr>
        <w:ind w:left="960" w:hanging="432"/>
        <w:spacing w:after="0" w:line="187" w:lineRule="auto"/>
        <w:tabs>
          <w:tab w:leader="none" w:pos="960" w:val="left"/>
        </w:tabs>
        <w:numPr>
          <w:ilvl w:val="0"/>
          <w:numId w:val="60"/>
        </w:numPr>
        <w:rPr>
          <w:rFonts w:ascii="Arial" w:cs="Arial" w:eastAsia="Arial" w:hAnsi="Arial"/>
          <w:sz w:val="24"/>
          <w:szCs w:val="24"/>
          <w:color w:val="auto"/>
          <w:vertAlign w:val="superscript"/>
        </w:rPr>
      </w:pPr>
      <w:r>
        <w:rPr>
          <w:rFonts w:ascii="Arial" w:cs="Arial" w:eastAsia="Arial" w:hAnsi="Arial"/>
          <w:sz w:val="14"/>
          <w:szCs w:val="14"/>
          <w:color w:val="auto"/>
        </w:rPr>
        <w:t>Represents value as of December 31, 2018.</w:t>
      </w:r>
    </w:p>
    <w:p>
      <w:pPr>
        <w:spacing w:after="0" w:line="154" w:lineRule="exact"/>
        <w:rPr>
          <w:sz w:val="20"/>
          <w:szCs w:val="20"/>
          <w:color w:val="auto"/>
        </w:rPr>
      </w:pPr>
    </w:p>
    <w:tbl>
      <w:tblPr>
        <w:tblLayout w:type="fixed"/>
        <w:tblInd w:w="200" w:type="dxa"/>
        <w:tblCellMar>
          <w:top w:w="0" w:type="dxa"/>
          <w:left w:w="0" w:type="dxa"/>
          <w:bottom w:w="0" w:type="dxa"/>
          <w:right w:w="0" w:type="dxa"/>
        </w:tblCellMar>
      </w:tblPr>
      <w:tr>
        <w:trPr>
          <w:trHeight w:val="278"/>
        </w:trPr>
        <w:tc>
          <w:tcPr>
            <w:tcW w:w="360" w:type="dxa"/>
            <w:vAlign w:val="bottom"/>
            <w:tcBorders>
              <w:right w:val="single" w:sz="8" w:color="0033A0"/>
            </w:tcBorders>
          </w:tcPr>
          <w:p>
            <w:pPr>
              <w:jc w:val="right"/>
              <w:ind w:right="70"/>
              <w:spacing w:after="0"/>
              <w:rPr>
                <w:sz w:val="20"/>
                <w:szCs w:val="20"/>
                <w:color w:val="auto"/>
              </w:rPr>
            </w:pPr>
            <w:r>
              <w:rPr>
                <w:rFonts w:ascii="Arial" w:cs="Arial" w:eastAsia="Arial" w:hAnsi="Arial"/>
                <w:sz w:val="18"/>
                <w:szCs w:val="18"/>
                <w:b w:val="1"/>
                <w:bCs w:val="1"/>
                <w:color w:val="auto"/>
                <w:w w:val="89"/>
              </w:rPr>
              <w:t>56</w:t>
            </w:r>
          </w:p>
        </w:tc>
        <w:tc>
          <w:tcPr>
            <w:tcW w:w="3380" w:type="dxa"/>
            <w:vAlign w:val="bottom"/>
          </w:tcPr>
          <w:p>
            <w:pPr>
              <w:ind w:left="1600"/>
              <w:spacing w:after="0"/>
              <w:rPr>
                <w:sz w:val="20"/>
                <w:szCs w:val="20"/>
                <w:color w:val="auto"/>
              </w:rPr>
            </w:pPr>
            <w:r>
              <w:rPr>
                <w:rFonts w:ascii="Arial" w:cs="Arial" w:eastAsia="Arial" w:hAnsi="Arial"/>
                <w:sz w:val="18"/>
                <w:szCs w:val="18"/>
                <w:i w:val="1"/>
                <w:iCs w:val="1"/>
                <w:color w:val="auto"/>
                <w:w w:val="98"/>
              </w:rPr>
              <w:t>2019 Proxy Statement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-170815</wp:posOffset>
            </wp:positionV>
            <wp:extent cx="720090" cy="12890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0090" cy="12890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0033A0"/>
        </w:rPr>
        <w:t>Key Employees’ Deferred Compensation Program</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Deferrals</w:t>
      </w:r>
    </w:p>
    <w:p>
      <w:pPr>
        <w:spacing w:after="0" w:line="126" w:lineRule="exact"/>
        <w:rPr>
          <w:sz w:val="20"/>
          <w:szCs w:val="20"/>
          <w:color w:val="auto"/>
        </w:rPr>
      </w:pPr>
    </w:p>
    <w:p>
      <w:pPr>
        <w:ind w:left="200"/>
        <w:spacing w:after="0" w:line="238" w:lineRule="auto"/>
        <w:rPr>
          <w:sz w:val="20"/>
          <w:szCs w:val="20"/>
          <w:color w:val="auto"/>
        </w:rPr>
      </w:pPr>
      <w:r>
        <w:rPr>
          <w:rFonts w:ascii="Arial" w:cs="Arial" w:eastAsia="Arial" w:hAnsi="Arial"/>
          <w:sz w:val="18"/>
          <w:szCs w:val="18"/>
          <w:color w:val="auto"/>
        </w:rPr>
        <w:t>The Company’s deferred compensation program is an unfunded plan that provides deferred compensation for a select group of the Company’s management, including the named executive officers. Under the deferred compensation program, a named executive officer is permitted to defer receipt of:</w:t>
      </w:r>
    </w:p>
    <w:p>
      <w:pPr>
        <w:spacing w:after="0" w:line="108" w:lineRule="exact"/>
        <w:rPr>
          <w:sz w:val="20"/>
          <w:szCs w:val="20"/>
          <w:color w:val="auto"/>
        </w:rPr>
      </w:pPr>
    </w:p>
    <w:p>
      <w:pPr>
        <w:ind w:left="980" w:right="280" w:hanging="317"/>
        <w:spacing w:after="0" w:line="239" w:lineRule="auto"/>
        <w:tabs>
          <w:tab w:leader="none" w:pos="980" w:val="left"/>
        </w:tabs>
        <w:numPr>
          <w:ilvl w:val="0"/>
          <w:numId w:val="61"/>
        </w:numPr>
        <w:rPr>
          <w:rFonts w:ascii="Arial" w:cs="Arial" w:eastAsia="Arial" w:hAnsi="Arial"/>
          <w:sz w:val="18"/>
          <w:szCs w:val="18"/>
          <w:color w:val="0033A0"/>
        </w:rPr>
      </w:pPr>
      <w:r>
        <w:rPr>
          <w:rFonts w:ascii="Arial" w:cs="Arial" w:eastAsia="Arial" w:hAnsi="Arial"/>
          <w:sz w:val="18"/>
          <w:szCs w:val="18"/>
          <w:color w:val="auto"/>
        </w:rPr>
        <w:t>up to 90% of his or her cash incentive payments awarded under the annual incentive plan (the EIP for 2017 and 2018 awards, and the KEIP for prior years’ awards);</w:t>
      </w:r>
    </w:p>
    <w:p>
      <w:pPr>
        <w:spacing w:after="0" w:line="107" w:lineRule="exact"/>
        <w:rPr>
          <w:rFonts w:ascii="Arial" w:cs="Arial" w:eastAsia="Arial" w:hAnsi="Arial"/>
          <w:sz w:val="18"/>
          <w:szCs w:val="18"/>
          <w:color w:val="0033A0"/>
        </w:rPr>
      </w:pPr>
    </w:p>
    <w:p>
      <w:pPr>
        <w:ind w:left="980" w:hanging="317"/>
        <w:spacing w:after="0"/>
        <w:tabs>
          <w:tab w:leader="none" w:pos="980" w:val="left"/>
        </w:tabs>
        <w:numPr>
          <w:ilvl w:val="0"/>
          <w:numId w:val="61"/>
        </w:numPr>
        <w:rPr>
          <w:rFonts w:ascii="Arial" w:cs="Arial" w:eastAsia="Arial" w:hAnsi="Arial"/>
          <w:sz w:val="18"/>
          <w:szCs w:val="18"/>
          <w:color w:val="0033A0"/>
        </w:rPr>
      </w:pPr>
      <w:r>
        <w:rPr>
          <w:rFonts w:ascii="Arial" w:cs="Arial" w:eastAsia="Arial" w:hAnsi="Arial"/>
          <w:sz w:val="18"/>
          <w:szCs w:val="18"/>
          <w:color w:val="auto"/>
        </w:rPr>
        <w:t>up to 50% of his or her base salary; and</w:t>
      </w:r>
    </w:p>
    <w:p>
      <w:pPr>
        <w:spacing w:after="0" w:line="117" w:lineRule="exact"/>
        <w:rPr>
          <w:rFonts w:ascii="Arial" w:cs="Arial" w:eastAsia="Arial" w:hAnsi="Arial"/>
          <w:sz w:val="18"/>
          <w:szCs w:val="18"/>
          <w:color w:val="0033A0"/>
        </w:rPr>
      </w:pPr>
    </w:p>
    <w:p>
      <w:pPr>
        <w:ind w:left="980" w:right="80" w:hanging="317"/>
        <w:spacing w:after="0" w:line="239" w:lineRule="auto"/>
        <w:tabs>
          <w:tab w:leader="none" w:pos="980" w:val="left"/>
        </w:tabs>
        <w:numPr>
          <w:ilvl w:val="0"/>
          <w:numId w:val="61"/>
        </w:numPr>
        <w:rPr>
          <w:rFonts w:ascii="Arial" w:cs="Arial" w:eastAsia="Arial" w:hAnsi="Arial"/>
          <w:sz w:val="18"/>
          <w:szCs w:val="18"/>
          <w:color w:val="0033A0"/>
        </w:rPr>
      </w:pPr>
      <w:r>
        <w:rPr>
          <w:rFonts w:ascii="Arial" w:cs="Arial" w:eastAsia="Arial" w:hAnsi="Arial"/>
          <w:sz w:val="18"/>
          <w:szCs w:val="18"/>
          <w:color w:val="auto"/>
        </w:rPr>
        <w:t>any or all amounts that are prevented from being deferred, and the related matching contribution, under the Company’s 401(k) Plan as a result of the limitations imposed by the Internal Revenue Code.</w:t>
      </w:r>
    </w:p>
    <w:p>
      <w:pPr>
        <w:spacing w:after="0" w:line="94"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The Company provides matching contributions for deferred cash incentive amounts (100% of the first 10% deferred) and deferred salary (100% of the first 10% deferred). An executive may elect to defer additional amounts under the supplemental savings plan after he or she meets the maximum permitted under the company’s 401(k) Plan. The company provides matching contributions to supplemental savings plan contributions. For 2018, matching contributions were equal to 100% of the first 2.0% of salary and annual incentive deferrals, less amounts deferred into the Company’s 401(k) Plan.</w:t>
      </w:r>
    </w:p>
    <w:p>
      <w:pPr>
        <w:spacing w:after="0" w:line="98"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Amounts deferred are invested in mutual funds or converted to units that track Brink’s Common Stock, per the executive’s instructions at the time of annual enrollment. Matching contributions by the Company are made in the form of units of Brink’s Common Stock, which are subject to a five-year vesting period from the original participation in the deferred compensation program. The dollar values are converted in accordance with the formula in the program.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ind w:left="1800"/>
        <w:spacing w:after="0"/>
        <w:rPr>
          <w:sz w:val="20"/>
          <w:szCs w:val="20"/>
          <w:color w:val="auto"/>
        </w:rPr>
      </w:pPr>
      <w:r>
        <w:rPr>
          <w:rFonts w:ascii="Arial" w:cs="Arial" w:eastAsia="Arial" w:hAnsi="Arial"/>
          <w:sz w:val="19"/>
          <w:szCs w:val="19"/>
          <w:b w:val="1"/>
          <w:bCs w:val="1"/>
          <w:color w:val="0033A0"/>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-661035</wp:posOffset>
            </wp:positionV>
            <wp:extent cx="72891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7" w:lineRule="exact"/>
        <w:rPr>
          <w:sz w:val="20"/>
          <w:szCs w:val="20"/>
          <w:color w:val="auto"/>
        </w:rPr>
      </w:pPr>
    </w:p>
    <w:p>
      <w:pPr>
        <w:ind w:right="620"/>
        <w:spacing w:after="0"/>
        <w:rPr>
          <w:sz w:val="20"/>
          <w:szCs w:val="20"/>
          <w:color w:val="auto"/>
        </w:rPr>
      </w:pPr>
      <w:r>
        <w:rPr>
          <w:rFonts w:ascii="Arial" w:cs="Arial" w:eastAsia="Arial" w:hAnsi="Arial"/>
          <w:sz w:val="18"/>
          <w:szCs w:val="18"/>
          <w:color w:val="auto"/>
        </w:rPr>
        <w:t>Dividends paid with respect to the common stock units in a participant’s account are converted to units that track Brink’s Common Stock.</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104" w:lineRule="exact"/>
        <w:rPr>
          <w:sz w:val="20"/>
          <w:szCs w:val="20"/>
          <w:color w:val="auto"/>
        </w:rPr>
      </w:pPr>
    </w:p>
    <w:p>
      <w:pPr>
        <w:ind w:right="160"/>
        <w:spacing w:after="0" w:line="244" w:lineRule="auto"/>
        <w:rPr>
          <w:sz w:val="20"/>
          <w:szCs w:val="20"/>
          <w:color w:val="auto"/>
        </w:rPr>
      </w:pPr>
      <w:r>
        <w:rPr>
          <w:rFonts w:ascii="Arial" w:cs="Arial" w:eastAsia="Arial" w:hAnsi="Arial"/>
          <w:sz w:val="18"/>
          <w:szCs w:val="18"/>
          <w:b w:val="1"/>
          <w:bCs w:val="1"/>
          <w:i w:val="1"/>
          <w:iCs w:val="1"/>
          <w:color w:val="auto"/>
        </w:rPr>
        <w:t xml:space="preserve">General. </w:t>
      </w:r>
      <w:r>
        <w:rPr>
          <w:rFonts w:ascii="Arial" w:cs="Arial" w:eastAsia="Arial" w:hAnsi="Arial"/>
          <w:sz w:val="18"/>
          <w:szCs w:val="18"/>
          <w:color w:val="auto"/>
        </w:rPr>
        <w:t>The deferred compensation program provides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distributions of one share of Brink’s Common Stock for each common stock unit in a participant’s account. Cash is paid for deferred compensation invested in mutual funds, and in lieu of the issuance of fractional shares of Brink’s Common Stock.</w:t>
      </w:r>
    </w:p>
    <w:p>
      <w:pPr>
        <w:spacing w:after="0" w:line="69"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b w:val="1"/>
          <w:bCs w:val="1"/>
          <w:i w:val="1"/>
          <w:iCs w:val="1"/>
          <w:color w:val="auto"/>
        </w:rPr>
        <w:t xml:space="preserve">Termination Upon Death, Retirement, Disability or Change in Control. </w:t>
      </w:r>
      <w:r>
        <w:rPr>
          <w:rFonts w:ascii="Arial" w:cs="Arial" w:eastAsia="Arial" w:hAnsi="Arial"/>
          <w:sz w:val="17"/>
          <w:szCs w:val="17"/>
          <w:color w:val="auto"/>
        </w:rPr>
        <w:t>Upon the termination of participation as a result of death,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retirement, total and permanent disability or termination for any reason within three years following a change in control, lump-sum distributions for all accrued units are made under the deferred compensation program six months after termination of employment. A participant may elect, however, to receive the shares in up to five equal annual installments beginning after the last day of the sixth month following the fifth anniversary of the date of termination.</w:t>
      </w:r>
    </w:p>
    <w:p>
      <w:pPr>
        <w:spacing w:after="0" w:line="62"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b w:val="1"/>
          <w:bCs w:val="1"/>
          <w:i w:val="1"/>
          <w:iCs w:val="1"/>
          <w:color w:val="auto"/>
        </w:rPr>
        <w:t xml:space="preserve">Termination Other Than Upon Death, Retirement, Disability or Change in Control. </w:t>
      </w:r>
      <w:r>
        <w:rPr>
          <w:rFonts w:ascii="Arial" w:cs="Arial" w:eastAsia="Arial" w:hAnsi="Arial"/>
          <w:sz w:val="18"/>
          <w:szCs w:val="18"/>
          <w:color w:val="auto"/>
        </w:rPr>
        <w:t>In the event that a participant’s employment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terminates for a reason not described above, the participant receives the contributions made by the participant, related dividends and changes in market value. The participant forfeits all common stock units attributable to matching contributions and related dividends for the year in which the termination occurs and the common stock units attributable to matching contributions and related dividends that are otherwise unvested. If a participant’s employment is terminated for ‘‘cause,’’ the participant forfeits all common stock units attributable to matching contributions and related dividends credited to the participant’s account under the program whether or not vested. A participant’s common stock units attributable to Company matching contributions and related dividends vest based on the number of months since the executive’s original participation in the deferred compensation program:</w:t>
      </w:r>
    </w:p>
    <w:p>
      <w:pPr>
        <w:spacing w:after="0" w:line="200" w:lineRule="exact"/>
        <w:rPr>
          <w:sz w:val="20"/>
          <w:szCs w:val="20"/>
          <w:color w:val="auto"/>
        </w:rPr>
      </w:pPr>
    </w:p>
    <w:p>
      <w:pPr>
        <w:spacing w:after="0" w:line="332" w:lineRule="exact"/>
        <w:rPr>
          <w:sz w:val="20"/>
          <w:szCs w:val="20"/>
          <w:color w:val="auto"/>
        </w:rPr>
      </w:pPr>
    </w:p>
    <w:p>
      <w:pPr>
        <w:ind w:left="3900"/>
        <w:spacing w:after="0"/>
        <w:rPr>
          <w:sz w:val="20"/>
          <w:szCs w:val="20"/>
          <w:color w:val="auto"/>
        </w:rPr>
      </w:pPr>
      <w:r>
        <w:rPr>
          <w:rFonts w:ascii="Arial" w:cs="Arial" w:eastAsia="Arial" w:hAnsi="Arial"/>
          <w:sz w:val="14"/>
          <w:szCs w:val="14"/>
          <w:b w:val="1"/>
          <w:bCs w:val="1"/>
          <w:color w:val="0033A0"/>
        </w:rPr>
        <w:t>Vested Percentage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-3561080</wp:posOffset>
            </wp:positionH>
            <wp:positionV relativeFrom="paragraph">
              <wp:posOffset>8890</wp:posOffset>
            </wp:positionV>
            <wp:extent cx="699770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55" w:lineRule="exact"/>
        <w:rPr>
          <w:sz w:val="20"/>
          <w:szCs w:val="20"/>
          <w:color w:val="auto"/>
        </w:rPr>
      </w:pPr>
    </w:p>
    <w:p>
      <w:pPr>
        <w:sectPr>
          <w:pgSz w:w="11900" w:h="16838" w:orient="portrait"/>
          <w:cols w:equalWidth="0" w:num="2">
            <w:col w:w="5460" w:space="360"/>
            <w:col w:w="5420"/>
          </w:cols>
          <w:pgMar w:left="240" w:top="459" w:right="419" w:bottom="1440" w:gutter="0" w:footer="0" w:header="0"/>
        </w:sectPr>
      </w:pPr>
    </w:p>
    <w:tbl>
      <w:tblPr>
        <w:tblLayout w:type="fixed"/>
        <w:tblInd w:w="220" w:type="dxa"/>
        <w:tblCellMar>
          <w:top w:w="0" w:type="dxa"/>
          <w:left w:w="0" w:type="dxa"/>
          <w:bottom w:w="0" w:type="dxa"/>
          <w:right w:w="0" w:type="dxa"/>
        </w:tblCellMar>
      </w:tblPr>
      <w:tr>
        <w:trPr>
          <w:trHeight w:val="277"/>
        </w:trPr>
        <w:tc>
          <w:tcPr>
            <w:tcW w:w="8060" w:type="dxa"/>
            <w:vAlign w:val="bottom"/>
            <w:tcBorders>
              <w:bottom w:val="single" w:sz="8" w:color="E5EAF5"/>
            </w:tcBorders>
            <w:shd w:val="clear" w:color="auto" w:fill="E5EAF5"/>
          </w:tcPr>
          <w:p>
            <w:pPr>
              <w:ind w:left="60"/>
              <w:spacing w:after="0"/>
              <w:rPr>
                <w:sz w:val="20"/>
                <w:szCs w:val="20"/>
                <w:color w:val="auto"/>
              </w:rPr>
            </w:pPr>
            <w:r>
              <w:rPr>
                <w:rFonts w:ascii="Arial" w:cs="Arial" w:eastAsia="Arial" w:hAnsi="Arial"/>
                <w:sz w:val="18"/>
                <w:szCs w:val="18"/>
                <w:color w:val="auto"/>
              </w:rPr>
              <w:t>Less than 36 months</w:t>
            </w:r>
          </w:p>
        </w:tc>
        <w:tc>
          <w:tcPr>
            <w:tcW w:w="2420" w:type="dxa"/>
            <w:vAlign w:val="bottom"/>
            <w:tcBorders>
              <w:bottom w:val="single" w:sz="8" w:color="E5EAF5"/>
            </w:tcBorders>
            <w:shd w:val="clear" w:color="auto" w:fill="E5EAF5"/>
          </w:tcPr>
          <w:p>
            <w:pPr>
              <w:spacing w:after="0"/>
              <w:rPr>
                <w:sz w:val="24"/>
                <w:szCs w:val="24"/>
                <w:color w:val="auto"/>
              </w:rPr>
            </w:pPr>
          </w:p>
        </w:tc>
        <w:tc>
          <w:tcPr>
            <w:tcW w:w="540" w:type="dxa"/>
            <w:vAlign w:val="bottom"/>
            <w:tcBorders>
              <w:left w:val="single" w:sz="8" w:color="E5EAF5"/>
              <w:bottom w:val="single" w:sz="8" w:color="E5EAF5"/>
            </w:tcBorders>
            <w:shd w:val="clear" w:color="auto" w:fill="E5EAF5"/>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7"/>
        </w:trPr>
        <w:tc>
          <w:tcPr>
            <w:tcW w:w="8060" w:type="dxa"/>
            <w:vAlign w:val="bottom"/>
          </w:tcPr>
          <w:p>
            <w:pPr>
              <w:ind w:left="60"/>
              <w:spacing w:after="0"/>
              <w:rPr>
                <w:sz w:val="20"/>
                <w:szCs w:val="20"/>
                <w:color w:val="auto"/>
              </w:rPr>
            </w:pPr>
            <w:r>
              <w:rPr>
                <w:rFonts w:ascii="Arial" w:cs="Arial" w:eastAsia="Arial" w:hAnsi="Arial"/>
                <w:sz w:val="18"/>
                <w:szCs w:val="18"/>
                <w:color w:val="auto"/>
              </w:rPr>
              <w:t>At least 36 months but less than 48 months</w:t>
            </w:r>
          </w:p>
        </w:tc>
        <w:tc>
          <w:tcPr>
            <w:tcW w:w="24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6"/>
        </w:trPr>
        <w:tc>
          <w:tcPr>
            <w:tcW w:w="1048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060" w:type="dxa"/>
            <w:vAlign w:val="bottom"/>
            <w:tcBorders>
              <w:bottom w:val="single" w:sz="8" w:color="E5EAF5"/>
            </w:tcBorders>
            <w:shd w:val="clear" w:color="auto" w:fill="E5EAF5"/>
          </w:tcPr>
          <w:p>
            <w:pPr>
              <w:ind w:left="60"/>
              <w:spacing w:after="0" w:line="202" w:lineRule="exact"/>
              <w:rPr>
                <w:sz w:val="20"/>
                <w:szCs w:val="20"/>
                <w:color w:val="auto"/>
              </w:rPr>
            </w:pPr>
            <w:r>
              <w:rPr>
                <w:rFonts w:ascii="Arial" w:cs="Arial" w:eastAsia="Arial" w:hAnsi="Arial"/>
                <w:sz w:val="18"/>
                <w:szCs w:val="18"/>
                <w:color w:val="auto"/>
              </w:rPr>
              <w:t>At least 48 months and less than 60 months</w:t>
            </w:r>
          </w:p>
        </w:tc>
        <w:tc>
          <w:tcPr>
            <w:tcW w:w="2420" w:type="dxa"/>
            <w:vAlign w:val="bottom"/>
            <w:tcBorders>
              <w:bottom w:val="single" w:sz="8" w:color="E5EAF5"/>
            </w:tcBorders>
            <w:shd w:val="clear" w:color="auto" w:fill="E5EAF5"/>
          </w:tcPr>
          <w:p>
            <w:pPr>
              <w:spacing w:after="0"/>
              <w:rPr>
                <w:sz w:val="19"/>
                <w:szCs w:val="19"/>
                <w:color w:val="auto"/>
              </w:rPr>
            </w:pPr>
          </w:p>
        </w:tc>
        <w:tc>
          <w:tcPr>
            <w:tcW w:w="540" w:type="dxa"/>
            <w:vAlign w:val="bottom"/>
            <w:tcBorders>
              <w:left w:val="single" w:sz="8" w:color="E5EAF5"/>
              <w:bottom w:val="single" w:sz="8" w:color="E5EAF5"/>
            </w:tcBorders>
            <w:shd w:val="clear" w:color="auto" w:fill="E5EAF5"/>
          </w:tcPr>
          <w:p>
            <w:pPr>
              <w:jc w:val="right"/>
              <w:spacing w:after="0" w:line="202"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7"/>
        </w:trPr>
        <w:tc>
          <w:tcPr>
            <w:tcW w:w="8060" w:type="dxa"/>
            <w:vAlign w:val="bottom"/>
          </w:tcPr>
          <w:p>
            <w:pPr>
              <w:ind w:left="60"/>
              <w:spacing w:after="0"/>
              <w:rPr>
                <w:sz w:val="20"/>
                <w:szCs w:val="20"/>
                <w:color w:val="auto"/>
              </w:rPr>
            </w:pPr>
            <w:r>
              <w:rPr>
                <w:rFonts w:ascii="Arial" w:cs="Arial" w:eastAsia="Arial" w:hAnsi="Arial"/>
                <w:sz w:val="18"/>
                <w:szCs w:val="18"/>
                <w:color w:val="auto"/>
              </w:rPr>
              <w:t>60 months or more</w:t>
            </w:r>
          </w:p>
        </w:tc>
        <w:tc>
          <w:tcPr>
            <w:tcW w:w="24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5"/>
              </w:rPr>
              <w:t>100%</w:t>
            </w:r>
          </w:p>
        </w:tc>
        <w:tc>
          <w:tcPr>
            <w:tcW w:w="0" w:type="dxa"/>
            <w:vAlign w:val="bottom"/>
          </w:tcPr>
          <w:p>
            <w:pPr>
              <w:spacing w:after="0"/>
              <w:rPr>
                <w:sz w:val="1"/>
                <w:szCs w:val="1"/>
                <w:color w:val="auto"/>
              </w:rPr>
            </w:pPr>
          </w:p>
        </w:tc>
      </w:tr>
      <w:tr>
        <w:trPr>
          <w:trHeight w:val="40"/>
        </w:trPr>
        <w:tc>
          <w:tcPr>
            <w:tcW w:w="8060" w:type="dxa"/>
            <w:vAlign w:val="bottom"/>
            <w:tcBorders>
              <w:bottom w:val="single" w:sz="8" w:color="0033A0"/>
            </w:tcBorders>
          </w:tcPr>
          <w:p>
            <w:pPr>
              <w:spacing w:after="0"/>
              <w:rPr>
                <w:sz w:val="3"/>
                <w:szCs w:val="3"/>
                <w:color w:val="auto"/>
              </w:rPr>
            </w:pPr>
          </w:p>
        </w:tc>
        <w:tc>
          <w:tcPr>
            <w:tcW w:w="2420" w:type="dxa"/>
            <w:vAlign w:val="bottom"/>
            <w:tcBorders>
              <w:bottom w:val="single" w:sz="8" w:color="0033A0"/>
            </w:tcBorders>
          </w:tcPr>
          <w:p>
            <w:pPr>
              <w:spacing w:after="0"/>
              <w:rPr>
                <w:sz w:val="3"/>
                <w:szCs w:val="3"/>
                <w:color w:val="auto"/>
              </w:rPr>
            </w:pPr>
          </w:p>
        </w:tc>
        <w:tc>
          <w:tcPr>
            <w:tcW w:w="540" w:type="dxa"/>
            <w:vAlign w:val="bottom"/>
            <w:tcBorders>
              <w:bottom w:val="single" w:sz="8" w:color="0033A0"/>
            </w:tcBorders>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8060" w:type="dxa"/>
            <w:vAlign w:val="bottom"/>
          </w:tcPr>
          <w:p>
            <w:pPr>
              <w:spacing w:after="0"/>
              <w:rPr>
                <w:sz w:val="12"/>
                <w:szCs w:val="12"/>
                <w:color w:val="auto"/>
              </w:rPr>
            </w:pPr>
          </w:p>
        </w:tc>
        <w:tc>
          <w:tcPr>
            <w:tcW w:w="2420" w:type="dxa"/>
            <w:vAlign w:val="bottom"/>
            <w:vMerge w:val="restart"/>
          </w:tcPr>
          <w:p>
            <w:pPr>
              <w:ind w:left="540"/>
              <w:spacing w:after="0"/>
              <w:rPr>
                <w:sz w:val="20"/>
                <w:szCs w:val="20"/>
                <w:color w:val="auto"/>
              </w:rPr>
            </w:pPr>
            <w:r>
              <w:rPr>
                <w:rFonts w:ascii="Arial" w:cs="Arial" w:eastAsia="Arial" w:hAnsi="Arial"/>
                <w:sz w:val="18"/>
                <w:szCs w:val="18"/>
                <w:i w:val="1"/>
                <w:iCs w:val="1"/>
                <w:color w:val="auto"/>
              </w:rPr>
              <w:t>2019 Proxy Statement</w:t>
            </w: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806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540" w:type="dxa"/>
            <w:vAlign w:val="bottom"/>
            <w:tcBorders>
              <w:left w:val="single" w:sz="8" w:color="0033A0"/>
            </w:tcBorders>
          </w:tcPr>
          <w:p>
            <w:pPr>
              <w:jc w:val="right"/>
              <w:spacing w:after="0"/>
              <w:rPr>
                <w:sz w:val="20"/>
                <w:szCs w:val="20"/>
                <w:color w:val="auto"/>
              </w:rPr>
            </w:pPr>
            <w:r>
              <w:rPr>
                <w:rFonts w:ascii="Arial" w:cs="Arial" w:eastAsia="Arial" w:hAnsi="Arial"/>
                <w:sz w:val="18"/>
                <w:szCs w:val="18"/>
                <w:b w:val="1"/>
                <w:bCs w:val="1"/>
                <w:color w:val="auto"/>
              </w:rPr>
              <w:t>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-170815</wp:posOffset>
            </wp:positionV>
            <wp:extent cx="720090" cy="12890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0090" cy="12890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type w:val="continuous"/>
        </w:sectPr>
      </w:pPr>
    </w:p>
    <w:bookmarkStart w:id="62" w:name="page63"/>
    <w:bookmarkEnd w:id="6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0033A0"/>
        </w:rPr>
        <w:t>The Brink’s Company</w:t>
      </w:r>
    </w:p>
    <w:p>
      <w:pPr>
        <w:spacing w:after="0" w:line="337" w:lineRule="exact"/>
        <w:rPr>
          <w:sz w:val="20"/>
          <w:szCs w:val="20"/>
          <w:color w:val="auto"/>
        </w:rPr>
      </w:pPr>
    </w:p>
    <w:p>
      <w:pPr>
        <w:ind w:left="200"/>
        <w:spacing w:after="0" w:line="246" w:lineRule="auto"/>
        <w:rPr>
          <w:sz w:val="20"/>
          <w:szCs w:val="20"/>
          <w:color w:val="auto"/>
        </w:rPr>
      </w:pPr>
      <w:r>
        <w:rPr>
          <w:rFonts w:ascii="Arial" w:cs="Arial" w:eastAsia="Arial" w:hAnsi="Arial"/>
          <w:sz w:val="18"/>
          <w:szCs w:val="18"/>
          <w:color w:val="auto"/>
        </w:rPr>
        <w:t>As of December 31, 2018, Messrs. Pertz and Domanico were 0% vested. Messrs. Beech and Marshall were fully vested.</w:t>
      </w:r>
    </w:p>
    <w:p>
      <w:pPr>
        <w:spacing w:after="0" w:line="89" w:lineRule="exact"/>
        <w:rPr>
          <w:sz w:val="20"/>
          <w:szCs w:val="20"/>
          <w:color w:val="auto"/>
        </w:rPr>
      </w:pPr>
    </w:p>
    <w:p>
      <w:pPr>
        <w:ind w:left="200" w:right="520"/>
        <w:spacing w:after="0" w:line="246" w:lineRule="auto"/>
        <w:rPr>
          <w:sz w:val="20"/>
          <w:szCs w:val="20"/>
          <w:color w:val="auto"/>
        </w:rPr>
      </w:pPr>
      <w:r>
        <w:rPr>
          <w:rFonts w:ascii="Arial" w:cs="Arial" w:eastAsia="Arial" w:hAnsi="Arial"/>
          <w:sz w:val="18"/>
          <w:szCs w:val="18"/>
          <w:color w:val="auto"/>
        </w:rPr>
        <w:t>Lump-sum distributions are made at a date selected by the participant at least two years following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date of election or six months after termination of employment. A participant may elect, however, to receive the shares in up to five equal annual installments beginning on a date selected by the participant at least two years following the year of 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-1405890</wp:posOffset>
            </wp:positionV>
            <wp:extent cx="72891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313" w:lineRule="exact"/>
        <w:rPr>
          <w:sz w:val="20"/>
          <w:szCs w:val="20"/>
          <w:color w:val="auto"/>
        </w:rPr>
      </w:pPr>
    </w:p>
    <w:p>
      <w:pPr>
        <w:sectPr>
          <w:pgSz w:w="11900" w:h="16838" w:orient="portrait"/>
          <w:cols w:equalWidth="0" w:num="2">
            <w:col w:w="5400" w:space="420"/>
            <w:col w:w="5380"/>
          </w:cols>
          <w:pgMar w:left="240" w:top="459" w:right="459" w:bottom="1440" w:gutter="0" w:footer="0" w:header="0"/>
        </w:sectPr>
      </w:pPr>
    </w:p>
    <w:p>
      <w:pPr>
        <w:spacing w:after="0" w:line="143"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auto"/>
        </w:rPr>
        <w:t>Potential Payments Upon Termination or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68580</wp:posOffset>
            </wp:positionV>
            <wp:extent cx="699770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00"/>
          </w:cols>
          <w:pgMar w:left="240" w:top="459" w:right="459" w:bottom="1440" w:gutter="0" w:footer="0" w:header="0"/>
          <w:type w:val="continuous"/>
        </w:sectPr>
      </w:pPr>
    </w:p>
    <w:p>
      <w:pPr>
        <w:spacing w:after="0" w:line="336" w:lineRule="exact"/>
        <w:rPr>
          <w:sz w:val="20"/>
          <w:szCs w:val="20"/>
          <w:color w:val="auto"/>
        </w:rPr>
      </w:pPr>
    </w:p>
    <w:p>
      <w:pPr>
        <w:ind w:left="220"/>
        <w:spacing w:after="0" w:line="236" w:lineRule="auto"/>
        <w:rPr>
          <w:sz w:val="20"/>
          <w:szCs w:val="20"/>
          <w:color w:val="auto"/>
        </w:rPr>
      </w:pPr>
      <w:r>
        <w:rPr>
          <w:rFonts w:ascii="Arial" w:cs="Arial" w:eastAsia="Arial" w:hAnsi="Arial"/>
          <w:sz w:val="18"/>
          <w:szCs w:val="18"/>
          <w:color w:val="auto"/>
        </w:rPr>
        <w:t>None of the Company’s named executive officers have employment agreements with the Company, however, each named executive officer may be eligible to receive benefits and payments pursuant to the Company’s Severance Pay Plan and individual change in control agreements in the event of termination or change in control. Benefits under change in control agreements are triggered upon termination following change in control (“double trigger”). The tables on pages 60 and 64 show the estimated amount of incremental additional benefits and payments that would be paid to each of the named executive officers if their employment terminated on December 31, 2018 to the extent those benefits and payments exceed amounts that would be due to the named executive officers regardless of the reason for termination of employment, including:</w:t>
      </w:r>
    </w:p>
    <w:p>
      <w:pPr>
        <w:spacing w:after="0" w:line="108" w:lineRule="exact"/>
        <w:rPr>
          <w:sz w:val="20"/>
          <w:szCs w:val="20"/>
          <w:color w:val="auto"/>
        </w:rPr>
      </w:pPr>
    </w:p>
    <w:p>
      <w:pPr>
        <w:ind w:left="980" w:right="80" w:hanging="317"/>
        <w:spacing w:after="0"/>
        <w:tabs>
          <w:tab w:leader="none" w:pos="980" w:val="left"/>
        </w:tabs>
        <w:numPr>
          <w:ilvl w:val="0"/>
          <w:numId w:val="62"/>
        </w:numPr>
        <w:rPr>
          <w:rFonts w:ascii="Arial" w:cs="Arial" w:eastAsia="Arial" w:hAnsi="Arial"/>
          <w:sz w:val="18"/>
          <w:szCs w:val="18"/>
          <w:color w:val="0033A0"/>
        </w:rPr>
      </w:pPr>
      <w:r>
        <w:rPr>
          <w:rFonts w:ascii="Arial" w:cs="Arial" w:eastAsia="Arial" w:hAnsi="Arial"/>
          <w:sz w:val="18"/>
          <w:szCs w:val="18"/>
          <w:color w:val="auto"/>
        </w:rPr>
        <w:t>for Mr. Marshall and Mr. Zukerman, the present value of their respective accumulated pension benefits, which appear in the Pension Benefits Table on page 53; and</w:t>
      </w:r>
    </w:p>
    <w:p>
      <w:pPr>
        <w:spacing w:after="0" w:line="108" w:lineRule="exact"/>
        <w:rPr>
          <w:rFonts w:ascii="Arial" w:cs="Arial" w:eastAsia="Arial" w:hAnsi="Arial"/>
          <w:sz w:val="18"/>
          <w:szCs w:val="18"/>
          <w:color w:val="0033A0"/>
        </w:rPr>
      </w:pPr>
    </w:p>
    <w:p>
      <w:pPr>
        <w:ind w:left="980" w:right="20" w:hanging="317"/>
        <w:spacing w:after="0" w:line="237" w:lineRule="auto"/>
        <w:tabs>
          <w:tab w:leader="none" w:pos="980" w:val="left"/>
        </w:tabs>
        <w:numPr>
          <w:ilvl w:val="0"/>
          <w:numId w:val="62"/>
        </w:numPr>
        <w:rPr>
          <w:rFonts w:ascii="Arial" w:cs="Arial" w:eastAsia="Arial" w:hAnsi="Arial"/>
          <w:sz w:val="18"/>
          <w:szCs w:val="18"/>
          <w:color w:val="0033A0"/>
        </w:rPr>
      </w:pPr>
      <w:r>
        <w:rPr>
          <w:rFonts w:ascii="Arial" w:cs="Arial" w:eastAsia="Arial" w:hAnsi="Arial"/>
          <w:sz w:val="18"/>
          <w:szCs w:val="18"/>
          <w:color w:val="auto"/>
        </w:rPr>
        <w:t>for each named executive officer, the aggregate balance of non-qualified deferred compensation which appears in the Non-qualified Deferred Compensation Table on page 55, subject to vesting of Company matching contributions as described under “Key Employees’ Deferred Compensation Program—Distributions” beginning on page 57.</w:t>
      </w:r>
    </w:p>
    <w:p>
      <w:pPr>
        <w:spacing w:after="0" w:line="95" w:lineRule="exact"/>
        <w:rPr>
          <w:sz w:val="20"/>
          <w:szCs w:val="20"/>
          <w:color w:val="auto"/>
        </w:rPr>
      </w:pPr>
    </w:p>
    <w:p>
      <w:pPr>
        <w:ind w:left="220" w:right="20"/>
        <w:spacing w:after="0" w:line="252" w:lineRule="auto"/>
        <w:rPr>
          <w:sz w:val="20"/>
          <w:szCs w:val="20"/>
          <w:color w:val="auto"/>
        </w:rPr>
      </w:pPr>
      <w:r>
        <w:rPr>
          <w:rFonts w:ascii="Arial" w:cs="Arial" w:eastAsia="Arial" w:hAnsi="Arial"/>
          <w:sz w:val="17"/>
          <w:szCs w:val="17"/>
          <w:color w:val="auto"/>
        </w:rPr>
        <w:t>Because the named executive officers would be eligible to receive different benefits and payments depending on whether a change in control had occurred on December 31, 2018, information about the additional benefits and payments that would be paid to each named executive officer in connection with a termination of employment is presented in two tables: one without a change in control and one with a change in control. Following are descriptions of the types of benefits and payments that the named executive officers would be eligible to receive under</w:t>
      </w:r>
    </w:p>
    <w:p>
      <w:pPr>
        <w:spacing w:after="0" w:line="200" w:lineRule="exact"/>
        <w:rPr>
          <w:sz w:val="20"/>
          <w:szCs w:val="20"/>
          <w:color w:val="auto"/>
        </w:rPr>
      </w:pPr>
    </w:p>
    <w:p>
      <w:pPr>
        <w:spacing w:after="0" w:line="223" w:lineRule="exact"/>
        <w:rPr>
          <w:sz w:val="20"/>
          <w:szCs w:val="20"/>
          <w:color w:val="auto"/>
        </w:rPr>
      </w:pPr>
    </w:p>
    <w:tbl>
      <w:tblPr>
        <w:tblLayout w:type="fixed"/>
        <w:tblInd w:w="200" w:type="dxa"/>
        <w:tblCellMar>
          <w:top w:w="0" w:type="dxa"/>
          <w:left w:w="0" w:type="dxa"/>
          <w:bottom w:w="0" w:type="dxa"/>
          <w:right w:w="0" w:type="dxa"/>
        </w:tblCellMar>
      </w:tblPr>
      <w:tr>
        <w:trPr>
          <w:trHeight w:val="297"/>
        </w:trPr>
        <w:tc>
          <w:tcPr>
            <w:tcW w:w="360" w:type="dxa"/>
            <w:vAlign w:val="bottom"/>
            <w:tcBorders>
              <w:right w:val="single" w:sz="8" w:color="0033A0"/>
            </w:tcBorders>
          </w:tcPr>
          <w:p>
            <w:pPr>
              <w:jc w:val="right"/>
              <w:ind w:right="70"/>
              <w:spacing w:after="0"/>
              <w:rPr>
                <w:sz w:val="20"/>
                <w:szCs w:val="20"/>
                <w:color w:val="auto"/>
              </w:rPr>
            </w:pPr>
            <w:r>
              <w:rPr>
                <w:rFonts w:ascii="Arial" w:cs="Arial" w:eastAsia="Arial" w:hAnsi="Arial"/>
                <w:sz w:val="18"/>
                <w:szCs w:val="18"/>
                <w:b w:val="1"/>
                <w:bCs w:val="1"/>
                <w:color w:val="auto"/>
                <w:w w:val="89"/>
              </w:rPr>
              <w:t>58</w:t>
            </w:r>
          </w:p>
        </w:tc>
        <w:tc>
          <w:tcPr>
            <w:tcW w:w="3380" w:type="dxa"/>
            <w:vAlign w:val="bottom"/>
          </w:tcPr>
          <w:p>
            <w:pPr>
              <w:ind w:left="1600"/>
              <w:spacing w:after="0"/>
              <w:rPr>
                <w:sz w:val="20"/>
                <w:szCs w:val="20"/>
                <w:color w:val="auto"/>
              </w:rPr>
            </w:pPr>
            <w:r>
              <w:rPr>
                <w:rFonts w:ascii="Arial" w:cs="Arial" w:eastAsia="Arial" w:hAnsi="Arial"/>
                <w:sz w:val="18"/>
                <w:szCs w:val="18"/>
                <w:i w:val="1"/>
                <w:iCs w:val="1"/>
                <w:color w:val="auto"/>
                <w:w w:val="98"/>
              </w:rPr>
              <w:t>2019 Proxy Statement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-170815</wp:posOffset>
            </wp:positionV>
            <wp:extent cx="720090" cy="12890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009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various termination scenarios, key terms under the change in control agreements, and the categories of benefits and payments as reflected in the tables on pages 60 and 64. Neither the tables below, nor the descriptions accompanying them, include hypothetical benefits and payments to named executive officers under a retirement scenario because none of the named executive officers were eligible for retirement as of December 31, 2018 and were therefore not eligible for any additional benefits or payments under that scenario.</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33A0"/>
        </w:rPr>
        <w:t>Severance Pay Plan</w:t>
      </w:r>
    </w:p>
    <w:p>
      <w:pPr>
        <w:spacing w:after="0" w:line="126"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Upon a qualifying termination, participants who are named executive officers would be eligible to receive the following benefits:</w:t>
      </w:r>
    </w:p>
    <w:p>
      <w:pPr>
        <w:spacing w:after="0" w:line="79" w:lineRule="exact"/>
        <w:rPr>
          <w:sz w:val="20"/>
          <w:szCs w:val="20"/>
          <w:color w:val="auto"/>
        </w:rPr>
      </w:pPr>
    </w:p>
    <w:p>
      <w:pPr>
        <w:ind w:left="780" w:right="80" w:hanging="317"/>
        <w:spacing w:after="0" w:line="237" w:lineRule="auto"/>
        <w:tabs>
          <w:tab w:leader="none" w:pos="780" w:val="left"/>
        </w:tabs>
        <w:numPr>
          <w:ilvl w:val="0"/>
          <w:numId w:val="63"/>
        </w:numPr>
        <w:rPr>
          <w:rFonts w:ascii="Arial" w:cs="Arial" w:eastAsia="Arial" w:hAnsi="Arial"/>
          <w:sz w:val="18"/>
          <w:szCs w:val="18"/>
          <w:color w:val="0033A0"/>
        </w:rPr>
      </w:pPr>
      <w:r>
        <w:rPr>
          <w:rFonts w:ascii="Arial" w:cs="Arial" w:eastAsia="Arial" w:hAnsi="Arial"/>
          <w:sz w:val="18"/>
          <w:szCs w:val="18"/>
          <w:color w:val="auto"/>
        </w:rPr>
        <w:t>a lump sum payment equal to the sum of: (a) the executive’s annual base salary through the date of termination, (b) any bonus or incentive compensation approved but not paid, and (c) any accrued vacation pay, in each case to the extent not already paid or credited as of the date of termination;</w:t>
      </w:r>
    </w:p>
    <w:p>
      <w:pPr>
        <w:spacing w:after="0" w:line="110" w:lineRule="exact"/>
        <w:rPr>
          <w:rFonts w:ascii="Arial" w:cs="Arial" w:eastAsia="Arial" w:hAnsi="Arial"/>
          <w:sz w:val="18"/>
          <w:szCs w:val="18"/>
          <w:color w:val="0033A0"/>
        </w:rPr>
      </w:pPr>
    </w:p>
    <w:p>
      <w:pPr>
        <w:ind w:left="780" w:right="40" w:hanging="317"/>
        <w:spacing w:after="0" w:line="239" w:lineRule="auto"/>
        <w:tabs>
          <w:tab w:leader="none" w:pos="780" w:val="left"/>
        </w:tabs>
        <w:numPr>
          <w:ilvl w:val="0"/>
          <w:numId w:val="63"/>
        </w:numPr>
        <w:rPr>
          <w:rFonts w:ascii="Arial" w:cs="Arial" w:eastAsia="Arial" w:hAnsi="Arial"/>
          <w:sz w:val="18"/>
          <w:szCs w:val="18"/>
          <w:color w:val="0033A0"/>
        </w:rPr>
      </w:pPr>
      <w:r>
        <w:rPr>
          <w:rFonts w:ascii="Arial" w:cs="Arial" w:eastAsia="Arial" w:hAnsi="Arial"/>
          <w:sz w:val="18"/>
          <w:szCs w:val="18"/>
          <w:color w:val="auto"/>
        </w:rPr>
        <w:t>a lump sum payment equal to the product of (a) one (one and a half (1.5) for the Chief Executive Officer), multiplied by (b) the sum of annual base salary and target annual incentive opportunity;</w:t>
      </w:r>
    </w:p>
    <w:p>
      <w:pPr>
        <w:spacing w:after="0" w:line="107" w:lineRule="exact"/>
        <w:rPr>
          <w:rFonts w:ascii="Arial" w:cs="Arial" w:eastAsia="Arial" w:hAnsi="Arial"/>
          <w:sz w:val="18"/>
          <w:szCs w:val="18"/>
          <w:color w:val="0033A0"/>
        </w:rPr>
      </w:pPr>
    </w:p>
    <w:p>
      <w:pPr>
        <w:ind w:left="780" w:right="60" w:hanging="317"/>
        <w:spacing w:after="0"/>
        <w:tabs>
          <w:tab w:leader="none" w:pos="780" w:val="left"/>
        </w:tabs>
        <w:numPr>
          <w:ilvl w:val="0"/>
          <w:numId w:val="63"/>
        </w:numPr>
        <w:rPr>
          <w:rFonts w:ascii="Arial" w:cs="Arial" w:eastAsia="Arial" w:hAnsi="Arial"/>
          <w:sz w:val="18"/>
          <w:szCs w:val="18"/>
          <w:color w:val="0033A0"/>
        </w:rPr>
      </w:pPr>
      <w:r>
        <w:rPr>
          <w:rFonts w:ascii="Arial" w:cs="Arial" w:eastAsia="Arial" w:hAnsi="Arial"/>
          <w:sz w:val="18"/>
          <w:szCs w:val="18"/>
          <w:color w:val="auto"/>
        </w:rPr>
        <w:t>a prorated bonus for the year of termination, so long as the participant was employed by the company for at least six months of the performance year;</w:t>
      </w:r>
    </w:p>
    <w:p>
      <w:pPr>
        <w:spacing w:after="0" w:line="108" w:lineRule="exact"/>
        <w:rPr>
          <w:rFonts w:ascii="Arial" w:cs="Arial" w:eastAsia="Arial" w:hAnsi="Arial"/>
          <w:sz w:val="18"/>
          <w:szCs w:val="18"/>
          <w:color w:val="0033A0"/>
        </w:rPr>
      </w:pPr>
    </w:p>
    <w:p>
      <w:pPr>
        <w:ind w:left="780" w:right="60" w:hanging="317"/>
        <w:spacing w:after="0" w:line="237" w:lineRule="auto"/>
        <w:tabs>
          <w:tab w:leader="none" w:pos="780" w:val="left"/>
        </w:tabs>
        <w:numPr>
          <w:ilvl w:val="0"/>
          <w:numId w:val="63"/>
        </w:numPr>
        <w:rPr>
          <w:rFonts w:ascii="Arial" w:cs="Arial" w:eastAsia="Arial" w:hAnsi="Arial"/>
          <w:sz w:val="18"/>
          <w:szCs w:val="18"/>
          <w:color w:val="0033A0"/>
        </w:rPr>
      </w:pPr>
      <w:r>
        <w:rPr>
          <w:rFonts w:ascii="Arial" w:cs="Arial" w:eastAsia="Arial" w:hAnsi="Arial"/>
          <w:sz w:val="18"/>
          <w:szCs w:val="18"/>
          <w:color w:val="auto"/>
        </w:rPr>
        <w:t>reimbursement payments for continued medical and dental benefit coverage until the earlier of 12 months (18 months for the Chief Executive Officer) following the date of termination and such time as the participant becomes eligible to receive medical and dental benefits under another employer-provided plan;</w:t>
      </w:r>
    </w:p>
    <w:p>
      <w:pPr>
        <w:sectPr>
          <w:pgSz w:w="11900" w:h="16838" w:orient="portrait"/>
          <w:cols w:equalWidth="0" w:num="2">
            <w:col w:w="5480" w:space="340"/>
            <w:col w:w="5380"/>
          </w:cols>
          <w:pgMar w:left="240" w:top="459" w:right="459" w:bottom="1440" w:gutter="0" w:footer="0" w:header="0"/>
          <w:type w:val="continuous"/>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980" w:right="100" w:hanging="317"/>
        <w:spacing w:after="0" w:line="238" w:lineRule="auto"/>
        <w:tabs>
          <w:tab w:leader="none" w:pos="980" w:val="left"/>
        </w:tabs>
        <w:numPr>
          <w:ilvl w:val="0"/>
          <w:numId w:val="64"/>
        </w:numPr>
        <w:rPr>
          <w:rFonts w:ascii="Arial" w:cs="Arial" w:eastAsia="Arial" w:hAnsi="Arial"/>
          <w:sz w:val="18"/>
          <w:szCs w:val="18"/>
          <w:color w:val="0033A0"/>
        </w:rPr>
      </w:pPr>
      <w:r>
        <w:rPr>
          <w:rFonts w:ascii="Arial" w:cs="Arial" w:eastAsia="Arial" w:hAnsi="Arial"/>
          <w:sz w:val="18"/>
          <w:szCs w:val="18"/>
          <w:color w:val="auto"/>
        </w:rPr>
        <w:t>continued vesting of equity awards granted in connection with the Company’s ordinary LTI award grant cycle until the first anniversary of the participant’s date of termination with payout at lower of target or actual performance; and</w:t>
      </w:r>
    </w:p>
    <w:p>
      <w:pPr>
        <w:spacing w:after="0" w:line="108" w:lineRule="exact"/>
        <w:rPr>
          <w:rFonts w:ascii="Arial" w:cs="Arial" w:eastAsia="Arial" w:hAnsi="Arial"/>
          <w:sz w:val="18"/>
          <w:szCs w:val="18"/>
          <w:color w:val="0033A0"/>
        </w:rPr>
      </w:pPr>
    </w:p>
    <w:p>
      <w:pPr>
        <w:ind w:left="980" w:right="460" w:hanging="317"/>
        <w:spacing w:after="0" w:line="275" w:lineRule="auto"/>
        <w:tabs>
          <w:tab w:leader="none" w:pos="980" w:val="left"/>
        </w:tabs>
        <w:numPr>
          <w:ilvl w:val="0"/>
          <w:numId w:val="64"/>
        </w:numPr>
        <w:rPr>
          <w:rFonts w:ascii="Arial" w:cs="Arial" w:eastAsia="Arial" w:hAnsi="Arial"/>
          <w:sz w:val="17"/>
          <w:szCs w:val="17"/>
          <w:color w:val="0033A0"/>
        </w:rPr>
      </w:pPr>
      <w:r>
        <w:rPr>
          <w:rFonts w:ascii="Arial" w:cs="Arial" w:eastAsia="Arial" w:hAnsi="Arial"/>
          <w:sz w:val="17"/>
          <w:szCs w:val="17"/>
          <w:color w:val="auto"/>
        </w:rPr>
        <w:t>reasonable outplacement services during the period over which the health care benefits are provided.</w:t>
      </w:r>
    </w:p>
    <w:p>
      <w:pPr>
        <w:spacing w:after="0" w:line="65" w:lineRule="exact"/>
        <w:rPr>
          <w:sz w:val="20"/>
          <w:szCs w:val="20"/>
          <w:color w:val="auto"/>
        </w:rPr>
      </w:pPr>
    </w:p>
    <w:p>
      <w:pPr>
        <w:ind w:left="220" w:right="180"/>
        <w:spacing w:after="0" w:line="237" w:lineRule="auto"/>
        <w:rPr>
          <w:sz w:val="20"/>
          <w:szCs w:val="20"/>
          <w:color w:val="auto"/>
        </w:rPr>
      </w:pPr>
      <w:r>
        <w:rPr>
          <w:rFonts w:ascii="Arial" w:cs="Arial" w:eastAsia="Arial" w:hAnsi="Arial"/>
          <w:sz w:val="18"/>
          <w:szCs w:val="18"/>
          <w:color w:val="auto"/>
        </w:rPr>
        <w:t>In order to receive severance payments, the participant must execute a separation and release agreement that includes a release of claims in favor of the Company as well as confidentiality, non-solicitation and non-competition restrictions that remain in effect for a period of 12 months after termination of employment (18 months for the Chief Executive Officer).</w:t>
      </w:r>
    </w:p>
    <w:p>
      <w:pPr>
        <w:spacing w:after="0" w:line="97" w:lineRule="exact"/>
        <w:rPr>
          <w:sz w:val="20"/>
          <w:szCs w:val="20"/>
          <w:color w:val="auto"/>
        </w:rPr>
      </w:pPr>
    </w:p>
    <w:p>
      <w:pPr>
        <w:ind w:left="220" w:right="140"/>
        <w:spacing w:after="0" w:line="237" w:lineRule="auto"/>
        <w:rPr>
          <w:sz w:val="20"/>
          <w:szCs w:val="20"/>
          <w:color w:val="auto"/>
        </w:rPr>
      </w:pPr>
      <w:r>
        <w:rPr>
          <w:rFonts w:ascii="Arial" w:cs="Arial" w:eastAsia="Arial" w:hAnsi="Arial"/>
          <w:sz w:val="18"/>
          <w:szCs w:val="18"/>
          <w:color w:val="auto"/>
        </w:rPr>
        <w:t>The Committee may amend or terminate the Severance Pay Plan at any time, but any action that would reduce the payments or benefits to participants, narrow the conditions for a qualifying termination, or otherwise reduce the protections provided to participants would not be effective until 12 months following approval by the Committee.</w:t>
      </w:r>
    </w:p>
    <w:p>
      <w:pPr>
        <w:spacing w:after="0" w:line="291" w:lineRule="exact"/>
        <w:rPr>
          <w:sz w:val="20"/>
          <w:szCs w:val="20"/>
          <w:color w:val="auto"/>
        </w:rPr>
      </w:pPr>
    </w:p>
    <w:p>
      <w:pPr>
        <w:ind w:left="220" w:right="440"/>
        <w:spacing w:after="0" w:line="302" w:lineRule="auto"/>
        <w:rPr>
          <w:sz w:val="20"/>
          <w:szCs w:val="20"/>
          <w:color w:val="auto"/>
        </w:rPr>
      </w:pPr>
      <w:r>
        <w:rPr>
          <w:rFonts w:ascii="Arial" w:cs="Arial" w:eastAsia="Arial" w:hAnsi="Arial"/>
          <w:sz w:val="17"/>
          <w:szCs w:val="17"/>
          <w:b w:val="1"/>
          <w:bCs w:val="1"/>
          <w:i w:val="1"/>
          <w:iCs w:val="1"/>
          <w:color w:val="0033A0"/>
        </w:rPr>
        <w:t>Hypothetical Post-Employment Payments and Benefits to Named Executive Officers Without a Change in Control</w:t>
      </w:r>
    </w:p>
    <w:p>
      <w:pPr>
        <w:spacing w:after="0" w:line="43" w:lineRule="exact"/>
        <w:rPr>
          <w:sz w:val="20"/>
          <w:szCs w:val="20"/>
          <w:color w:val="auto"/>
        </w:rPr>
      </w:pPr>
    </w:p>
    <w:p>
      <w:pPr>
        <w:ind w:left="220" w:right="240"/>
        <w:spacing w:after="0" w:line="238" w:lineRule="auto"/>
        <w:rPr>
          <w:sz w:val="20"/>
          <w:szCs w:val="20"/>
          <w:color w:val="auto"/>
        </w:rPr>
      </w:pPr>
      <w:r>
        <w:rPr>
          <w:rFonts w:ascii="Arial" w:cs="Arial" w:eastAsia="Arial" w:hAnsi="Arial"/>
          <w:sz w:val="18"/>
          <w:szCs w:val="18"/>
          <w:color w:val="auto"/>
        </w:rPr>
        <w:t>The table on page 60 provides information with respect to incremental additional hypothetical benefits and payments to the named executive officers as of December 31, 2018 under the Company’s policies and programs, assuming their employment was terminated without a change in control.</w:t>
      </w:r>
    </w:p>
    <w:p>
      <w:pPr>
        <w:spacing w:after="0" w:line="95" w:lineRule="exact"/>
        <w:rPr>
          <w:sz w:val="20"/>
          <w:szCs w:val="20"/>
          <w:color w:val="auto"/>
        </w:rPr>
      </w:pPr>
    </w:p>
    <w:p>
      <w:pPr>
        <w:ind w:left="220" w:right="980"/>
        <w:spacing w:after="0" w:line="246" w:lineRule="auto"/>
        <w:rPr>
          <w:sz w:val="20"/>
          <w:szCs w:val="20"/>
          <w:color w:val="auto"/>
        </w:rPr>
      </w:pPr>
      <w:r>
        <w:rPr>
          <w:rFonts w:ascii="Arial" w:cs="Arial" w:eastAsia="Arial" w:hAnsi="Arial"/>
          <w:sz w:val="18"/>
          <w:szCs w:val="18"/>
          <w:color w:val="auto"/>
        </w:rPr>
        <w:t>The amounts in the following tables are in the following categories:</w:t>
      </w:r>
    </w:p>
    <w:p>
      <w:pPr>
        <w:spacing w:after="0" w:line="80" w:lineRule="exact"/>
        <w:rPr>
          <w:sz w:val="20"/>
          <w:szCs w:val="20"/>
          <w:color w:val="auto"/>
        </w:rPr>
      </w:pPr>
    </w:p>
    <w:p>
      <w:pPr>
        <w:ind w:left="980" w:right="320" w:hanging="317"/>
        <w:spacing w:after="0" w:line="271" w:lineRule="auto"/>
        <w:tabs>
          <w:tab w:leader="none" w:pos="980" w:val="left"/>
        </w:tabs>
        <w:numPr>
          <w:ilvl w:val="0"/>
          <w:numId w:val="65"/>
        </w:numPr>
        <w:rPr>
          <w:rFonts w:ascii="Arial" w:cs="Arial" w:eastAsia="Arial" w:hAnsi="Arial"/>
          <w:sz w:val="18"/>
          <w:szCs w:val="18"/>
          <w:color w:val="0033A0"/>
        </w:rPr>
      </w:pPr>
      <w:r>
        <w:rPr>
          <w:rFonts w:ascii="Arial" w:cs="Arial" w:eastAsia="Arial" w:hAnsi="Arial"/>
          <w:sz w:val="18"/>
          <w:szCs w:val="18"/>
          <w:b w:val="1"/>
          <w:bCs w:val="1"/>
          <w:i w:val="1"/>
          <w:iCs w:val="1"/>
          <w:color w:val="auto"/>
        </w:rPr>
        <w:t xml:space="preserve">Prorated Annual Incentive. </w:t>
      </w:r>
      <w:r>
        <w:rPr>
          <w:rFonts w:ascii="Arial" w:cs="Arial" w:eastAsia="Arial" w:hAnsi="Arial"/>
          <w:sz w:val="18"/>
          <w:szCs w:val="18"/>
          <w:color w:val="auto"/>
        </w:rPr>
        <w:t>Represents hypothetical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payment of a prorated annual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0033A0"/>
        </w:rPr>
        <w:t>EXECUTIVE COMPENSATION TABLES</w:t>
      </w:r>
    </w:p>
    <w:p>
      <w:pPr>
        <w:spacing w:after="0" w:line="337" w:lineRule="exact"/>
        <w:rPr>
          <w:sz w:val="20"/>
          <w:szCs w:val="20"/>
          <w:color w:val="auto"/>
        </w:rPr>
      </w:pPr>
    </w:p>
    <w:p>
      <w:pPr>
        <w:jc w:val="both"/>
        <w:ind w:left="320" w:right="20"/>
        <w:spacing w:after="0" w:line="246" w:lineRule="auto"/>
        <w:rPr>
          <w:sz w:val="20"/>
          <w:szCs w:val="20"/>
          <w:color w:val="auto"/>
        </w:rPr>
      </w:pPr>
      <w:r>
        <w:rPr>
          <w:rFonts w:ascii="Arial" w:cs="Arial" w:eastAsia="Arial" w:hAnsi="Arial"/>
          <w:sz w:val="18"/>
          <w:szCs w:val="18"/>
          <w:color w:val="auto"/>
        </w:rPr>
        <w:t>incentive for the year of termination, pursuant to the terms of the Severance Pay Plan.</w:t>
      </w:r>
    </w:p>
    <w:p>
      <w:pPr>
        <w:spacing w:after="0" w:line="80" w:lineRule="exact"/>
        <w:rPr>
          <w:sz w:val="20"/>
          <w:szCs w:val="20"/>
          <w:color w:val="auto"/>
        </w:rPr>
      </w:pPr>
    </w:p>
    <w:p>
      <w:pPr>
        <w:ind w:left="320" w:right="440" w:hanging="317"/>
        <w:spacing w:after="0" w:line="262" w:lineRule="auto"/>
        <w:tabs>
          <w:tab w:leader="none" w:pos="320" w:val="left"/>
        </w:tabs>
        <w:numPr>
          <w:ilvl w:val="0"/>
          <w:numId w:val="66"/>
        </w:numPr>
        <w:rPr>
          <w:rFonts w:ascii="Arial" w:cs="Arial" w:eastAsia="Arial" w:hAnsi="Arial"/>
          <w:sz w:val="17"/>
          <w:szCs w:val="17"/>
          <w:color w:val="0033A0"/>
        </w:rPr>
      </w:pPr>
      <w:r>
        <w:rPr>
          <w:rFonts w:ascii="Arial" w:cs="Arial" w:eastAsia="Arial" w:hAnsi="Arial"/>
          <w:sz w:val="17"/>
          <w:szCs w:val="17"/>
          <w:b w:val="1"/>
          <w:bCs w:val="1"/>
          <w:i w:val="1"/>
          <w:iCs w:val="1"/>
          <w:color w:val="auto"/>
        </w:rPr>
        <w:t xml:space="preserve">Base Salary and Annual Incentive. </w:t>
      </w:r>
      <w:r>
        <w:rPr>
          <w:rFonts w:ascii="Arial" w:cs="Arial" w:eastAsia="Arial" w:hAnsi="Arial"/>
          <w:sz w:val="17"/>
          <w:szCs w:val="17"/>
          <w:color w:val="auto"/>
        </w:rPr>
        <w:t>Represents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hypothetical payment in the amount of the product of</w:t>
      </w:r>
    </w:p>
    <w:p>
      <w:pPr>
        <w:ind w:left="320" w:right="220"/>
        <w:spacing w:after="0" w:line="239" w:lineRule="auto"/>
        <w:rPr>
          <w:rFonts w:ascii="Arial" w:cs="Arial" w:eastAsia="Arial" w:hAnsi="Arial"/>
          <w:sz w:val="17"/>
          <w:szCs w:val="17"/>
          <w:color w:val="0033A0"/>
        </w:rPr>
      </w:pPr>
      <w:r>
        <w:rPr>
          <w:rFonts w:ascii="Arial" w:cs="Arial" w:eastAsia="Arial" w:hAnsi="Arial"/>
          <w:sz w:val="18"/>
          <w:szCs w:val="18"/>
          <w:color w:val="auto"/>
        </w:rPr>
        <w:t>(a) one (or one and a half (1.5) for the Chief Executive Officer), multiplied by (b) the sum of annual base salary and target annual incentive opportunity, pursuant to the terms of the Severance Pay Plan.</w:t>
      </w:r>
    </w:p>
    <w:p>
      <w:pPr>
        <w:spacing w:after="0" w:line="85" w:lineRule="exact"/>
        <w:rPr>
          <w:rFonts w:ascii="Arial" w:cs="Arial" w:eastAsia="Arial" w:hAnsi="Arial"/>
          <w:sz w:val="17"/>
          <w:szCs w:val="17"/>
          <w:color w:val="0033A0"/>
        </w:rPr>
      </w:pPr>
    </w:p>
    <w:p>
      <w:pPr>
        <w:ind w:left="320" w:right="100" w:hanging="317"/>
        <w:spacing w:after="0" w:line="244" w:lineRule="auto"/>
        <w:tabs>
          <w:tab w:leader="none" w:pos="320" w:val="left"/>
        </w:tabs>
        <w:numPr>
          <w:ilvl w:val="0"/>
          <w:numId w:val="66"/>
        </w:numPr>
        <w:rPr>
          <w:rFonts w:ascii="Arial" w:cs="Arial" w:eastAsia="Arial" w:hAnsi="Arial"/>
          <w:sz w:val="18"/>
          <w:szCs w:val="18"/>
          <w:color w:val="0033A0"/>
        </w:rPr>
      </w:pPr>
      <w:r>
        <w:rPr>
          <w:rFonts w:ascii="Arial" w:cs="Arial" w:eastAsia="Arial" w:hAnsi="Arial"/>
          <w:sz w:val="18"/>
          <w:szCs w:val="18"/>
          <w:b w:val="1"/>
          <w:bCs w:val="1"/>
          <w:i w:val="1"/>
          <w:iCs w:val="1"/>
          <w:color w:val="auto"/>
        </w:rPr>
        <w:t xml:space="preserve">Long-term Incentive. </w:t>
      </w:r>
      <w:r>
        <w:rPr>
          <w:rFonts w:ascii="Arial" w:cs="Arial" w:eastAsia="Arial" w:hAnsi="Arial"/>
          <w:sz w:val="18"/>
          <w:szCs w:val="18"/>
          <w:color w:val="auto"/>
        </w:rPr>
        <w:t>Includes the value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2018 of unvested RSUs, Internal Metric PSUs, Relative TSR PSUs and Stock Options that would be payable in accordance with their terms or pursuant to the Severance Pay Plan.</w:t>
      </w:r>
    </w:p>
    <w:p>
      <w:pPr>
        <w:spacing w:after="0" w:line="82" w:lineRule="exact"/>
        <w:rPr>
          <w:rFonts w:ascii="Arial" w:cs="Arial" w:eastAsia="Arial" w:hAnsi="Arial"/>
          <w:sz w:val="18"/>
          <w:szCs w:val="18"/>
          <w:color w:val="0033A0"/>
        </w:rPr>
      </w:pPr>
    </w:p>
    <w:p>
      <w:pPr>
        <w:ind w:left="320" w:right="120" w:hanging="317"/>
        <w:spacing w:after="0" w:line="275" w:lineRule="auto"/>
        <w:tabs>
          <w:tab w:leader="none" w:pos="320" w:val="left"/>
        </w:tabs>
        <w:numPr>
          <w:ilvl w:val="0"/>
          <w:numId w:val="66"/>
        </w:numPr>
        <w:rPr>
          <w:rFonts w:ascii="Arial" w:cs="Arial" w:eastAsia="Arial" w:hAnsi="Arial"/>
          <w:sz w:val="17"/>
          <w:szCs w:val="17"/>
          <w:color w:val="0033A0"/>
        </w:rPr>
      </w:pPr>
      <w:r>
        <w:rPr>
          <w:rFonts w:ascii="Arial" w:cs="Arial" w:eastAsia="Arial" w:hAnsi="Arial"/>
          <w:sz w:val="17"/>
          <w:szCs w:val="17"/>
          <w:b w:val="1"/>
          <w:bCs w:val="1"/>
          <w:i w:val="1"/>
          <w:iCs w:val="1"/>
          <w:color w:val="auto"/>
        </w:rPr>
        <w:t xml:space="preserve">Benefit Plans. </w:t>
      </w:r>
      <w:r>
        <w:rPr>
          <w:rFonts w:ascii="Arial" w:cs="Arial" w:eastAsia="Arial" w:hAnsi="Arial"/>
          <w:sz w:val="17"/>
          <w:szCs w:val="17"/>
          <w:color w:val="auto"/>
        </w:rPr>
        <w:t>Includes benefits under the Executive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Salary Continuation Plan, which is described on page 40 as well as the value of short-term disability payments.</w:t>
      </w:r>
    </w:p>
    <w:p>
      <w:pPr>
        <w:spacing w:after="0" w:line="57" w:lineRule="exact"/>
        <w:rPr>
          <w:rFonts w:ascii="Arial" w:cs="Arial" w:eastAsia="Arial" w:hAnsi="Arial"/>
          <w:sz w:val="17"/>
          <w:szCs w:val="17"/>
          <w:color w:val="0033A0"/>
        </w:rPr>
      </w:pPr>
    </w:p>
    <w:p>
      <w:pPr>
        <w:ind w:left="320" w:right="100" w:hanging="317"/>
        <w:spacing w:after="0" w:line="275" w:lineRule="auto"/>
        <w:tabs>
          <w:tab w:leader="none" w:pos="320" w:val="left"/>
        </w:tabs>
        <w:numPr>
          <w:ilvl w:val="0"/>
          <w:numId w:val="66"/>
        </w:numPr>
        <w:rPr>
          <w:rFonts w:ascii="Arial" w:cs="Arial" w:eastAsia="Arial" w:hAnsi="Arial"/>
          <w:sz w:val="17"/>
          <w:szCs w:val="17"/>
          <w:color w:val="0033A0"/>
        </w:rPr>
      </w:pPr>
      <w:r>
        <w:rPr>
          <w:rFonts w:ascii="Arial" w:cs="Arial" w:eastAsia="Arial" w:hAnsi="Arial"/>
          <w:sz w:val="17"/>
          <w:szCs w:val="17"/>
          <w:b w:val="1"/>
          <w:bCs w:val="1"/>
          <w:i w:val="1"/>
          <w:iCs w:val="1"/>
          <w:color w:val="auto"/>
        </w:rPr>
        <w:t xml:space="preserve">Outplacement Services and Other Benefits. </w:t>
      </w:r>
      <w:r>
        <w:rPr>
          <w:rFonts w:ascii="Arial" w:cs="Arial" w:eastAsia="Arial" w:hAnsi="Arial"/>
          <w:sz w:val="17"/>
          <w:szCs w:val="17"/>
          <w:color w:val="auto"/>
        </w:rPr>
        <w:t>Includes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estimated cost of outplacement services and medical benefit coverage pursuant to the Severance Pay Plan.</w:t>
      </w:r>
    </w:p>
    <w:p>
      <w:pPr>
        <w:spacing w:after="0" w:line="57" w:lineRule="exact"/>
        <w:rPr>
          <w:rFonts w:ascii="Arial" w:cs="Arial" w:eastAsia="Arial" w:hAnsi="Arial"/>
          <w:sz w:val="17"/>
          <w:szCs w:val="17"/>
          <w:color w:val="0033A0"/>
        </w:rPr>
      </w:pPr>
    </w:p>
    <w:p>
      <w:pPr>
        <w:ind w:left="320" w:right="60" w:hanging="317"/>
        <w:spacing w:after="0" w:line="252" w:lineRule="auto"/>
        <w:tabs>
          <w:tab w:leader="none" w:pos="320" w:val="left"/>
        </w:tabs>
        <w:numPr>
          <w:ilvl w:val="0"/>
          <w:numId w:val="66"/>
        </w:numPr>
        <w:rPr>
          <w:rFonts w:ascii="Arial" w:cs="Arial" w:eastAsia="Arial" w:hAnsi="Arial"/>
          <w:sz w:val="17"/>
          <w:szCs w:val="17"/>
          <w:color w:val="0033A0"/>
        </w:rPr>
      </w:pPr>
      <w:r>
        <w:rPr>
          <w:rFonts w:ascii="Arial" w:cs="Arial" w:eastAsia="Arial" w:hAnsi="Arial"/>
          <w:sz w:val="17"/>
          <w:szCs w:val="17"/>
          <w:b w:val="1"/>
          <w:bCs w:val="1"/>
          <w:i w:val="1"/>
          <w:iCs w:val="1"/>
          <w:color w:val="auto"/>
        </w:rPr>
        <w:t xml:space="preserve">Notice Period Payments. </w:t>
      </w:r>
      <w:r>
        <w:rPr>
          <w:rFonts w:ascii="Arial" w:cs="Arial" w:eastAsia="Arial" w:hAnsi="Arial"/>
          <w:sz w:val="17"/>
          <w:szCs w:val="17"/>
          <w:color w:val="auto"/>
        </w:rPr>
        <w:t>Includes continuing salary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payments during a three month period that begins when the Company provides notice of termination under certain circumstances as well as a pro-rated annual incentive payment for the three month period and the value of any equity awards that would vest during the three month period. The notice period and related payments are required under Switzerland law and apply only to</w:t>
      </w:r>
    </w:p>
    <w:p>
      <w:pPr>
        <w:ind w:left="320"/>
        <w:spacing w:after="0"/>
        <w:rPr>
          <w:rFonts w:ascii="Arial" w:cs="Arial" w:eastAsia="Arial" w:hAnsi="Arial"/>
          <w:sz w:val="17"/>
          <w:szCs w:val="17"/>
          <w:color w:val="0033A0"/>
        </w:rPr>
      </w:pPr>
      <w:r>
        <w:rPr>
          <w:rFonts w:ascii="Arial" w:cs="Arial" w:eastAsia="Arial" w:hAnsi="Arial"/>
          <w:sz w:val="18"/>
          <w:szCs w:val="18"/>
          <w:color w:val="auto"/>
        </w:rPr>
        <w:t>Mr. Zukerman because he resides in Switzerland.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2540" w:type="dxa"/>
        <w:tblCellMar>
          <w:top w:w="0" w:type="dxa"/>
          <w:left w:w="0" w:type="dxa"/>
          <w:bottom w:w="0" w:type="dxa"/>
          <w:right w:w="0" w:type="dxa"/>
        </w:tblCellMar>
      </w:tblPr>
      <w:tr>
        <w:trPr>
          <w:trHeight w:val="297"/>
        </w:trPr>
        <w:tc>
          <w:tcPr>
            <w:tcW w:w="1900" w:type="dxa"/>
            <w:vAlign w:val="bottom"/>
            <w:tcBorders>
              <w:right w:val="single" w:sz="8" w:color="0033A0"/>
            </w:tcBorders>
          </w:tcPr>
          <w:p>
            <w:pPr>
              <w:spacing w:after="0"/>
              <w:rPr>
                <w:sz w:val="20"/>
                <w:szCs w:val="20"/>
                <w:color w:val="auto"/>
              </w:rPr>
            </w:pPr>
            <w:r>
              <w:rPr>
                <w:rFonts w:ascii="Arial" w:cs="Arial" w:eastAsia="Arial" w:hAnsi="Arial"/>
                <w:sz w:val="18"/>
                <w:szCs w:val="18"/>
                <w:i w:val="1"/>
                <w:iCs w:val="1"/>
                <w:color w:val="auto"/>
              </w:rPr>
              <w:t>2019 Proxy Statement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-170815</wp:posOffset>
            </wp:positionV>
            <wp:extent cx="720090" cy="12890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0090" cy="128905"/>
                    </a:xfrm>
                    <a:prstGeom prst="rect">
                      <a:avLst/>
                    </a:prstGeom>
                    <a:noFill/>
                  </pic:spPr>
                </pic:pic>
              </a:graphicData>
            </a:graphic>
          </wp:anchor>
        </w:drawing>
      </w:r>
    </w:p>
    <w:p>
      <w:pPr>
        <w:sectPr>
          <w:pgSz w:w="11900" w:h="16838" w:orient="portrait"/>
          <w:cols w:equalWidth="0" w:num="2">
            <w:col w:w="5560" w:space="720"/>
            <w:col w:w="4940"/>
          </w:cols>
          <w:pgMar w:left="240" w:top="459" w:right="4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0033A0"/>
        </w:rPr>
        <w:t>The Brink’s Company</w:t>
      </w:r>
    </w:p>
    <w:p>
      <w:pPr>
        <w:spacing w:after="0" w:line="369" w:lineRule="exact"/>
        <w:rPr>
          <w:sz w:val="20"/>
          <w:szCs w:val="20"/>
          <w:color w:val="auto"/>
        </w:rPr>
      </w:pPr>
    </w:p>
    <w:tbl>
      <w:tblPr>
        <w:tblLayout w:type="fixed"/>
        <w:tblInd w:w="220" w:type="dxa"/>
        <w:tblCellMar>
          <w:top w:w="0" w:type="dxa"/>
          <w:left w:w="0" w:type="dxa"/>
          <w:bottom w:w="0" w:type="dxa"/>
          <w:right w:w="0" w:type="dxa"/>
        </w:tblCellMar>
      </w:tblPr>
      <w:tr>
        <w:trPr>
          <w:trHeight w:val="149"/>
        </w:trPr>
        <w:tc>
          <w:tcPr>
            <w:tcW w:w="158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0033A0"/>
                <w:w w:val="94"/>
              </w:rPr>
              <w:t>Termination</w:t>
            </w: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jc w:val="center"/>
              <w:spacing w:after="0" w:line="135" w:lineRule="exact"/>
              <w:rPr>
                <w:sz w:val="20"/>
                <w:szCs w:val="20"/>
                <w:color w:val="auto"/>
              </w:rPr>
            </w:pPr>
            <w:r>
              <w:rPr>
                <w:rFonts w:ascii="Arial" w:cs="Arial" w:eastAsia="Arial" w:hAnsi="Arial"/>
                <w:sz w:val="13"/>
                <w:szCs w:val="13"/>
                <w:b w:val="1"/>
                <w:bCs w:val="1"/>
                <w:color w:val="0033A0"/>
                <w:w w:val="96"/>
              </w:rPr>
              <w:t>Without Cause</w:t>
            </w: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1340" w:type="dxa"/>
            <w:vAlign w:val="bottom"/>
            <w:gridSpan w:val="2"/>
          </w:tcPr>
          <w:p>
            <w:pPr>
              <w:jc w:val="right"/>
              <w:ind w:right="152"/>
              <w:spacing w:after="0" w:line="135" w:lineRule="exact"/>
              <w:rPr>
                <w:sz w:val="20"/>
                <w:szCs w:val="20"/>
                <w:color w:val="auto"/>
              </w:rPr>
            </w:pPr>
            <w:r>
              <w:rPr>
                <w:rFonts w:ascii="Arial" w:cs="Arial" w:eastAsia="Arial" w:hAnsi="Arial"/>
                <w:sz w:val="13"/>
                <w:szCs w:val="13"/>
                <w:b w:val="1"/>
                <w:bCs w:val="1"/>
                <w:color w:val="0033A0"/>
              </w:rPr>
              <w:t>Termination</w:t>
            </w:r>
          </w:p>
        </w:tc>
        <w:tc>
          <w:tcPr>
            <w:tcW w:w="1160" w:type="dxa"/>
            <w:vAlign w:val="bottom"/>
            <w:gridSpan w:val="2"/>
          </w:tcPr>
          <w:p>
            <w:pPr>
              <w:jc w:val="right"/>
              <w:ind w:right="232"/>
              <w:spacing w:after="0" w:line="135" w:lineRule="exact"/>
              <w:rPr>
                <w:sz w:val="20"/>
                <w:szCs w:val="20"/>
                <w:color w:val="auto"/>
              </w:rPr>
            </w:pPr>
            <w:r>
              <w:rPr>
                <w:rFonts w:ascii="Arial" w:cs="Arial" w:eastAsia="Arial" w:hAnsi="Arial"/>
                <w:sz w:val="13"/>
                <w:szCs w:val="13"/>
                <w:b w:val="1"/>
                <w:bCs w:val="1"/>
                <w:color w:val="0033A0"/>
              </w:rPr>
              <w:t>Voluntary</w:t>
            </w:r>
          </w:p>
        </w:tc>
        <w:tc>
          <w:tcPr>
            <w:tcW w:w="1340" w:type="dxa"/>
            <w:vAlign w:val="bottom"/>
          </w:tcPr>
          <w:p>
            <w:pPr>
              <w:jc w:val="center"/>
              <w:spacing w:after="0" w:line="135" w:lineRule="exact"/>
              <w:rPr>
                <w:sz w:val="20"/>
                <w:szCs w:val="20"/>
                <w:color w:val="auto"/>
              </w:rPr>
            </w:pPr>
            <w:r>
              <w:rPr>
                <w:rFonts w:ascii="Arial" w:cs="Arial" w:eastAsia="Arial" w:hAnsi="Arial"/>
                <w:sz w:val="13"/>
                <w:szCs w:val="13"/>
                <w:b w:val="1"/>
                <w:bCs w:val="1"/>
                <w:color w:val="0033A0"/>
                <w:w w:val="97"/>
              </w:rPr>
              <w:t>or for Good</w:t>
            </w: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580" w:type="dxa"/>
            <w:vAlign w:val="bottom"/>
            <w:tcBorders>
              <w:bottom w:val="single" w:sz="8" w:color="0033A0"/>
            </w:tcBorders>
          </w:tcPr>
          <w:p>
            <w:pPr>
              <w:spacing w:after="0"/>
              <w:rPr>
                <w:sz w:val="13"/>
                <w:szCs w:val="13"/>
                <w:color w:val="auto"/>
              </w:rPr>
            </w:pPr>
          </w:p>
        </w:tc>
        <w:tc>
          <w:tcPr>
            <w:tcW w:w="3340" w:type="dxa"/>
            <w:vAlign w:val="bottom"/>
            <w:tcBorders>
              <w:bottom w:val="single" w:sz="8" w:color="0033A0"/>
            </w:tcBorders>
          </w:tcPr>
          <w:p>
            <w:pPr>
              <w:spacing w:after="0"/>
              <w:rPr>
                <w:sz w:val="13"/>
                <w:szCs w:val="13"/>
                <w:color w:val="auto"/>
              </w:rPr>
            </w:pPr>
          </w:p>
        </w:tc>
        <w:tc>
          <w:tcPr>
            <w:tcW w:w="1340" w:type="dxa"/>
            <w:vAlign w:val="bottom"/>
            <w:tcBorders>
              <w:bottom w:val="single" w:sz="8" w:color="0033A0"/>
            </w:tcBorders>
            <w:gridSpan w:val="2"/>
          </w:tcPr>
          <w:p>
            <w:pPr>
              <w:jc w:val="right"/>
              <w:ind w:right="232"/>
              <w:spacing w:after="0"/>
              <w:rPr>
                <w:sz w:val="20"/>
                <w:szCs w:val="20"/>
                <w:color w:val="auto"/>
              </w:rPr>
            </w:pPr>
            <w:r>
              <w:rPr>
                <w:rFonts w:ascii="Arial" w:cs="Arial" w:eastAsia="Arial" w:hAnsi="Arial"/>
                <w:sz w:val="13"/>
                <w:szCs w:val="13"/>
                <w:b w:val="1"/>
                <w:bCs w:val="1"/>
                <w:color w:val="0033A0"/>
              </w:rPr>
              <w:t>for Cause</w:t>
            </w:r>
          </w:p>
        </w:tc>
        <w:tc>
          <w:tcPr>
            <w:tcW w:w="1160" w:type="dxa"/>
            <w:vAlign w:val="bottom"/>
            <w:tcBorders>
              <w:bottom w:val="single" w:sz="8" w:color="0033A0"/>
            </w:tcBorders>
            <w:gridSpan w:val="2"/>
          </w:tcPr>
          <w:p>
            <w:pPr>
              <w:jc w:val="right"/>
              <w:ind w:right="152"/>
              <w:spacing w:after="0"/>
              <w:rPr>
                <w:sz w:val="20"/>
                <w:szCs w:val="20"/>
                <w:color w:val="auto"/>
              </w:rPr>
            </w:pPr>
            <w:r>
              <w:rPr>
                <w:rFonts w:ascii="Arial" w:cs="Arial" w:eastAsia="Arial" w:hAnsi="Arial"/>
                <w:sz w:val="13"/>
                <w:szCs w:val="13"/>
                <w:b w:val="1"/>
                <w:bCs w:val="1"/>
                <w:color w:val="0033A0"/>
              </w:rPr>
              <w:t>Termination</w:t>
            </w:r>
          </w:p>
        </w:tc>
        <w:tc>
          <w:tcPr>
            <w:tcW w:w="1340" w:type="dxa"/>
            <w:vAlign w:val="bottom"/>
            <w:tcBorders>
              <w:bottom w:val="single" w:sz="8" w:color="0033A0"/>
            </w:tcBorders>
          </w:tcPr>
          <w:p>
            <w:pPr>
              <w:jc w:val="center"/>
              <w:spacing w:after="0"/>
              <w:rPr>
                <w:sz w:val="20"/>
                <w:szCs w:val="20"/>
                <w:color w:val="auto"/>
              </w:rPr>
            </w:pPr>
            <w:r>
              <w:rPr>
                <w:rFonts w:ascii="Arial" w:cs="Arial" w:eastAsia="Arial" w:hAnsi="Arial"/>
                <w:sz w:val="13"/>
                <w:szCs w:val="13"/>
                <w:b w:val="1"/>
                <w:bCs w:val="1"/>
                <w:color w:val="0033A0"/>
                <w:w w:val="97"/>
              </w:rPr>
              <w:t>Reason</w:t>
            </w:r>
          </w:p>
        </w:tc>
        <w:tc>
          <w:tcPr>
            <w:tcW w:w="1220" w:type="dxa"/>
            <w:vAlign w:val="bottom"/>
            <w:tcBorders>
              <w:bottom w:val="single" w:sz="8" w:color="0033A0"/>
            </w:tcBorders>
            <w:gridSpan w:val="2"/>
          </w:tcPr>
          <w:p>
            <w:pPr>
              <w:ind w:left="240"/>
              <w:spacing w:after="0"/>
              <w:rPr>
                <w:sz w:val="20"/>
                <w:szCs w:val="20"/>
                <w:color w:val="auto"/>
              </w:rPr>
            </w:pPr>
            <w:r>
              <w:rPr>
                <w:rFonts w:ascii="Arial" w:cs="Arial" w:eastAsia="Arial" w:hAnsi="Arial"/>
                <w:sz w:val="13"/>
                <w:szCs w:val="13"/>
                <w:b w:val="1"/>
                <w:bCs w:val="1"/>
                <w:color w:val="0033A0"/>
              </w:rPr>
              <w:t>Incapacity</w:t>
            </w:r>
            <w:r>
              <w:rPr>
                <w:rFonts w:ascii="Arial" w:cs="Arial" w:eastAsia="Arial" w:hAnsi="Arial"/>
                <w:sz w:val="10"/>
                <w:szCs w:val="10"/>
                <w:b w:val="1"/>
                <w:bCs w:val="1"/>
                <w:color w:val="0033A0"/>
              </w:rPr>
              <w:t>(2)</w:t>
            </w:r>
          </w:p>
        </w:tc>
        <w:tc>
          <w:tcPr>
            <w:tcW w:w="300" w:type="dxa"/>
            <w:vAlign w:val="bottom"/>
            <w:tcBorders>
              <w:bottom w:val="single" w:sz="8" w:color="0033A0"/>
            </w:tcBorders>
          </w:tcPr>
          <w:p>
            <w:pPr>
              <w:spacing w:after="0"/>
              <w:rPr>
                <w:sz w:val="13"/>
                <w:szCs w:val="13"/>
                <w:color w:val="auto"/>
              </w:rPr>
            </w:pPr>
          </w:p>
        </w:tc>
        <w:tc>
          <w:tcPr>
            <w:tcW w:w="740" w:type="dxa"/>
            <w:vAlign w:val="bottom"/>
            <w:tcBorders>
              <w:bottom w:val="single" w:sz="8" w:color="0033A0"/>
            </w:tcBorders>
          </w:tcPr>
          <w:p>
            <w:pPr>
              <w:jc w:val="right"/>
              <w:ind w:right="133"/>
              <w:spacing w:after="0"/>
              <w:rPr>
                <w:sz w:val="20"/>
                <w:szCs w:val="20"/>
                <w:color w:val="auto"/>
              </w:rPr>
            </w:pPr>
            <w:r>
              <w:rPr>
                <w:rFonts w:ascii="Arial" w:cs="Arial" w:eastAsia="Arial" w:hAnsi="Arial"/>
                <w:sz w:val="13"/>
                <w:szCs w:val="13"/>
                <w:b w:val="1"/>
                <w:bCs w:val="1"/>
                <w:color w:val="0033A0"/>
              </w:rPr>
              <w:t>Death</w:t>
            </w:r>
            <w:r>
              <w:rPr>
                <w:rFonts w:ascii="Arial" w:cs="Arial" w:eastAsia="Arial" w:hAnsi="Arial"/>
                <w:sz w:val="10"/>
                <w:szCs w:val="10"/>
                <w:b w:val="1"/>
                <w:bCs w:val="1"/>
                <w:color w:val="0033A0"/>
              </w:rPr>
              <w:t>(3)</w:t>
            </w:r>
          </w:p>
        </w:tc>
        <w:tc>
          <w:tcPr>
            <w:tcW w:w="0" w:type="dxa"/>
            <w:vAlign w:val="bottom"/>
          </w:tcPr>
          <w:p>
            <w:pPr>
              <w:spacing w:after="0"/>
              <w:rPr>
                <w:sz w:val="1"/>
                <w:szCs w:val="1"/>
                <w:color w:val="auto"/>
              </w:rPr>
            </w:pPr>
          </w:p>
        </w:tc>
      </w:tr>
      <w:tr>
        <w:trPr>
          <w:trHeight w:val="21"/>
        </w:trPr>
        <w:tc>
          <w:tcPr>
            <w:tcW w:w="15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580" w:type="dxa"/>
            <w:vAlign w:val="bottom"/>
            <w:shd w:val="clear" w:color="auto" w:fill="E5EAF5"/>
          </w:tcPr>
          <w:p>
            <w:pPr>
              <w:ind w:left="60"/>
              <w:spacing w:after="0" w:line="149" w:lineRule="exact"/>
              <w:rPr>
                <w:sz w:val="20"/>
                <w:szCs w:val="20"/>
                <w:color w:val="auto"/>
              </w:rPr>
            </w:pPr>
            <w:r>
              <w:rPr>
                <w:rFonts w:ascii="Arial" w:cs="Arial" w:eastAsia="Arial" w:hAnsi="Arial"/>
                <w:sz w:val="14"/>
                <w:szCs w:val="14"/>
                <w:color w:val="auto"/>
              </w:rPr>
              <w:t>Douglas A. Pertz</w:t>
            </w:r>
          </w:p>
        </w:tc>
        <w:tc>
          <w:tcPr>
            <w:tcW w:w="3340" w:type="dxa"/>
            <w:vAlign w:val="bottom"/>
            <w:shd w:val="clear" w:color="auto" w:fill="E5EAF5"/>
          </w:tcPr>
          <w:p>
            <w:pPr>
              <w:ind w:left="380"/>
              <w:spacing w:after="0" w:line="149" w:lineRule="exact"/>
              <w:rPr>
                <w:sz w:val="20"/>
                <w:szCs w:val="20"/>
                <w:color w:val="auto"/>
              </w:rPr>
            </w:pPr>
            <w:r>
              <w:rPr>
                <w:rFonts w:ascii="Arial" w:cs="Arial" w:eastAsia="Arial" w:hAnsi="Arial"/>
                <w:sz w:val="14"/>
                <w:szCs w:val="14"/>
                <w:color w:val="auto"/>
              </w:rPr>
              <w:t>Prorated Annual Bonus</w:t>
            </w:r>
          </w:p>
        </w:tc>
        <w:tc>
          <w:tcPr>
            <w:tcW w:w="720" w:type="dxa"/>
            <w:vAlign w:val="bottom"/>
            <w:shd w:val="clear" w:color="auto" w:fill="E5EAF5"/>
          </w:tcPr>
          <w:p>
            <w:pPr>
              <w:jc w:val="right"/>
              <w:ind w:right="175"/>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E5EAF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E5EAF5"/>
          </w:tcPr>
          <w:p>
            <w:pPr>
              <w:jc w:val="right"/>
              <w:ind w:right="175"/>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E5EAF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1340" w:type="dxa"/>
            <w:vAlign w:val="bottom"/>
            <w:shd w:val="clear" w:color="auto" w:fill="E5EAF5"/>
          </w:tcPr>
          <w:p>
            <w:pPr>
              <w:jc w:val="right"/>
              <w:ind w:right="153"/>
              <w:spacing w:after="0" w:line="149" w:lineRule="exact"/>
              <w:rPr>
                <w:sz w:val="20"/>
                <w:szCs w:val="20"/>
                <w:color w:val="auto"/>
              </w:rPr>
            </w:pPr>
            <w:r>
              <w:rPr>
                <w:rFonts w:ascii="Arial" w:cs="Arial" w:eastAsia="Arial" w:hAnsi="Arial"/>
                <w:sz w:val="14"/>
                <w:szCs w:val="14"/>
                <w:color w:val="auto"/>
              </w:rPr>
              <w:t>$   1,504,913</w:t>
            </w:r>
          </w:p>
        </w:tc>
        <w:tc>
          <w:tcPr>
            <w:tcW w:w="300" w:type="dxa"/>
            <w:vAlign w:val="bottom"/>
            <w:shd w:val="clear" w:color="auto" w:fill="E5EAF5"/>
          </w:tcPr>
          <w:p>
            <w:pPr>
              <w:ind w:left="220"/>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shd w:val="clear" w:color="auto" w:fill="E5EAF5"/>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E5EAF5"/>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E5EAF5"/>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1580" w:type="dxa"/>
            <w:vAlign w:val="bottom"/>
            <w:shd w:val="clear" w:color="auto" w:fill="E5EAF5"/>
          </w:tcPr>
          <w:p>
            <w:pPr>
              <w:spacing w:after="0"/>
              <w:rPr>
                <w:sz w:val="15"/>
                <w:szCs w:val="15"/>
                <w:color w:val="auto"/>
              </w:rPr>
            </w:pPr>
          </w:p>
        </w:tc>
        <w:tc>
          <w:tcPr>
            <w:tcW w:w="3340" w:type="dxa"/>
            <w:vAlign w:val="bottom"/>
            <w:shd w:val="clear" w:color="auto" w:fill="E5EAF5"/>
          </w:tcPr>
          <w:p>
            <w:pPr>
              <w:ind w:left="380"/>
              <w:spacing w:after="0"/>
              <w:rPr>
                <w:sz w:val="20"/>
                <w:szCs w:val="20"/>
                <w:color w:val="auto"/>
              </w:rPr>
            </w:pPr>
            <w:r>
              <w:rPr>
                <w:rFonts w:ascii="Arial" w:cs="Arial" w:eastAsia="Arial" w:hAnsi="Arial"/>
                <w:sz w:val="14"/>
                <w:szCs w:val="14"/>
                <w:color w:val="auto"/>
              </w:rPr>
              <w:t>Base Salary and Bonus</w:t>
            </w:r>
          </w:p>
        </w:tc>
        <w:tc>
          <w:tcPr>
            <w:tcW w:w="720" w:type="dxa"/>
            <w:vAlign w:val="bottom"/>
            <w:shd w:val="clear" w:color="auto" w:fill="E5EAF5"/>
          </w:tcPr>
          <w:p>
            <w:pPr>
              <w:spacing w:after="0"/>
              <w:rPr>
                <w:sz w:val="15"/>
                <w:szCs w:val="15"/>
                <w:color w:val="auto"/>
              </w:rPr>
            </w:pPr>
          </w:p>
        </w:tc>
        <w:tc>
          <w:tcPr>
            <w:tcW w:w="620" w:type="dxa"/>
            <w:vAlign w:val="bottom"/>
            <w:shd w:val="clear" w:color="auto" w:fill="E5EAF5"/>
          </w:tcPr>
          <w:p>
            <w:pPr>
              <w:jc w:val="right"/>
              <w:ind w:right="152"/>
              <w:spacing w:after="0"/>
              <w:rPr>
                <w:sz w:val="20"/>
                <w:szCs w:val="20"/>
                <w:color w:val="auto"/>
              </w:rPr>
            </w:pPr>
            <w:r>
              <w:rPr>
                <w:rFonts w:ascii="Arial" w:cs="Arial" w:eastAsia="Arial" w:hAnsi="Arial"/>
                <w:sz w:val="14"/>
                <w:szCs w:val="14"/>
                <w:color w:val="auto"/>
              </w:rPr>
              <w:t>—</w:t>
            </w:r>
          </w:p>
        </w:tc>
        <w:tc>
          <w:tcPr>
            <w:tcW w:w="540" w:type="dxa"/>
            <w:vAlign w:val="bottom"/>
            <w:shd w:val="clear" w:color="auto" w:fill="E5EAF5"/>
          </w:tcPr>
          <w:p>
            <w:pPr>
              <w:spacing w:after="0"/>
              <w:rPr>
                <w:sz w:val="15"/>
                <w:szCs w:val="15"/>
                <w:color w:val="auto"/>
              </w:rPr>
            </w:pPr>
          </w:p>
        </w:tc>
        <w:tc>
          <w:tcPr>
            <w:tcW w:w="620" w:type="dxa"/>
            <w:vAlign w:val="bottom"/>
            <w:shd w:val="clear" w:color="auto" w:fill="E5EAF5"/>
          </w:tcPr>
          <w:p>
            <w:pPr>
              <w:jc w:val="right"/>
              <w:ind w:right="152"/>
              <w:spacing w:after="0"/>
              <w:rPr>
                <w:sz w:val="20"/>
                <w:szCs w:val="20"/>
                <w:color w:val="auto"/>
              </w:rPr>
            </w:pPr>
            <w:r>
              <w:rPr>
                <w:rFonts w:ascii="Arial" w:cs="Arial" w:eastAsia="Arial" w:hAnsi="Arial"/>
                <w:sz w:val="14"/>
                <w:szCs w:val="14"/>
                <w:color w:val="auto"/>
              </w:rPr>
              <w:t>—</w:t>
            </w:r>
          </w:p>
        </w:tc>
        <w:tc>
          <w:tcPr>
            <w:tcW w:w="1340" w:type="dxa"/>
            <w:vAlign w:val="bottom"/>
            <w:shd w:val="clear" w:color="auto" w:fill="E5EAF5"/>
          </w:tcPr>
          <w:p>
            <w:pPr>
              <w:jc w:val="right"/>
              <w:ind w:right="153"/>
              <w:spacing w:after="0"/>
              <w:rPr>
                <w:sz w:val="20"/>
                <w:szCs w:val="20"/>
                <w:color w:val="auto"/>
              </w:rPr>
            </w:pPr>
            <w:r>
              <w:rPr>
                <w:rFonts w:ascii="Arial" w:cs="Arial" w:eastAsia="Arial" w:hAnsi="Arial"/>
                <w:sz w:val="14"/>
                <w:szCs w:val="14"/>
                <w:color w:val="auto"/>
              </w:rPr>
              <w:t>3,307,500</w:t>
            </w:r>
          </w:p>
        </w:tc>
        <w:tc>
          <w:tcPr>
            <w:tcW w:w="300" w:type="dxa"/>
            <w:vAlign w:val="bottom"/>
            <w:shd w:val="clear" w:color="auto" w:fill="E5EAF5"/>
          </w:tcPr>
          <w:p>
            <w:pPr>
              <w:spacing w:after="0"/>
              <w:rPr>
                <w:sz w:val="15"/>
                <w:szCs w:val="15"/>
                <w:color w:val="auto"/>
              </w:rPr>
            </w:pPr>
          </w:p>
        </w:tc>
        <w:tc>
          <w:tcPr>
            <w:tcW w:w="920" w:type="dxa"/>
            <w:vAlign w:val="bottom"/>
            <w:shd w:val="clear" w:color="auto" w:fill="E5EAF5"/>
          </w:tcPr>
          <w:p>
            <w:pPr>
              <w:jc w:val="right"/>
              <w:ind w:right="172"/>
              <w:spacing w:after="0"/>
              <w:rPr>
                <w:sz w:val="20"/>
                <w:szCs w:val="20"/>
                <w:color w:val="auto"/>
              </w:rPr>
            </w:pPr>
            <w:r>
              <w:rPr>
                <w:rFonts w:ascii="Arial" w:cs="Arial" w:eastAsia="Arial" w:hAnsi="Arial"/>
                <w:sz w:val="14"/>
                <w:szCs w:val="14"/>
                <w:color w:val="auto"/>
              </w:rPr>
              <w:t>—</w:t>
            </w:r>
          </w:p>
        </w:tc>
        <w:tc>
          <w:tcPr>
            <w:tcW w:w="300" w:type="dxa"/>
            <w:vAlign w:val="bottom"/>
            <w:shd w:val="clear" w:color="auto" w:fill="E5EAF5"/>
          </w:tcPr>
          <w:p>
            <w:pPr>
              <w:spacing w:after="0"/>
              <w:rPr>
                <w:sz w:val="15"/>
                <w:szCs w:val="15"/>
                <w:color w:val="auto"/>
              </w:rPr>
            </w:pPr>
          </w:p>
        </w:tc>
        <w:tc>
          <w:tcPr>
            <w:tcW w:w="740" w:type="dxa"/>
            <w:vAlign w:val="bottom"/>
            <w:shd w:val="clear" w:color="auto" w:fill="E5EAF5"/>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1580" w:type="dxa"/>
            <w:vAlign w:val="bottom"/>
            <w:shd w:val="clear" w:color="auto" w:fill="E5EAF5"/>
          </w:tcPr>
          <w:p>
            <w:pPr>
              <w:spacing w:after="0"/>
              <w:rPr>
                <w:sz w:val="15"/>
                <w:szCs w:val="15"/>
                <w:color w:val="auto"/>
              </w:rPr>
            </w:pPr>
          </w:p>
        </w:tc>
        <w:tc>
          <w:tcPr>
            <w:tcW w:w="3340" w:type="dxa"/>
            <w:vAlign w:val="bottom"/>
            <w:shd w:val="clear" w:color="auto" w:fill="E5EAF5"/>
          </w:tcPr>
          <w:p>
            <w:pPr>
              <w:ind w:left="380"/>
              <w:spacing w:after="0"/>
              <w:rPr>
                <w:sz w:val="20"/>
                <w:szCs w:val="20"/>
                <w:color w:val="auto"/>
              </w:rPr>
            </w:pPr>
            <w:r>
              <w:rPr>
                <w:rFonts w:ascii="Arial" w:cs="Arial" w:eastAsia="Arial" w:hAnsi="Arial"/>
                <w:sz w:val="14"/>
                <w:szCs w:val="14"/>
                <w:color w:val="auto"/>
              </w:rPr>
              <w:t xml:space="preserve">Long Term Incentive </w:t>
            </w:r>
            <w:r>
              <w:rPr>
                <w:rFonts w:ascii="Arial" w:cs="Arial" w:eastAsia="Arial" w:hAnsi="Arial"/>
                <w:sz w:val="11"/>
                <w:szCs w:val="11"/>
                <w:color w:val="auto"/>
              </w:rPr>
              <w:t>(4)</w:t>
            </w:r>
          </w:p>
        </w:tc>
        <w:tc>
          <w:tcPr>
            <w:tcW w:w="720" w:type="dxa"/>
            <w:vAlign w:val="bottom"/>
            <w:shd w:val="clear" w:color="auto" w:fill="E5EAF5"/>
          </w:tcPr>
          <w:p>
            <w:pPr>
              <w:spacing w:after="0"/>
              <w:rPr>
                <w:sz w:val="15"/>
                <w:szCs w:val="15"/>
                <w:color w:val="auto"/>
              </w:rPr>
            </w:pPr>
          </w:p>
        </w:tc>
        <w:tc>
          <w:tcPr>
            <w:tcW w:w="620" w:type="dxa"/>
            <w:vAlign w:val="bottom"/>
            <w:shd w:val="clear" w:color="auto" w:fill="E5EAF5"/>
          </w:tcPr>
          <w:p>
            <w:pPr>
              <w:jc w:val="right"/>
              <w:ind w:right="152"/>
              <w:spacing w:after="0"/>
              <w:rPr>
                <w:sz w:val="20"/>
                <w:szCs w:val="20"/>
                <w:color w:val="auto"/>
              </w:rPr>
            </w:pPr>
            <w:r>
              <w:rPr>
                <w:rFonts w:ascii="Arial" w:cs="Arial" w:eastAsia="Arial" w:hAnsi="Arial"/>
                <w:sz w:val="14"/>
                <w:szCs w:val="14"/>
                <w:color w:val="auto"/>
              </w:rPr>
              <w:t>—</w:t>
            </w:r>
          </w:p>
        </w:tc>
        <w:tc>
          <w:tcPr>
            <w:tcW w:w="540" w:type="dxa"/>
            <w:vAlign w:val="bottom"/>
            <w:shd w:val="clear" w:color="auto" w:fill="E5EAF5"/>
          </w:tcPr>
          <w:p>
            <w:pPr>
              <w:spacing w:after="0"/>
              <w:rPr>
                <w:sz w:val="15"/>
                <w:szCs w:val="15"/>
                <w:color w:val="auto"/>
              </w:rPr>
            </w:pPr>
          </w:p>
        </w:tc>
        <w:tc>
          <w:tcPr>
            <w:tcW w:w="620" w:type="dxa"/>
            <w:vAlign w:val="bottom"/>
            <w:shd w:val="clear" w:color="auto" w:fill="E5EAF5"/>
          </w:tcPr>
          <w:p>
            <w:pPr>
              <w:jc w:val="right"/>
              <w:ind w:right="152"/>
              <w:spacing w:after="0"/>
              <w:rPr>
                <w:sz w:val="20"/>
                <w:szCs w:val="20"/>
                <w:color w:val="auto"/>
              </w:rPr>
            </w:pPr>
            <w:r>
              <w:rPr>
                <w:rFonts w:ascii="Arial" w:cs="Arial" w:eastAsia="Arial" w:hAnsi="Arial"/>
                <w:sz w:val="14"/>
                <w:szCs w:val="14"/>
                <w:color w:val="auto"/>
              </w:rPr>
              <w:t>—</w:t>
            </w:r>
          </w:p>
        </w:tc>
        <w:tc>
          <w:tcPr>
            <w:tcW w:w="1340" w:type="dxa"/>
            <w:vAlign w:val="bottom"/>
            <w:shd w:val="clear" w:color="auto" w:fill="E5EAF5"/>
          </w:tcPr>
          <w:p>
            <w:pPr>
              <w:jc w:val="right"/>
              <w:ind w:right="153"/>
              <w:spacing w:after="0"/>
              <w:rPr>
                <w:sz w:val="20"/>
                <w:szCs w:val="20"/>
                <w:color w:val="auto"/>
              </w:rPr>
            </w:pPr>
            <w:r>
              <w:rPr>
                <w:rFonts w:ascii="Arial" w:cs="Arial" w:eastAsia="Arial" w:hAnsi="Arial"/>
                <w:sz w:val="14"/>
                <w:szCs w:val="14"/>
                <w:color w:val="auto"/>
              </w:rPr>
              <w:t>23,721,409</w:t>
            </w:r>
          </w:p>
        </w:tc>
        <w:tc>
          <w:tcPr>
            <w:tcW w:w="300" w:type="dxa"/>
            <w:vAlign w:val="bottom"/>
            <w:shd w:val="clear" w:color="auto" w:fill="E5EAF5"/>
          </w:tcPr>
          <w:p>
            <w:pPr>
              <w:spacing w:after="0"/>
              <w:rPr>
                <w:sz w:val="15"/>
                <w:szCs w:val="15"/>
                <w:color w:val="auto"/>
              </w:rPr>
            </w:pPr>
          </w:p>
        </w:tc>
        <w:tc>
          <w:tcPr>
            <w:tcW w:w="920" w:type="dxa"/>
            <w:vAlign w:val="bottom"/>
            <w:shd w:val="clear" w:color="auto" w:fill="E5EAF5"/>
          </w:tcPr>
          <w:p>
            <w:pPr>
              <w:jc w:val="right"/>
              <w:ind w:right="172"/>
              <w:spacing w:after="0"/>
              <w:rPr>
                <w:sz w:val="20"/>
                <w:szCs w:val="20"/>
                <w:color w:val="auto"/>
              </w:rPr>
            </w:pPr>
            <w:r>
              <w:rPr>
                <w:rFonts w:ascii="Arial" w:cs="Arial" w:eastAsia="Arial" w:hAnsi="Arial"/>
                <w:sz w:val="14"/>
                <w:szCs w:val="14"/>
                <w:color w:val="auto"/>
                <w:w w:val="94"/>
              </w:rPr>
              <w:t>31,768,973</w:t>
            </w:r>
          </w:p>
        </w:tc>
        <w:tc>
          <w:tcPr>
            <w:tcW w:w="300" w:type="dxa"/>
            <w:vAlign w:val="bottom"/>
            <w:shd w:val="clear" w:color="auto" w:fill="E5EAF5"/>
          </w:tcPr>
          <w:p>
            <w:pPr>
              <w:spacing w:after="0"/>
              <w:rPr>
                <w:sz w:val="15"/>
                <w:szCs w:val="15"/>
                <w:color w:val="auto"/>
              </w:rPr>
            </w:pPr>
          </w:p>
        </w:tc>
        <w:tc>
          <w:tcPr>
            <w:tcW w:w="740" w:type="dxa"/>
            <w:vAlign w:val="bottom"/>
            <w:shd w:val="clear" w:color="auto" w:fill="E5EAF5"/>
          </w:tcPr>
          <w:p>
            <w:pPr>
              <w:jc w:val="right"/>
              <w:spacing w:after="0"/>
              <w:rPr>
                <w:sz w:val="20"/>
                <w:szCs w:val="20"/>
                <w:color w:val="auto"/>
              </w:rPr>
            </w:pPr>
            <w:r>
              <w:rPr>
                <w:rFonts w:ascii="Arial" w:cs="Arial" w:eastAsia="Arial" w:hAnsi="Arial"/>
                <w:sz w:val="14"/>
                <w:szCs w:val="14"/>
                <w:color w:val="auto"/>
                <w:w w:val="94"/>
              </w:rPr>
              <w:t>29,906,019</w:t>
            </w:r>
          </w:p>
        </w:tc>
        <w:tc>
          <w:tcPr>
            <w:tcW w:w="0" w:type="dxa"/>
            <w:vAlign w:val="bottom"/>
          </w:tcPr>
          <w:p>
            <w:pPr>
              <w:spacing w:after="0"/>
              <w:rPr>
                <w:sz w:val="1"/>
                <w:szCs w:val="1"/>
                <w:color w:val="auto"/>
              </w:rPr>
            </w:pPr>
          </w:p>
        </w:tc>
      </w:tr>
      <w:tr>
        <w:trPr>
          <w:trHeight w:val="176"/>
        </w:trPr>
        <w:tc>
          <w:tcPr>
            <w:tcW w:w="1580" w:type="dxa"/>
            <w:vAlign w:val="bottom"/>
            <w:shd w:val="clear" w:color="auto" w:fill="E5EAF5"/>
          </w:tcPr>
          <w:p>
            <w:pPr>
              <w:spacing w:after="0"/>
              <w:rPr>
                <w:sz w:val="15"/>
                <w:szCs w:val="15"/>
                <w:color w:val="auto"/>
              </w:rPr>
            </w:pPr>
          </w:p>
        </w:tc>
        <w:tc>
          <w:tcPr>
            <w:tcW w:w="3340" w:type="dxa"/>
            <w:vAlign w:val="bottom"/>
            <w:shd w:val="clear" w:color="auto" w:fill="E5EAF5"/>
          </w:tcPr>
          <w:p>
            <w:pPr>
              <w:ind w:left="380"/>
              <w:spacing w:after="0"/>
              <w:rPr>
                <w:sz w:val="20"/>
                <w:szCs w:val="20"/>
                <w:color w:val="auto"/>
              </w:rPr>
            </w:pPr>
            <w:r>
              <w:rPr>
                <w:rFonts w:ascii="Arial" w:cs="Arial" w:eastAsia="Arial" w:hAnsi="Arial"/>
                <w:sz w:val="14"/>
                <w:szCs w:val="14"/>
                <w:color w:val="auto"/>
              </w:rPr>
              <w:t>Benefit Plans</w:t>
            </w:r>
          </w:p>
        </w:tc>
        <w:tc>
          <w:tcPr>
            <w:tcW w:w="720" w:type="dxa"/>
            <w:vAlign w:val="bottom"/>
            <w:shd w:val="clear" w:color="auto" w:fill="E5EAF5"/>
          </w:tcPr>
          <w:p>
            <w:pPr>
              <w:spacing w:after="0"/>
              <w:rPr>
                <w:sz w:val="15"/>
                <w:szCs w:val="15"/>
                <w:color w:val="auto"/>
              </w:rPr>
            </w:pPr>
          </w:p>
        </w:tc>
        <w:tc>
          <w:tcPr>
            <w:tcW w:w="620" w:type="dxa"/>
            <w:vAlign w:val="bottom"/>
            <w:shd w:val="clear" w:color="auto" w:fill="E5EAF5"/>
          </w:tcPr>
          <w:p>
            <w:pPr>
              <w:jc w:val="right"/>
              <w:ind w:right="152"/>
              <w:spacing w:after="0"/>
              <w:rPr>
                <w:sz w:val="20"/>
                <w:szCs w:val="20"/>
                <w:color w:val="auto"/>
              </w:rPr>
            </w:pPr>
            <w:r>
              <w:rPr>
                <w:rFonts w:ascii="Arial" w:cs="Arial" w:eastAsia="Arial" w:hAnsi="Arial"/>
                <w:sz w:val="14"/>
                <w:szCs w:val="14"/>
                <w:color w:val="auto"/>
              </w:rPr>
              <w:t>—</w:t>
            </w:r>
          </w:p>
        </w:tc>
        <w:tc>
          <w:tcPr>
            <w:tcW w:w="540" w:type="dxa"/>
            <w:vAlign w:val="bottom"/>
            <w:shd w:val="clear" w:color="auto" w:fill="E5EAF5"/>
          </w:tcPr>
          <w:p>
            <w:pPr>
              <w:spacing w:after="0"/>
              <w:rPr>
                <w:sz w:val="15"/>
                <w:szCs w:val="15"/>
                <w:color w:val="auto"/>
              </w:rPr>
            </w:pPr>
          </w:p>
        </w:tc>
        <w:tc>
          <w:tcPr>
            <w:tcW w:w="620" w:type="dxa"/>
            <w:vAlign w:val="bottom"/>
            <w:shd w:val="clear" w:color="auto" w:fill="E5EAF5"/>
          </w:tcPr>
          <w:p>
            <w:pPr>
              <w:jc w:val="right"/>
              <w:ind w:right="152"/>
              <w:spacing w:after="0"/>
              <w:rPr>
                <w:sz w:val="20"/>
                <w:szCs w:val="20"/>
                <w:color w:val="auto"/>
              </w:rPr>
            </w:pPr>
            <w:r>
              <w:rPr>
                <w:rFonts w:ascii="Arial" w:cs="Arial" w:eastAsia="Arial" w:hAnsi="Arial"/>
                <w:sz w:val="14"/>
                <w:szCs w:val="14"/>
                <w:color w:val="auto"/>
              </w:rPr>
              <w:t>—</w:t>
            </w:r>
          </w:p>
        </w:tc>
        <w:tc>
          <w:tcPr>
            <w:tcW w:w="1340" w:type="dxa"/>
            <w:vAlign w:val="bottom"/>
            <w:shd w:val="clear" w:color="auto" w:fill="E5EAF5"/>
          </w:tcPr>
          <w:p>
            <w:pPr>
              <w:jc w:val="right"/>
              <w:ind w:right="153"/>
              <w:spacing w:after="0"/>
              <w:rPr>
                <w:sz w:val="20"/>
                <w:szCs w:val="20"/>
                <w:color w:val="auto"/>
              </w:rPr>
            </w:pPr>
            <w:r>
              <w:rPr>
                <w:rFonts w:ascii="Arial" w:cs="Arial" w:eastAsia="Arial" w:hAnsi="Arial"/>
                <w:sz w:val="14"/>
                <w:szCs w:val="14"/>
                <w:color w:val="auto"/>
              </w:rPr>
              <w:t>—</w:t>
            </w:r>
          </w:p>
        </w:tc>
        <w:tc>
          <w:tcPr>
            <w:tcW w:w="300" w:type="dxa"/>
            <w:vAlign w:val="bottom"/>
            <w:shd w:val="clear" w:color="auto" w:fill="E5EAF5"/>
          </w:tcPr>
          <w:p>
            <w:pPr>
              <w:spacing w:after="0"/>
              <w:rPr>
                <w:sz w:val="15"/>
                <w:szCs w:val="15"/>
                <w:color w:val="auto"/>
              </w:rPr>
            </w:pPr>
          </w:p>
        </w:tc>
        <w:tc>
          <w:tcPr>
            <w:tcW w:w="920" w:type="dxa"/>
            <w:vAlign w:val="bottom"/>
            <w:shd w:val="clear" w:color="auto" w:fill="E5EAF5"/>
          </w:tcPr>
          <w:p>
            <w:pPr>
              <w:jc w:val="right"/>
              <w:ind w:right="172"/>
              <w:spacing w:after="0"/>
              <w:rPr>
                <w:sz w:val="20"/>
                <w:szCs w:val="20"/>
                <w:color w:val="auto"/>
              </w:rPr>
            </w:pPr>
            <w:r>
              <w:rPr>
                <w:rFonts w:ascii="Arial" w:cs="Arial" w:eastAsia="Arial" w:hAnsi="Arial"/>
                <w:sz w:val="14"/>
                <w:szCs w:val="14"/>
                <w:color w:val="auto"/>
              </w:rPr>
              <w:t>485,558</w:t>
            </w:r>
          </w:p>
        </w:tc>
        <w:tc>
          <w:tcPr>
            <w:tcW w:w="300" w:type="dxa"/>
            <w:vAlign w:val="bottom"/>
            <w:shd w:val="clear" w:color="auto" w:fill="E5EAF5"/>
          </w:tcPr>
          <w:p>
            <w:pPr>
              <w:spacing w:after="0"/>
              <w:rPr>
                <w:sz w:val="15"/>
                <w:szCs w:val="15"/>
                <w:color w:val="auto"/>
              </w:rPr>
            </w:pPr>
          </w:p>
        </w:tc>
        <w:tc>
          <w:tcPr>
            <w:tcW w:w="740" w:type="dxa"/>
            <w:vAlign w:val="bottom"/>
            <w:shd w:val="clear" w:color="auto" w:fill="E5EAF5"/>
          </w:tcPr>
          <w:p>
            <w:pPr>
              <w:jc w:val="right"/>
              <w:spacing w:after="0"/>
              <w:rPr>
                <w:sz w:val="20"/>
                <w:szCs w:val="20"/>
                <w:color w:val="auto"/>
              </w:rPr>
            </w:pPr>
            <w:r>
              <w:rPr>
                <w:rFonts w:ascii="Arial" w:cs="Arial" w:eastAsia="Arial" w:hAnsi="Arial"/>
                <w:sz w:val="14"/>
                <w:szCs w:val="14"/>
                <w:color w:val="auto"/>
              </w:rPr>
              <w:t>2,450,903</w:t>
            </w:r>
          </w:p>
        </w:tc>
        <w:tc>
          <w:tcPr>
            <w:tcW w:w="0" w:type="dxa"/>
            <w:vAlign w:val="bottom"/>
          </w:tcPr>
          <w:p>
            <w:pPr>
              <w:spacing w:after="0"/>
              <w:rPr>
                <w:sz w:val="1"/>
                <w:szCs w:val="1"/>
                <w:color w:val="auto"/>
              </w:rPr>
            </w:pPr>
          </w:p>
        </w:tc>
      </w:tr>
      <w:tr>
        <w:trPr>
          <w:trHeight w:val="176"/>
        </w:trPr>
        <w:tc>
          <w:tcPr>
            <w:tcW w:w="1580" w:type="dxa"/>
            <w:vAlign w:val="bottom"/>
            <w:tcBorders>
              <w:bottom w:val="single" w:sz="8" w:color="0033A0"/>
            </w:tcBorders>
            <w:shd w:val="clear" w:color="auto" w:fill="E5EAF5"/>
          </w:tcPr>
          <w:p>
            <w:pPr>
              <w:spacing w:after="0"/>
              <w:rPr>
                <w:sz w:val="15"/>
                <w:szCs w:val="15"/>
                <w:color w:val="auto"/>
              </w:rPr>
            </w:pPr>
          </w:p>
        </w:tc>
        <w:tc>
          <w:tcPr>
            <w:tcW w:w="3340" w:type="dxa"/>
            <w:vAlign w:val="bottom"/>
            <w:tcBorders>
              <w:bottom w:val="single" w:sz="8" w:color="0033A0"/>
            </w:tcBorders>
            <w:shd w:val="clear" w:color="auto" w:fill="E5EAF5"/>
          </w:tcPr>
          <w:p>
            <w:pPr>
              <w:ind w:left="380"/>
              <w:spacing w:after="0"/>
              <w:rPr>
                <w:sz w:val="20"/>
                <w:szCs w:val="20"/>
                <w:color w:val="auto"/>
              </w:rPr>
            </w:pPr>
            <w:r>
              <w:rPr>
                <w:rFonts w:ascii="Arial" w:cs="Arial" w:eastAsia="Arial" w:hAnsi="Arial"/>
                <w:sz w:val="14"/>
                <w:szCs w:val="14"/>
                <w:color w:val="auto"/>
              </w:rPr>
              <w:t>Outplacement Services and Other Benefits</w:t>
            </w:r>
          </w:p>
        </w:tc>
        <w:tc>
          <w:tcPr>
            <w:tcW w:w="720" w:type="dxa"/>
            <w:vAlign w:val="bottom"/>
            <w:tcBorders>
              <w:bottom w:val="single" w:sz="8" w:color="0033A0"/>
            </w:tcBorders>
            <w:shd w:val="clear" w:color="auto" w:fill="E5EAF5"/>
          </w:tcPr>
          <w:p>
            <w:pPr>
              <w:spacing w:after="0"/>
              <w:rPr>
                <w:sz w:val="15"/>
                <w:szCs w:val="15"/>
                <w:color w:val="auto"/>
              </w:rPr>
            </w:pPr>
          </w:p>
        </w:tc>
        <w:tc>
          <w:tcPr>
            <w:tcW w:w="620" w:type="dxa"/>
            <w:vAlign w:val="bottom"/>
            <w:tcBorders>
              <w:bottom w:val="single" w:sz="8" w:color="0033A0"/>
            </w:tcBorders>
            <w:shd w:val="clear" w:color="auto" w:fill="E5EAF5"/>
          </w:tcPr>
          <w:p>
            <w:pPr>
              <w:jc w:val="right"/>
              <w:ind w:right="152"/>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0033A0"/>
            </w:tcBorders>
            <w:shd w:val="clear" w:color="auto" w:fill="E5EAF5"/>
          </w:tcPr>
          <w:p>
            <w:pPr>
              <w:spacing w:after="0"/>
              <w:rPr>
                <w:sz w:val="15"/>
                <w:szCs w:val="15"/>
                <w:color w:val="auto"/>
              </w:rPr>
            </w:pPr>
          </w:p>
        </w:tc>
        <w:tc>
          <w:tcPr>
            <w:tcW w:w="620" w:type="dxa"/>
            <w:vAlign w:val="bottom"/>
            <w:tcBorders>
              <w:bottom w:val="single" w:sz="8" w:color="0033A0"/>
            </w:tcBorders>
            <w:shd w:val="clear" w:color="auto" w:fill="E5EAF5"/>
          </w:tcPr>
          <w:p>
            <w:pPr>
              <w:jc w:val="right"/>
              <w:ind w:right="152"/>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0033A0"/>
            </w:tcBorders>
            <w:shd w:val="clear" w:color="auto" w:fill="E5EAF5"/>
          </w:tcPr>
          <w:p>
            <w:pPr>
              <w:jc w:val="right"/>
              <w:ind w:right="153"/>
              <w:spacing w:after="0"/>
              <w:rPr>
                <w:sz w:val="20"/>
                <w:szCs w:val="20"/>
                <w:color w:val="auto"/>
              </w:rPr>
            </w:pPr>
            <w:r>
              <w:rPr>
                <w:rFonts w:ascii="Arial" w:cs="Arial" w:eastAsia="Arial" w:hAnsi="Arial"/>
                <w:sz w:val="14"/>
                <w:szCs w:val="14"/>
                <w:color w:val="auto"/>
              </w:rPr>
              <w:t>32,040</w:t>
            </w:r>
          </w:p>
        </w:tc>
        <w:tc>
          <w:tcPr>
            <w:tcW w:w="300" w:type="dxa"/>
            <w:vAlign w:val="bottom"/>
            <w:tcBorders>
              <w:bottom w:val="single" w:sz="8" w:color="0033A0"/>
            </w:tcBorders>
            <w:shd w:val="clear" w:color="auto" w:fill="E5EAF5"/>
          </w:tcPr>
          <w:p>
            <w:pPr>
              <w:spacing w:after="0"/>
              <w:rPr>
                <w:sz w:val="15"/>
                <w:szCs w:val="15"/>
                <w:color w:val="auto"/>
              </w:rPr>
            </w:pPr>
          </w:p>
        </w:tc>
        <w:tc>
          <w:tcPr>
            <w:tcW w:w="920" w:type="dxa"/>
            <w:vAlign w:val="bottom"/>
            <w:tcBorders>
              <w:bottom w:val="single" w:sz="8" w:color="0033A0"/>
            </w:tcBorders>
            <w:shd w:val="clear" w:color="auto" w:fill="E5EAF5"/>
          </w:tcPr>
          <w:p>
            <w:pPr>
              <w:jc w:val="right"/>
              <w:ind w:right="172"/>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0033A0"/>
            </w:tcBorders>
            <w:shd w:val="clear" w:color="auto" w:fill="E5EAF5"/>
          </w:tcPr>
          <w:p>
            <w:pPr>
              <w:spacing w:after="0"/>
              <w:rPr>
                <w:sz w:val="15"/>
                <w:szCs w:val="15"/>
                <w:color w:val="auto"/>
              </w:rPr>
            </w:pPr>
          </w:p>
        </w:tc>
        <w:tc>
          <w:tcPr>
            <w:tcW w:w="740" w:type="dxa"/>
            <w:vAlign w:val="bottom"/>
            <w:tcBorders>
              <w:bottom w:val="single" w:sz="8" w:color="0033A0"/>
            </w:tcBorders>
            <w:shd w:val="clear" w:color="auto" w:fill="E5EAF5"/>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1580" w:type="dxa"/>
            <w:vAlign w:val="bottom"/>
            <w:tcBorders>
              <w:bottom w:val="single" w:sz="8" w:color="0033A0"/>
            </w:tcBorders>
            <w:shd w:val="clear" w:color="auto" w:fill="E5EAF5"/>
          </w:tcPr>
          <w:p>
            <w:pPr>
              <w:spacing w:after="0"/>
              <w:rPr>
                <w:sz w:val="14"/>
                <w:szCs w:val="14"/>
                <w:color w:val="auto"/>
              </w:rPr>
            </w:pPr>
          </w:p>
        </w:tc>
        <w:tc>
          <w:tcPr>
            <w:tcW w:w="3340" w:type="dxa"/>
            <w:vAlign w:val="bottom"/>
            <w:tcBorders>
              <w:bottom w:val="single" w:sz="8" w:color="0033A0"/>
            </w:tcBorders>
            <w:shd w:val="clear" w:color="auto" w:fill="E5EAF5"/>
          </w:tcPr>
          <w:p>
            <w:pPr>
              <w:ind w:left="380"/>
              <w:spacing w:after="0" w:line="155" w:lineRule="exact"/>
              <w:rPr>
                <w:sz w:val="20"/>
                <w:szCs w:val="20"/>
                <w:color w:val="auto"/>
              </w:rPr>
            </w:pPr>
            <w:r>
              <w:rPr>
                <w:rFonts w:ascii="Arial" w:cs="Arial" w:eastAsia="Arial" w:hAnsi="Arial"/>
                <w:sz w:val="14"/>
                <w:szCs w:val="14"/>
                <w:color w:val="auto"/>
              </w:rPr>
              <w:t>Total</w:t>
            </w:r>
          </w:p>
        </w:tc>
        <w:tc>
          <w:tcPr>
            <w:tcW w:w="720" w:type="dxa"/>
            <w:vAlign w:val="bottom"/>
            <w:tcBorders>
              <w:bottom w:val="single" w:sz="8" w:color="0033A0"/>
            </w:tcBorders>
            <w:shd w:val="clear" w:color="auto" w:fill="E5EAF5"/>
          </w:tcPr>
          <w:p>
            <w:pPr>
              <w:spacing w:after="0"/>
              <w:rPr>
                <w:sz w:val="14"/>
                <w:szCs w:val="14"/>
                <w:color w:val="auto"/>
              </w:rPr>
            </w:pPr>
          </w:p>
        </w:tc>
        <w:tc>
          <w:tcPr>
            <w:tcW w:w="620" w:type="dxa"/>
            <w:vAlign w:val="bottom"/>
            <w:tcBorders>
              <w:bottom w:val="single" w:sz="8" w:color="0033A0"/>
            </w:tcBorders>
            <w:shd w:val="clear" w:color="auto" w:fill="E5EAF5"/>
          </w:tcPr>
          <w:p>
            <w:pPr>
              <w:jc w:val="right"/>
              <w:ind w:right="152"/>
              <w:spacing w:after="0" w:line="155" w:lineRule="exact"/>
              <w:rPr>
                <w:sz w:val="20"/>
                <w:szCs w:val="20"/>
                <w:color w:val="auto"/>
              </w:rPr>
            </w:pPr>
            <w:r>
              <w:rPr>
                <w:rFonts w:ascii="Arial" w:cs="Arial" w:eastAsia="Arial" w:hAnsi="Arial"/>
                <w:sz w:val="14"/>
                <w:szCs w:val="14"/>
                <w:color w:val="auto"/>
              </w:rPr>
              <w:t>—</w:t>
            </w:r>
          </w:p>
        </w:tc>
        <w:tc>
          <w:tcPr>
            <w:tcW w:w="540" w:type="dxa"/>
            <w:vAlign w:val="bottom"/>
            <w:tcBorders>
              <w:bottom w:val="single" w:sz="8" w:color="0033A0"/>
            </w:tcBorders>
            <w:shd w:val="clear" w:color="auto" w:fill="E5EAF5"/>
          </w:tcPr>
          <w:p>
            <w:pPr>
              <w:spacing w:after="0"/>
              <w:rPr>
                <w:sz w:val="14"/>
                <w:szCs w:val="14"/>
                <w:color w:val="auto"/>
              </w:rPr>
            </w:pPr>
          </w:p>
        </w:tc>
        <w:tc>
          <w:tcPr>
            <w:tcW w:w="620" w:type="dxa"/>
            <w:vAlign w:val="bottom"/>
            <w:tcBorders>
              <w:bottom w:val="single" w:sz="8" w:color="0033A0"/>
            </w:tcBorders>
            <w:shd w:val="clear" w:color="auto" w:fill="E5EAF5"/>
          </w:tcPr>
          <w:p>
            <w:pPr>
              <w:jc w:val="right"/>
              <w:ind w:right="152"/>
              <w:spacing w:after="0" w:line="155" w:lineRule="exact"/>
              <w:rPr>
                <w:sz w:val="20"/>
                <w:szCs w:val="20"/>
                <w:color w:val="auto"/>
              </w:rPr>
            </w:pPr>
            <w:r>
              <w:rPr>
                <w:rFonts w:ascii="Arial" w:cs="Arial" w:eastAsia="Arial" w:hAnsi="Arial"/>
                <w:sz w:val="14"/>
                <w:szCs w:val="14"/>
                <w:color w:val="auto"/>
              </w:rPr>
              <w:t>—</w:t>
            </w:r>
          </w:p>
        </w:tc>
        <w:tc>
          <w:tcPr>
            <w:tcW w:w="1340" w:type="dxa"/>
            <w:vAlign w:val="bottom"/>
            <w:tcBorders>
              <w:bottom w:val="single" w:sz="8" w:color="0033A0"/>
            </w:tcBorders>
            <w:shd w:val="clear" w:color="auto" w:fill="E5EAF5"/>
          </w:tcPr>
          <w:p>
            <w:pPr>
              <w:jc w:val="right"/>
              <w:ind w:right="153"/>
              <w:spacing w:after="0" w:line="155" w:lineRule="exact"/>
              <w:rPr>
                <w:sz w:val="20"/>
                <w:szCs w:val="20"/>
                <w:color w:val="auto"/>
              </w:rPr>
            </w:pPr>
            <w:r>
              <w:rPr>
                <w:rFonts w:ascii="Arial" w:cs="Arial" w:eastAsia="Arial" w:hAnsi="Arial"/>
                <w:sz w:val="14"/>
                <w:szCs w:val="14"/>
                <w:color w:val="auto"/>
              </w:rPr>
              <w:t>28,565,862</w:t>
            </w:r>
          </w:p>
        </w:tc>
        <w:tc>
          <w:tcPr>
            <w:tcW w:w="300" w:type="dxa"/>
            <w:vAlign w:val="bottom"/>
            <w:tcBorders>
              <w:bottom w:val="single" w:sz="8" w:color="0033A0"/>
            </w:tcBorders>
            <w:shd w:val="clear" w:color="auto" w:fill="E5EAF5"/>
          </w:tcPr>
          <w:p>
            <w:pPr>
              <w:spacing w:after="0"/>
              <w:rPr>
                <w:sz w:val="14"/>
                <w:szCs w:val="14"/>
                <w:color w:val="auto"/>
              </w:rPr>
            </w:pPr>
          </w:p>
        </w:tc>
        <w:tc>
          <w:tcPr>
            <w:tcW w:w="920" w:type="dxa"/>
            <w:vAlign w:val="bottom"/>
            <w:tcBorders>
              <w:bottom w:val="single" w:sz="8" w:color="0033A0"/>
            </w:tcBorders>
            <w:shd w:val="clear" w:color="auto" w:fill="E5EAF5"/>
          </w:tcPr>
          <w:p>
            <w:pPr>
              <w:jc w:val="right"/>
              <w:ind w:right="172"/>
              <w:spacing w:after="0" w:line="155" w:lineRule="exact"/>
              <w:rPr>
                <w:sz w:val="20"/>
                <w:szCs w:val="20"/>
                <w:color w:val="auto"/>
              </w:rPr>
            </w:pPr>
            <w:r>
              <w:rPr>
                <w:rFonts w:ascii="Arial" w:cs="Arial" w:eastAsia="Arial" w:hAnsi="Arial"/>
                <w:sz w:val="14"/>
                <w:szCs w:val="14"/>
                <w:color w:val="auto"/>
                <w:w w:val="94"/>
              </w:rPr>
              <w:t>32,254,531</w:t>
            </w:r>
          </w:p>
        </w:tc>
        <w:tc>
          <w:tcPr>
            <w:tcW w:w="300" w:type="dxa"/>
            <w:vAlign w:val="bottom"/>
            <w:tcBorders>
              <w:bottom w:val="single" w:sz="8" w:color="0033A0"/>
            </w:tcBorders>
            <w:shd w:val="clear" w:color="auto" w:fill="E5EAF5"/>
          </w:tcPr>
          <w:p>
            <w:pPr>
              <w:spacing w:after="0"/>
              <w:rPr>
                <w:sz w:val="14"/>
                <w:szCs w:val="14"/>
                <w:color w:val="auto"/>
              </w:rPr>
            </w:pPr>
          </w:p>
        </w:tc>
        <w:tc>
          <w:tcPr>
            <w:tcW w:w="740" w:type="dxa"/>
            <w:vAlign w:val="bottom"/>
            <w:tcBorders>
              <w:bottom w:val="single" w:sz="8" w:color="0033A0"/>
            </w:tcBorders>
            <w:shd w:val="clear" w:color="auto" w:fill="E5EAF5"/>
          </w:tcPr>
          <w:p>
            <w:pPr>
              <w:jc w:val="right"/>
              <w:spacing w:after="0" w:line="155" w:lineRule="exact"/>
              <w:rPr>
                <w:sz w:val="20"/>
                <w:szCs w:val="20"/>
                <w:color w:val="auto"/>
              </w:rPr>
            </w:pPr>
            <w:r>
              <w:rPr>
                <w:rFonts w:ascii="Arial" w:cs="Arial" w:eastAsia="Arial" w:hAnsi="Arial"/>
                <w:sz w:val="14"/>
                <w:szCs w:val="14"/>
                <w:color w:val="auto"/>
                <w:w w:val="94"/>
              </w:rPr>
              <w:t>32,356,922</w:t>
            </w:r>
          </w:p>
        </w:tc>
        <w:tc>
          <w:tcPr>
            <w:tcW w:w="0" w:type="dxa"/>
            <w:vAlign w:val="bottom"/>
          </w:tcPr>
          <w:p>
            <w:pPr>
              <w:spacing w:after="0"/>
              <w:rPr>
                <w:sz w:val="1"/>
                <w:szCs w:val="1"/>
                <w:color w:val="auto"/>
              </w:rPr>
            </w:pPr>
          </w:p>
        </w:tc>
      </w:tr>
      <w:tr>
        <w:trPr>
          <w:trHeight w:val="162"/>
        </w:trPr>
        <w:tc>
          <w:tcPr>
            <w:tcW w:w="1580" w:type="dxa"/>
            <w:vAlign w:val="bottom"/>
          </w:tcPr>
          <w:p>
            <w:pPr>
              <w:ind w:left="60"/>
              <w:spacing w:after="0"/>
              <w:rPr>
                <w:sz w:val="20"/>
                <w:szCs w:val="20"/>
                <w:color w:val="auto"/>
              </w:rPr>
            </w:pPr>
            <w:r>
              <w:rPr>
                <w:rFonts w:ascii="Arial" w:cs="Arial" w:eastAsia="Arial" w:hAnsi="Arial"/>
                <w:sz w:val="14"/>
                <w:szCs w:val="14"/>
                <w:color w:val="auto"/>
              </w:rPr>
              <w:t>Michael F. Beech</w:t>
            </w:r>
          </w:p>
        </w:tc>
        <w:tc>
          <w:tcPr>
            <w:tcW w:w="3340" w:type="dxa"/>
            <w:vAlign w:val="bottom"/>
          </w:tcPr>
          <w:p>
            <w:pPr>
              <w:ind w:left="380"/>
              <w:spacing w:after="0"/>
              <w:rPr>
                <w:sz w:val="20"/>
                <w:szCs w:val="20"/>
                <w:color w:val="auto"/>
              </w:rPr>
            </w:pPr>
            <w:r>
              <w:rPr>
                <w:rFonts w:ascii="Arial" w:cs="Arial" w:eastAsia="Arial" w:hAnsi="Arial"/>
                <w:sz w:val="14"/>
                <w:szCs w:val="14"/>
                <w:color w:val="auto"/>
              </w:rPr>
              <w:t>Prorated Annual Bonus</w:t>
            </w:r>
          </w:p>
        </w:tc>
        <w:tc>
          <w:tcPr>
            <w:tcW w:w="720" w:type="dxa"/>
            <w:vAlign w:val="bottom"/>
          </w:tcPr>
          <w:p>
            <w:pPr>
              <w:spacing w:after="0"/>
              <w:rPr>
                <w:sz w:val="14"/>
                <w:szCs w:val="14"/>
                <w:color w:val="auto"/>
              </w:rPr>
            </w:pPr>
          </w:p>
        </w:tc>
        <w:tc>
          <w:tcPr>
            <w:tcW w:w="62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4"/>
                <w:szCs w:val="14"/>
                <w:color w:val="auto"/>
              </w:rPr>
            </w:pPr>
          </w:p>
        </w:tc>
        <w:tc>
          <w:tcPr>
            <w:tcW w:w="62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153"/>
              <w:spacing w:after="0"/>
              <w:rPr>
                <w:sz w:val="20"/>
                <w:szCs w:val="20"/>
                <w:color w:val="auto"/>
              </w:rPr>
            </w:pPr>
            <w:r>
              <w:rPr>
                <w:rFonts w:ascii="Arial" w:cs="Arial" w:eastAsia="Arial" w:hAnsi="Arial"/>
                <w:sz w:val="14"/>
                <w:szCs w:val="14"/>
                <w:color w:val="auto"/>
              </w:rPr>
              <w:t>439,779</w:t>
            </w:r>
          </w:p>
        </w:tc>
        <w:tc>
          <w:tcPr>
            <w:tcW w:w="300" w:type="dxa"/>
            <w:vAlign w:val="bottom"/>
          </w:tcPr>
          <w:p>
            <w:pPr>
              <w:spacing w:after="0"/>
              <w:rPr>
                <w:sz w:val="14"/>
                <w:szCs w:val="14"/>
                <w:color w:val="auto"/>
              </w:rPr>
            </w:pPr>
          </w:p>
        </w:tc>
        <w:tc>
          <w:tcPr>
            <w:tcW w:w="920" w:type="dxa"/>
            <w:vAlign w:val="bottom"/>
          </w:tcPr>
          <w:p>
            <w:pPr>
              <w:jc w:val="right"/>
              <w:ind w:right="172"/>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1580" w:type="dxa"/>
            <w:vAlign w:val="bottom"/>
          </w:tcPr>
          <w:p>
            <w:pPr>
              <w:spacing w:after="0"/>
              <w:rPr>
                <w:sz w:val="15"/>
                <w:szCs w:val="15"/>
                <w:color w:val="auto"/>
              </w:rPr>
            </w:pPr>
          </w:p>
        </w:tc>
        <w:tc>
          <w:tcPr>
            <w:tcW w:w="3340" w:type="dxa"/>
            <w:vAlign w:val="bottom"/>
          </w:tcPr>
          <w:p>
            <w:pPr>
              <w:ind w:left="380"/>
              <w:spacing w:after="0"/>
              <w:rPr>
                <w:sz w:val="20"/>
                <w:szCs w:val="20"/>
                <w:color w:val="auto"/>
              </w:rPr>
            </w:pPr>
            <w:r>
              <w:rPr>
                <w:rFonts w:ascii="Arial" w:cs="Arial" w:eastAsia="Arial" w:hAnsi="Arial"/>
                <w:sz w:val="14"/>
                <w:szCs w:val="14"/>
                <w:color w:val="auto"/>
              </w:rPr>
              <w:t>Base Salary and Bonus</w:t>
            </w:r>
          </w:p>
        </w:tc>
        <w:tc>
          <w:tcPr>
            <w:tcW w:w="720" w:type="dxa"/>
            <w:vAlign w:val="bottom"/>
          </w:tcPr>
          <w:p>
            <w:pPr>
              <w:spacing w:after="0"/>
              <w:rPr>
                <w:sz w:val="15"/>
                <w:szCs w:val="15"/>
                <w:color w:val="auto"/>
              </w:rPr>
            </w:pPr>
          </w:p>
        </w:tc>
        <w:tc>
          <w:tcPr>
            <w:tcW w:w="62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5"/>
                <w:szCs w:val="15"/>
                <w:color w:val="auto"/>
              </w:rPr>
            </w:pPr>
          </w:p>
        </w:tc>
        <w:tc>
          <w:tcPr>
            <w:tcW w:w="62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153"/>
              <w:spacing w:after="0"/>
              <w:rPr>
                <w:sz w:val="20"/>
                <w:szCs w:val="20"/>
                <w:color w:val="auto"/>
              </w:rPr>
            </w:pPr>
            <w:r>
              <w:rPr>
                <w:rFonts w:ascii="Arial" w:cs="Arial" w:eastAsia="Arial" w:hAnsi="Arial"/>
                <w:sz w:val="14"/>
                <w:szCs w:val="14"/>
                <w:color w:val="auto"/>
              </w:rPr>
              <w:t>815,100</w:t>
            </w:r>
          </w:p>
        </w:tc>
        <w:tc>
          <w:tcPr>
            <w:tcW w:w="300" w:type="dxa"/>
            <w:vAlign w:val="bottom"/>
          </w:tcPr>
          <w:p>
            <w:pPr>
              <w:spacing w:after="0"/>
              <w:rPr>
                <w:sz w:val="15"/>
                <w:szCs w:val="15"/>
                <w:color w:val="auto"/>
              </w:rPr>
            </w:pPr>
          </w:p>
        </w:tc>
        <w:tc>
          <w:tcPr>
            <w:tcW w:w="920" w:type="dxa"/>
            <w:vAlign w:val="bottom"/>
          </w:tcPr>
          <w:p>
            <w:pPr>
              <w:jc w:val="right"/>
              <w:ind w:right="172"/>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1580" w:type="dxa"/>
            <w:vAlign w:val="bottom"/>
          </w:tcPr>
          <w:p>
            <w:pPr>
              <w:spacing w:after="0"/>
              <w:rPr>
                <w:sz w:val="15"/>
                <w:szCs w:val="15"/>
                <w:color w:val="auto"/>
              </w:rPr>
            </w:pPr>
          </w:p>
        </w:tc>
        <w:tc>
          <w:tcPr>
            <w:tcW w:w="3340" w:type="dxa"/>
            <w:vAlign w:val="bottom"/>
          </w:tcPr>
          <w:p>
            <w:pPr>
              <w:ind w:left="380"/>
              <w:spacing w:after="0"/>
              <w:rPr>
                <w:sz w:val="20"/>
                <w:szCs w:val="20"/>
                <w:color w:val="auto"/>
              </w:rPr>
            </w:pPr>
            <w:r>
              <w:rPr>
                <w:rFonts w:ascii="Arial" w:cs="Arial" w:eastAsia="Arial" w:hAnsi="Arial"/>
                <w:sz w:val="14"/>
                <w:szCs w:val="14"/>
                <w:color w:val="auto"/>
              </w:rPr>
              <w:t xml:space="preserve">Long Term Incentive </w:t>
            </w:r>
            <w:r>
              <w:rPr>
                <w:rFonts w:ascii="Arial" w:cs="Arial" w:eastAsia="Arial" w:hAnsi="Arial"/>
                <w:sz w:val="11"/>
                <w:szCs w:val="11"/>
                <w:color w:val="auto"/>
              </w:rPr>
              <w:t>(4)</w:t>
            </w:r>
          </w:p>
        </w:tc>
        <w:tc>
          <w:tcPr>
            <w:tcW w:w="720" w:type="dxa"/>
            <w:vAlign w:val="bottom"/>
          </w:tcPr>
          <w:p>
            <w:pPr>
              <w:spacing w:after="0"/>
              <w:rPr>
                <w:sz w:val="15"/>
                <w:szCs w:val="15"/>
                <w:color w:val="auto"/>
              </w:rPr>
            </w:pPr>
          </w:p>
        </w:tc>
        <w:tc>
          <w:tcPr>
            <w:tcW w:w="62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5"/>
                <w:szCs w:val="15"/>
                <w:color w:val="auto"/>
              </w:rPr>
            </w:pPr>
          </w:p>
        </w:tc>
        <w:tc>
          <w:tcPr>
            <w:tcW w:w="62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153"/>
              <w:spacing w:after="0"/>
              <w:rPr>
                <w:sz w:val="20"/>
                <w:szCs w:val="20"/>
                <w:color w:val="auto"/>
              </w:rPr>
            </w:pPr>
            <w:r>
              <w:rPr>
                <w:rFonts w:ascii="Arial" w:cs="Arial" w:eastAsia="Arial" w:hAnsi="Arial"/>
                <w:sz w:val="14"/>
                <w:szCs w:val="14"/>
                <w:color w:val="auto"/>
              </w:rPr>
              <w:t>1,076,035</w:t>
            </w:r>
          </w:p>
        </w:tc>
        <w:tc>
          <w:tcPr>
            <w:tcW w:w="300" w:type="dxa"/>
            <w:vAlign w:val="bottom"/>
          </w:tcPr>
          <w:p>
            <w:pPr>
              <w:spacing w:after="0"/>
              <w:rPr>
                <w:sz w:val="15"/>
                <w:szCs w:val="15"/>
                <w:color w:val="auto"/>
              </w:rPr>
            </w:pPr>
          </w:p>
        </w:tc>
        <w:tc>
          <w:tcPr>
            <w:tcW w:w="920" w:type="dxa"/>
            <w:vAlign w:val="bottom"/>
          </w:tcPr>
          <w:p>
            <w:pPr>
              <w:jc w:val="right"/>
              <w:ind w:right="172"/>
              <w:spacing w:after="0"/>
              <w:rPr>
                <w:sz w:val="20"/>
                <w:szCs w:val="20"/>
                <w:color w:val="auto"/>
              </w:rPr>
            </w:pPr>
            <w:r>
              <w:rPr>
                <w:rFonts w:ascii="Arial" w:cs="Arial" w:eastAsia="Arial" w:hAnsi="Arial"/>
                <w:sz w:val="14"/>
                <w:szCs w:val="14"/>
                <w:color w:val="auto"/>
              </w:rPr>
              <w:t>2,363,629</w:t>
            </w:r>
          </w:p>
        </w:tc>
        <w:tc>
          <w:tcPr>
            <w:tcW w:w="3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2,004,822</w:t>
            </w:r>
          </w:p>
        </w:tc>
        <w:tc>
          <w:tcPr>
            <w:tcW w:w="0" w:type="dxa"/>
            <w:vAlign w:val="bottom"/>
          </w:tcPr>
          <w:p>
            <w:pPr>
              <w:spacing w:after="0"/>
              <w:rPr>
                <w:sz w:val="1"/>
                <w:szCs w:val="1"/>
                <w:color w:val="auto"/>
              </w:rPr>
            </w:pPr>
          </w:p>
        </w:tc>
      </w:tr>
      <w:tr>
        <w:trPr>
          <w:trHeight w:val="176"/>
        </w:trPr>
        <w:tc>
          <w:tcPr>
            <w:tcW w:w="1580" w:type="dxa"/>
            <w:vAlign w:val="bottom"/>
          </w:tcPr>
          <w:p>
            <w:pPr>
              <w:spacing w:after="0"/>
              <w:rPr>
                <w:sz w:val="15"/>
                <w:szCs w:val="15"/>
                <w:color w:val="auto"/>
              </w:rPr>
            </w:pPr>
          </w:p>
        </w:tc>
        <w:tc>
          <w:tcPr>
            <w:tcW w:w="3340" w:type="dxa"/>
            <w:vAlign w:val="bottom"/>
          </w:tcPr>
          <w:p>
            <w:pPr>
              <w:ind w:left="380"/>
              <w:spacing w:after="0"/>
              <w:rPr>
                <w:sz w:val="20"/>
                <w:szCs w:val="20"/>
                <w:color w:val="auto"/>
              </w:rPr>
            </w:pPr>
            <w:r>
              <w:rPr>
                <w:rFonts w:ascii="Arial" w:cs="Arial" w:eastAsia="Arial" w:hAnsi="Arial"/>
                <w:sz w:val="14"/>
                <w:szCs w:val="14"/>
                <w:color w:val="auto"/>
              </w:rPr>
              <w:t>Benefit Plans</w:t>
            </w:r>
          </w:p>
        </w:tc>
        <w:tc>
          <w:tcPr>
            <w:tcW w:w="720" w:type="dxa"/>
            <w:vAlign w:val="bottom"/>
          </w:tcPr>
          <w:p>
            <w:pPr>
              <w:spacing w:after="0"/>
              <w:rPr>
                <w:sz w:val="15"/>
                <w:szCs w:val="15"/>
                <w:color w:val="auto"/>
              </w:rPr>
            </w:pPr>
          </w:p>
        </w:tc>
        <w:tc>
          <w:tcPr>
            <w:tcW w:w="62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5"/>
                <w:szCs w:val="15"/>
                <w:color w:val="auto"/>
              </w:rPr>
            </w:pPr>
          </w:p>
        </w:tc>
        <w:tc>
          <w:tcPr>
            <w:tcW w:w="62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153"/>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920" w:type="dxa"/>
            <w:vAlign w:val="bottom"/>
          </w:tcPr>
          <w:p>
            <w:pPr>
              <w:jc w:val="right"/>
              <w:ind w:right="172"/>
              <w:spacing w:after="0"/>
              <w:rPr>
                <w:sz w:val="20"/>
                <w:szCs w:val="20"/>
                <w:color w:val="auto"/>
              </w:rPr>
            </w:pPr>
            <w:r>
              <w:rPr>
                <w:rFonts w:ascii="Arial" w:cs="Arial" w:eastAsia="Arial" w:hAnsi="Arial"/>
                <w:sz w:val="14"/>
                <w:szCs w:val="14"/>
                <w:color w:val="auto"/>
              </w:rPr>
              <w:t>244,761</w:t>
            </w:r>
          </w:p>
        </w:tc>
        <w:tc>
          <w:tcPr>
            <w:tcW w:w="3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1,238,351</w:t>
            </w:r>
          </w:p>
        </w:tc>
        <w:tc>
          <w:tcPr>
            <w:tcW w:w="0" w:type="dxa"/>
            <w:vAlign w:val="bottom"/>
          </w:tcPr>
          <w:p>
            <w:pPr>
              <w:spacing w:after="0"/>
              <w:rPr>
                <w:sz w:val="1"/>
                <w:szCs w:val="1"/>
                <w:color w:val="auto"/>
              </w:rPr>
            </w:pPr>
          </w:p>
        </w:tc>
      </w:tr>
      <w:tr>
        <w:trPr>
          <w:trHeight w:val="163"/>
        </w:trPr>
        <w:tc>
          <w:tcPr>
            <w:tcW w:w="1580" w:type="dxa"/>
            <w:vAlign w:val="bottom"/>
            <w:tcBorders>
              <w:bottom w:val="single" w:sz="8" w:color="0033A0"/>
            </w:tcBorders>
          </w:tcPr>
          <w:p>
            <w:pPr>
              <w:spacing w:after="0"/>
              <w:rPr>
                <w:sz w:val="14"/>
                <w:szCs w:val="14"/>
                <w:color w:val="auto"/>
              </w:rPr>
            </w:pPr>
          </w:p>
        </w:tc>
        <w:tc>
          <w:tcPr>
            <w:tcW w:w="3340" w:type="dxa"/>
            <w:vAlign w:val="bottom"/>
            <w:tcBorders>
              <w:bottom w:val="single" w:sz="8" w:color="0033A0"/>
            </w:tcBorders>
          </w:tcPr>
          <w:p>
            <w:pPr>
              <w:ind w:left="380"/>
              <w:spacing w:after="0"/>
              <w:rPr>
                <w:sz w:val="20"/>
                <w:szCs w:val="20"/>
                <w:color w:val="auto"/>
              </w:rPr>
            </w:pPr>
            <w:r>
              <w:rPr>
                <w:rFonts w:ascii="Arial" w:cs="Arial" w:eastAsia="Arial" w:hAnsi="Arial"/>
                <w:sz w:val="14"/>
                <w:szCs w:val="14"/>
                <w:color w:val="auto"/>
              </w:rPr>
              <w:t>Outplacement Services and Other Benefits</w:t>
            </w:r>
          </w:p>
        </w:tc>
        <w:tc>
          <w:tcPr>
            <w:tcW w:w="720" w:type="dxa"/>
            <w:vAlign w:val="bottom"/>
            <w:tcBorders>
              <w:bottom w:val="single" w:sz="8" w:color="0033A0"/>
            </w:tcBorders>
          </w:tcPr>
          <w:p>
            <w:pPr>
              <w:spacing w:after="0"/>
              <w:rPr>
                <w:sz w:val="14"/>
                <w:szCs w:val="14"/>
                <w:color w:val="auto"/>
              </w:rPr>
            </w:pPr>
          </w:p>
        </w:tc>
        <w:tc>
          <w:tcPr>
            <w:tcW w:w="620" w:type="dxa"/>
            <w:vAlign w:val="bottom"/>
            <w:tcBorders>
              <w:bottom w:val="single" w:sz="8" w:color="0033A0"/>
            </w:tcBorders>
          </w:tcPr>
          <w:p>
            <w:pPr>
              <w:jc w:val="right"/>
              <w:ind w:right="152"/>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0033A0"/>
            </w:tcBorders>
          </w:tcPr>
          <w:p>
            <w:pPr>
              <w:spacing w:after="0"/>
              <w:rPr>
                <w:sz w:val="14"/>
                <w:szCs w:val="14"/>
                <w:color w:val="auto"/>
              </w:rPr>
            </w:pPr>
          </w:p>
        </w:tc>
        <w:tc>
          <w:tcPr>
            <w:tcW w:w="620" w:type="dxa"/>
            <w:vAlign w:val="bottom"/>
            <w:tcBorders>
              <w:bottom w:val="single" w:sz="8" w:color="0033A0"/>
            </w:tcBorders>
          </w:tcPr>
          <w:p>
            <w:pPr>
              <w:jc w:val="right"/>
              <w:ind w:right="152"/>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0033A0"/>
            </w:tcBorders>
          </w:tcPr>
          <w:p>
            <w:pPr>
              <w:jc w:val="right"/>
              <w:ind w:right="153"/>
              <w:spacing w:after="0"/>
              <w:rPr>
                <w:sz w:val="20"/>
                <w:szCs w:val="20"/>
                <w:color w:val="auto"/>
              </w:rPr>
            </w:pPr>
            <w:r>
              <w:rPr>
                <w:rFonts w:ascii="Arial" w:cs="Arial" w:eastAsia="Arial" w:hAnsi="Arial"/>
                <w:sz w:val="14"/>
                <w:szCs w:val="14"/>
                <w:color w:val="auto"/>
              </w:rPr>
              <w:t>22,296</w:t>
            </w:r>
          </w:p>
        </w:tc>
        <w:tc>
          <w:tcPr>
            <w:tcW w:w="300" w:type="dxa"/>
            <w:vAlign w:val="bottom"/>
            <w:tcBorders>
              <w:bottom w:val="single" w:sz="8" w:color="0033A0"/>
            </w:tcBorders>
          </w:tcPr>
          <w:p>
            <w:pPr>
              <w:spacing w:after="0"/>
              <w:rPr>
                <w:sz w:val="14"/>
                <w:szCs w:val="14"/>
                <w:color w:val="auto"/>
              </w:rPr>
            </w:pPr>
          </w:p>
        </w:tc>
        <w:tc>
          <w:tcPr>
            <w:tcW w:w="920" w:type="dxa"/>
            <w:vAlign w:val="bottom"/>
            <w:tcBorders>
              <w:bottom w:val="single" w:sz="8" w:color="0033A0"/>
            </w:tcBorders>
          </w:tcPr>
          <w:p>
            <w:pPr>
              <w:jc w:val="right"/>
              <w:ind w:right="172"/>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0033A0"/>
            </w:tcBorders>
          </w:tcPr>
          <w:p>
            <w:pPr>
              <w:spacing w:after="0"/>
              <w:rPr>
                <w:sz w:val="14"/>
                <w:szCs w:val="14"/>
                <w:color w:val="auto"/>
              </w:rPr>
            </w:pPr>
          </w:p>
        </w:tc>
        <w:tc>
          <w:tcPr>
            <w:tcW w:w="740" w:type="dxa"/>
            <w:vAlign w:val="bottom"/>
            <w:tcBorders>
              <w:bottom w:val="single" w:sz="8" w:color="0033A0"/>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1580" w:type="dxa"/>
            <w:vAlign w:val="bottom"/>
            <w:tcBorders>
              <w:bottom w:val="single" w:sz="8" w:color="0033A0"/>
            </w:tcBorders>
          </w:tcPr>
          <w:p>
            <w:pPr>
              <w:spacing w:after="0"/>
              <w:rPr>
                <w:sz w:val="14"/>
                <w:szCs w:val="14"/>
                <w:color w:val="auto"/>
              </w:rPr>
            </w:pPr>
          </w:p>
        </w:tc>
        <w:tc>
          <w:tcPr>
            <w:tcW w:w="3340" w:type="dxa"/>
            <w:vAlign w:val="bottom"/>
            <w:tcBorders>
              <w:bottom w:val="single" w:sz="8" w:color="0033A0"/>
            </w:tcBorders>
          </w:tcPr>
          <w:p>
            <w:pPr>
              <w:ind w:left="380"/>
              <w:spacing w:after="0" w:line="155" w:lineRule="exact"/>
              <w:rPr>
                <w:sz w:val="20"/>
                <w:szCs w:val="20"/>
                <w:color w:val="auto"/>
              </w:rPr>
            </w:pPr>
            <w:r>
              <w:rPr>
                <w:rFonts w:ascii="Arial" w:cs="Arial" w:eastAsia="Arial" w:hAnsi="Arial"/>
                <w:sz w:val="14"/>
                <w:szCs w:val="14"/>
                <w:color w:val="auto"/>
              </w:rPr>
              <w:t>Total</w:t>
            </w:r>
          </w:p>
        </w:tc>
        <w:tc>
          <w:tcPr>
            <w:tcW w:w="720" w:type="dxa"/>
            <w:vAlign w:val="bottom"/>
            <w:tcBorders>
              <w:bottom w:val="single" w:sz="8" w:color="0033A0"/>
            </w:tcBorders>
          </w:tcPr>
          <w:p>
            <w:pPr>
              <w:spacing w:after="0"/>
              <w:rPr>
                <w:sz w:val="14"/>
                <w:szCs w:val="14"/>
                <w:color w:val="auto"/>
              </w:rPr>
            </w:pPr>
          </w:p>
        </w:tc>
        <w:tc>
          <w:tcPr>
            <w:tcW w:w="620" w:type="dxa"/>
            <w:vAlign w:val="bottom"/>
            <w:tcBorders>
              <w:bottom w:val="single" w:sz="8" w:color="0033A0"/>
            </w:tcBorders>
          </w:tcPr>
          <w:p>
            <w:pPr>
              <w:jc w:val="right"/>
              <w:ind w:right="152"/>
              <w:spacing w:after="0" w:line="155" w:lineRule="exact"/>
              <w:rPr>
                <w:sz w:val="20"/>
                <w:szCs w:val="20"/>
                <w:color w:val="auto"/>
              </w:rPr>
            </w:pPr>
            <w:r>
              <w:rPr>
                <w:rFonts w:ascii="Arial" w:cs="Arial" w:eastAsia="Arial" w:hAnsi="Arial"/>
                <w:sz w:val="14"/>
                <w:szCs w:val="14"/>
                <w:color w:val="auto"/>
              </w:rPr>
              <w:t>—</w:t>
            </w:r>
          </w:p>
        </w:tc>
        <w:tc>
          <w:tcPr>
            <w:tcW w:w="540" w:type="dxa"/>
            <w:vAlign w:val="bottom"/>
            <w:tcBorders>
              <w:bottom w:val="single" w:sz="8" w:color="0033A0"/>
            </w:tcBorders>
          </w:tcPr>
          <w:p>
            <w:pPr>
              <w:spacing w:after="0"/>
              <w:rPr>
                <w:sz w:val="14"/>
                <w:szCs w:val="14"/>
                <w:color w:val="auto"/>
              </w:rPr>
            </w:pPr>
          </w:p>
        </w:tc>
        <w:tc>
          <w:tcPr>
            <w:tcW w:w="620" w:type="dxa"/>
            <w:vAlign w:val="bottom"/>
            <w:tcBorders>
              <w:bottom w:val="single" w:sz="8" w:color="0033A0"/>
            </w:tcBorders>
          </w:tcPr>
          <w:p>
            <w:pPr>
              <w:jc w:val="right"/>
              <w:ind w:right="152"/>
              <w:spacing w:after="0" w:line="155" w:lineRule="exact"/>
              <w:rPr>
                <w:sz w:val="20"/>
                <w:szCs w:val="20"/>
                <w:color w:val="auto"/>
              </w:rPr>
            </w:pPr>
            <w:r>
              <w:rPr>
                <w:rFonts w:ascii="Arial" w:cs="Arial" w:eastAsia="Arial" w:hAnsi="Arial"/>
                <w:sz w:val="14"/>
                <w:szCs w:val="14"/>
                <w:color w:val="auto"/>
              </w:rPr>
              <w:t>—</w:t>
            </w:r>
          </w:p>
        </w:tc>
        <w:tc>
          <w:tcPr>
            <w:tcW w:w="1340" w:type="dxa"/>
            <w:vAlign w:val="bottom"/>
            <w:tcBorders>
              <w:bottom w:val="single" w:sz="8" w:color="0033A0"/>
            </w:tcBorders>
          </w:tcPr>
          <w:p>
            <w:pPr>
              <w:jc w:val="right"/>
              <w:ind w:right="153"/>
              <w:spacing w:after="0" w:line="155" w:lineRule="exact"/>
              <w:rPr>
                <w:sz w:val="20"/>
                <w:szCs w:val="20"/>
                <w:color w:val="auto"/>
              </w:rPr>
            </w:pPr>
            <w:r>
              <w:rPr>
                <w:rFonts w:ascii="Arial" w:cs="Arial" w:eastAsia="Arial" w:hAnsi="Arial"/>
                <w:sz w:val="14"/>
                <w:szCs w:val="14"/>
                <w:color w:val="auto"/>
              </w:rPr>
              <w:t>2,353,210</w:t>
            </w:r>
          </w:p>
        </w:tc>
        <w:tc>
          <w:tcPr>
            <w:tcW w:w="300" w:type="dxa"/>
            <w:vAlign w:val="bottom"/>
            <w:tcBorders>
              <w:bottom w:val="single" w:sz="8" w:color="0033A0"/>
            </w:tcBorders>
          </w:tcPr>
          <w:p>
            <w:pPr>
              <w:spacing w:after="0"/>
              <w:rPr>
                <w:sz w:val="14"/>
                <w:szCs w:val="14"/>
                <w:color w:val="auto"/>
              </w:rPr>
            </w:pPr>
          </w:p>
        </w:tc>
        <w:tc>
          <w:tcPr>
            <w:tcW w:w="920" w:type="dxa"/>
            <w:vAlign w:val="bottom"/>
            <w:tcBorders>
              <w:bottom w:val="single" w:sz="8" w:color="0033A0"/>
            </w:tcBorders>
          </w:tcPr>
          <w:p>
            <w:pPr>
              <w:jc w:val="right"/>
              <w:ind w:right="172"/>
              <w:spacing w:after="0" w:line="155" w:lineRule="exact"/>
              <w:rPr>
                <w:sz w:val="20"/>
                <w:szCs w:val="20"/>
                <w:color w:val="auto"/>
              </w:rPr>
            </w:pPr>
            <w:r>
              <w:rPr>
                <w:rFonts w:ascii="Arial" w:cs="Arial" w:eastAsia="Arial" w:hAnsi="Arial"/>
                <w:sz w:val="14"/>
                <w:szCs w:val="14"/>
                <w:color w:val="auto"/>
              </w:rPr>
              <w:t>2,608,390</w:t>
            </w:r>
          </w:p>
        </w:tc>
        <w:tc>
          <w:tcPr>
            <w:tcW w:w="300" w:type="dxa"/>
            <w:vAlign w:val="bottom"/>
            <w:tcBorders>
              <w:bottom w:val="single" w:sz="8" w:color="0033A0"/>
            </w:tcBorders>
          </w:tcPr>
          <w:p>
            <w:pPr>
              <w:spacing w:after="0"/>
              <w:rPr>
                <w:sz w:val="14"/>
                <w:szCs w:val="14"/>
                <w:color w:val="auto"/>
              </w:rPr>
            </w:pPr>
          </w:p>
        </w:tc>
        <w:tc>
          <w:tcPr>
            <w:tcW w:w="740" w:type="dxa"/>
            <w:vAlign w:val="bottom"/>
            <w:tcBorders>
              <w:bottom w:val="single" w:sz="8" w:color="0033A0"/>
            </w:tcBorders>
          </w:tcPr>
          <w:p>
            <w:pPr>
              <w:jc w:val="right"/>
              <w:spacing w:after="0" w:line="155" w:lineRule="exact"/>
              <w:rPr>
                <w:sz w:val="20"/>
                <w:szCs w:val="20"/>
                <w:color w:val="auto"/>
              </w:rPr>
            </w:pPr>
            <w:r>
              <w:rPr>
                <w:rFonts w:ascii="Arial" w:cs="Arial" w:eastAsia="Arial" w:hAnsi="Arial"/>
                <w:sz w:val="14"/>
                <w:szCs w:val="14"/>
                <w:color w:val="auto"/>
              </w:rPr>
              <w:t>3,243,173</w:t>
            </w:r>
          </w:p>
        </w:tc>
        <w:tc>
          <w:tcPr>
            <w:tcW w:w="0" w:type="dxa"/>
            <w:vAlign w:val="bottom"/>
          </w:tcPr>
          <w:p>
            <w:pPr>
              <w:spacing w:after="0"/>
              <w:rPr>
                <w:sz w:val="1"/>
                <w:szCs w:val="1"/>
                <w:color w:val="auto"/>
              </w:rPr>
            </w:pPr>
          </w:p>
        </w:tc>
      </w:tr>
      <w:tr>
        <w:trPr>
          <w:trHeight w:val="149"/>
        </w:trPr>
        <w:tc>
          <w:tcPr>
            <w:tcW w:w="1580" w:type="dxa"/>
            <w:vAlign w:val="bottom"/>
            <w:shd w:val="clear" w:color="auto" w:fill="E5EAF5"/>
          </w:tcPr>
          <w:p>
            <w:pPr>
              <w:ind w:left="60"/>
              <w:spacing w:after="0" w:line="149" w:lineRule="exact"/>
              <w:rPr>
                <w:sz w:val="20"/>
                <w:szCs w:val="20"/>
                <w:color w:val="auto"/>
              </w:rPr>
            </w:pPr>
            <w:r>
              <w:rPr>
                <w:rFonts w:ascii="Arial" w:cs="Arial" w:eastAsia="Arial" w:hAnsi="Arial"/>
                <w:sz w:val="14"/>
                <w:szCs w:val="14"/>
                <w:color w:val="auto"/>
              </w:rPr>
              <w:t>Ronald J. Domanico</w:t>
            </w:r>
          </w:p>
        </w:tc>
        <w:tc>
          <w:tcPr>
            <w:tcW w:w="3340" w:type="dxa"/>
            <w:vAlign w:val="bottom"/>
            <w:shd w:val="clear" w:color="auto" w:fill="E5EAF5"/>
          </w:tcPr>
          <w:p>
            <w:pPr>
              <w:ind w:left="380"/>
              <w:spacing w:after="0" w:line="149" w:lineRule="exact"/>
              <w:rPr>
                <w:sz w:val="20"/>
                <w:szCs w:val="20"/>
                <w:color w:val="auto"/>
              </w:rPr>
            </w:pPr>
            <w:r>
              <w:rPr>
                <w:rFonts w:ascii="Arial" w:cs="Arial" w:eastAsia="Arial" w:hAnsi="Arial"/>
                <w:sz w:val="14"/>
                <w:szCs w:val="14"/>
                <w:color w:val="auto"/>
              </w:rPr>
              <w:t>Prorated Annual Bonus</w:t>
            </w:r>
          </w:p>
        </w:tc>
        <w:tc>
          <w:tcPr>
            <w:tcW w:w="720" w:type="dxa"/>
            <w:vAlign w:val="bottom"/>
            <w:shd w:val="clear" w:color="auto" w:fill="E5EAF5"/>
          </w:tcPr>
          <w:p>
            <w:pPr>
              <w:spacing w:after="0"/>
              <w:rPr>
                <w:sz w:val="12"/>
                <w:szCs w:val="12"/>
                <w:color w:val="auto"/>
              </w:rPr>
            </w:pPr>
          </w:p>
        </w:tc>
        <w:tc>
          <w:tcPr>
            <w:tcW w:w="620" w:type="dxa"/>
            <w:vAlign w:val="bottom"/>
            <w:shd w:val="clear" w:color="auto" w:fill="E5EAF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E5EAF5"/>
          </w:tcPr>
          <w:p>
            <w:pPr>
              <w:spacing w:after="0"/>
              <w:rPr>
                <w:sz w:val="12"/>
                <w:szCs w:val="12"/>
                <w:color w:val="auto"/>
              </w:rPr>
            </w:pPr>
          </w:p>
        </w:tc>
        <w:tc>
          <w:tcPr>
            <w:tcW w:w="620" w:type="dxa"/>
            <w:vAlign w:val="bottom"/>
            <w:shd w:val="clear" w:color="auto" w:fill="E5EAF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1340" w:type="dxa"/>
            <w:vAlign w:val="bottom"/>
            <w:shd w:val="clear" w:color="auto" w:fill="E5EAF5"/>
          </w:tcPr>
          <w:p>
            <w:pPr>
              <w:jc w:val="right"/>
              <w:ind w:right="153"/>
              <w:spacing w:after="0" w:line="149" w:lineRule="exact"/>
              <w:rPr>
                <w:sz w:val="20"/>
                <w:szCs w:val="20"/>
                <w:color w:val="auto"/>
              </w:rPr>
            </w:pPr>
            <w:r>
              <w:rPr>
                <w:rFonts w:ascii="Arial" w:cs="Arial" w:eastAsia="Arial" w:hAnsi="Arial"/>
                <w:sz w:val="14"/>
                <w:szCs w:val="14"/>
                <w:color w:val="auto"/>
              </w:rPr>
              <w:t>626,535</w:t>
            </w:r>
          </w:p>
        </w:tc>
        <w:tc>
          <w:tcPr>
            <w:tcW w:w="300" w:type="dxa"/>
            <w:vAlign w:val="bottom"/>
            <w:shd w:val="clear" w:color="auto" w:fill="E5EAF5"/>
          </w:tcPr>
          <w:p>
            <w:pPr>
              <w:spacing w:after="0"/>
              <w:rPr>
                <w:sz w:val="12"/>
                <w:szCs w:val="12"/>
                <w:color w:val="auto"/>
              </w:rPr>
            </w:pPr>
          </w:p>
        </w:tc>
        <w:tc>
          <w:tcPr>
            <w:tcW w:w="920" w:type="dxa"/>
            <w:vAlign w:val="bottom"/>
            <w:shd w:val="clear" w:color="auto" w:fill="E5EAF5"/>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E5EAF5"/>
          </w:tcPr>
          <w:p>
            <w:pPr>
              <w:spacing w:after="0"/>
              <w:rPr>
                <w:sz w:val="12"/>
                <w:szCs w:val="12"/>
                <w:color w:val="auto"/>
              </w:rPr>
            </w:pPr>
          </w:p>
        </w:tc>
        <w:tc>
          <w:tcPr>
            <w:tcW w:w="740" w:type="dxa"/>
            <w:vAlign w:val="bottom"/>
            <w:shd w:val="clear" w:color="auto" w:fill="E5EAF5"/>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1580" w:type="dxa"/>
            <w:vAlign w:val="bottom"/>
            <w:shd w:val="clear" w:color="auto" w:fill="E5EAF5"/>
          </w:tcPr>
          <w:p>
            <w:pPr>
              <w:spacing w:after="0"/>
              <w:rPr>
                <w:sz w:val="15"/>
                <w:szCs w:val="15"/>
                <w:color w:val="auto"/>
              </w:rPr>
            </w:pPr>
          </w:p>
        </w:tc>
        <w:tc>
          <w:tcPr>
            <w:tcW w:w="3340" w:type="dxa"/>
            <w:vAlign w:val="bottom"/>
            <w:shd w:val="clear" w:color="auto" w:fill="E5EAF5"/>
          </w:tcPr>
          <w:p>
            <w:pPr>
              <w:ind w:left="380"/>
              <w:spacing w:after="0"/>
              <w:rPr>
                <w:sz w:val="20"/>
                <w:szCs w:val="20"/>
                <w:color w:val="auto"/>
              </w:rPr>
            </w:pPr>
            <w:r>
              <w:rPr>
                <w:rFonts w:ascii="Arial" w:cs="Arial" w:eastAsia="Arial" w:hAnsi="Arial"/>
                <w:sz w:val="14"/>
                <w:szCs w:val="14"/>
                <w:color w:val="auto"/>
              </w:rPr>
              <w:t>Base Salary and Bonus</w:t>
            </w:r>
          </w:p>
        </w:tc>
        <w:tc>
          <w:tcPr>
            <w:tcW w:w="720" w:type="dxa"/>
            <w:vAlign w:val="bottom"/>
            <w:shd w:val="clear" w:color="auto" w:fill="E5EAF5"/>
          </w:tcPr>
          <w:p>
            <w:pPr>
              <w:spacing w:after="0"/>
              <w:rPr>
                <w:sz w:val="15"/>
                <w:szCs w:val="15"/>
                <w:color w:val="auto"/>
              </w:rPr>
            </w:pPr>
          </w:p>
        </w:tc>
        <w:tc>
          <w:tcPr>
            <w:tcW w:w="620" w:type="dxa"/>
            <w:vAlign w:val="bottom"/>
            <w:shd w:val="clear" w:color="auto" w:fill="E5EAF5"/>
          </w:tcPr>
          <w:p>
            <w:pPr>
              <w:jc w:val="right"/>
              <w:ind w:right="152"/>
              <w:spacing w:after="0"/>
              <w:rPr>
                <w:sz w:val="20"/>
                <w:szCs w:val="20"/>
                <w:color w:val="auto"/>
              </w:rPr>
            </w:pPr>
            <w:r>
              <w:rPr>
                <w:rFonts w:ascii="Arial" w:cs="Arial" w:eastAsia="Arial" w:hAnsi="Arial"/>
                <w:sz w:val="14"/>
                <w:szCs w:val="14"/>
                <w:color w:val="auto"/>
              </w:rPr>
              <w:t>—</w:t>
            </w:r>
          </w:p>
        </w:tc>
        <w:tc>
          <w:tcPr>
            <w:tcW w:w="540" w:type="dxa"/>
            <w:vAlign w:val="bottom"/>
            <w:shd w:val="clear" w:color="auto" w:fill="E5EAF5"/>
          </w:tcPr>
          <w:p>
            <w:pPr>
              <w:spacing w:after="0"/>
              <w:rPr>
                <w:sz w:val="15"/>
                <w:szCs w:val="15"/>
                <w:color w:val="auto"/>
              </w:rPr>
            </w:pPr>
          </w:p>
        </w:tc>
        <w:tc>
          <w:tcPr>
            <w:tcW w:w="620" w:type="dxa"/>
            <w:vAlign w:val="bottom"/>
            <w:shd w:val="clear" w:color="auto" w:fill="E5EAF5"/>
          </w:tcPr>
          <w:p>
            <w:pPr>
              <w:jc w:val="right"/>
              <w:ind w:right="152"/>
              <w:spacing w:after="0"/>
              <w:rPr>
                <w:sz w:val="20"/>
                <w:szCs w:val="20"/>
                <w:color w:val="auto"/>
              </w:rPr>
            </w:pPr>
            <w:r>
              <w:rPr>
                <w:rFonts w:ascii="Arial" w:cs="Arial" w:eastAsia="Arial" w:hAnsi="Arial"/>
                <w:sz w:val="14"/>
                <w:szCs w:val="14"/>
                <w:color w:val="auto"/>
              </w:rPr>
              <w:t>—</w:t>
            </w:r>
          </w:p>
        </w:tc>
        <w:tc>
          <w:tcPr>
            <w:tcW w:w="1340" w:type="dxa"/>
            <w:vAlign w:val="bottom"/>
            <w:shd w:val="clear" w:color="auto" w:fill="E5EAF5"/>
          </w:tcPr>
          <w:p>
            <w:pPr>
              <w:jc w:val="right"/>
              <w:ind w:right="153"/>
              <w:spacing w:after="0"/>
              <w:rPr>
                <w:sz w:val="20"/>
                <w:szCs w:val="20"/>
                <w:color w:val="auto"/>
              </w:rPr>
            </w:pPr>
            <w:r>
              <w:rPr>
                <w:rFonts w:ascii="Arial" w:cs="Arial" w:eastAsia="Arial" w:hAnsi="Arial"/>
                <w:sz w:val="14"/>
                <w:szCs w:val="14"/>
                <w:color w:val="auto"/>
              </w:rPr>
              <w:t>1,110,000</w:t>
            </w:r>
          </w:p>
        </w:tc>
        <w:tc>
          <w:tcPr>
            <w:tcW w:w="300" w:type="dxa"/>
            <w:vAlign w:val="bottom"/>
            <w:shd w:val="clear" w:color="auto" w:fill="E5EAF5"/>
          </w:tcPr>
          <w:p>
            <w:pPr>
              <w:spacing w:after="0"/>
              <w:rPr>
                <w:sz w:val="15"/>
                <w:szCs w:val="15"/>
                <w:color w:val="auto"/>
              </w:rPr>
            </w:pPr>
          </w:p>
        </w:tc>
        <w:tc>
          <w:tcPr>
            <w:tcW w:w="920" w:type="dxa"/>
            <w:vAlign w:val="bottom"/>
            <w:shd w:val="clear" w:color="auto" w:fill="E5EAF5"/>
          </w:tcPr>
          <w:p>
            <w:pPr>
              <w:jc w:val="right"/>
              <w:ind w:right="172"/>
              <w:spacing w:after="0"/>
              <w:rPr>
                <w:sz w:val="20"/>
                <w:szCs w:val="20"/>
                <w:color w:val="auto"/>
              </w:rPr>
            </w:pPr>
            <w:r>
              <w:rPr>
                <w:rFonts w:ascii="Arial" w:cs="Arial" w:eastAsia="Arial" w:hAnsi="Arial"/>
                <w:sz w:val="14"/>
                <w:szCs w:val="14"/>
                <w:color w:val="auto"/>
              </w:rPr>
              <w:t>—</w:t>
            </w:r>
          </w:p>
        </w:tc>
        <w:tc>
          <w:tcPr>
            <w:tcW w:w="300" w:type="dxa"/>
            <w:vAlign w:val="bottom"/>
            <w:shd w:val="clear" w:color="auto" w:fill="E5EAF5"/>
          </w:tcPr>
          <w:p>
            <w:pPr>
              <w:spacing w:after="0"/>
              <w:rPr>
                <w:sz w:val="15"/>
                <w:szCs w:val="15"/>
                <w:color w:val="auto"/>
              </w:rPr>
            </w:pPr>
          </w:p>
        </w:tc>
        <w:tc>
          <w:tcPr>
            <w:tcW w:w="740" w:type="dxa"/>
            <w:vAlign w:val="bottom"/>
            <w:shd w:val="clear" w:color="auto" w:fill="E5EAF5"/>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1580" w:type="dxa"/>
            <w:vAlign w:val="bottom"/>
            <w:shd w:val="clear" w:color="auto" w:fill="E5EAF5"/>
          </w:tcPr>
          <w:p>
            <w:pPr>
              <w:spacing w:after="0"/>
              <w:rPr>
                <w:sz w:val="15"/>
                <w:szCs w:val="15"/>
                <w:color w:val="auto"/>
              </w:rPr>
            </w:pPr>
          </w:p>
        </w:tc>
        <w:tc>
          <w:tcPr>
            <w:tcW w:w="3340" w:type="dxa"/>
            <w:vAlign w:val="bottom"/>
            <w:shd w:val="clear" w:color="auto" w:fill="E5EAF5"/>
          </w:tcPr>
          <w:p>
            <w:pPr>
              <w:ind w:left="380"/>
              <w:spacing w:after="0"/>
              <w:rPr>
                <w:sz w:val="20"/>
                <w:szCs w:val="20"/>
                <w:color w:val="auto"/>
              </w:rPr>
            </w:pPr>
            <w:r>
              <w:rPr>
                <w:rFonts w:ascii="Arial" w:cs="Arial" w:eastAsia="Arial" w:hAnsi="Arial"/>
                <w:sz w:val="14"/>
                <w:szCs w:val="14"/>
                <w:color w:val="auto"/>
              </w:rPr>
              <w:t xml:space="preserve">Long Term Incentive </w:t>
            </w:r>
            <w:r>
              <w:rPr>
                <w:rFonts w:ascii="Arial" w:cs="Arial" w:eastAsia="Arial" w:hAnsi="Arial"/>
                <w:sz w:val="11"/>
                <w:szCs w:val="11"/>
                <w:color w:val="auto"/>
              </w:rPr>
              <w:t>(4)</w:t>
            </w:r>
          </w:p>
        </w:tc>
        <w:tc>
          <w:tcPr>
            <w:tcW w:w="720" w:type="dxa"/>
            <w:vAlign w:val="bottom"/>
            <w:shd w:val="clear" w:color="auto" w:fill="E5EAF5"/>
          </w:tcPr>
          <w:p>
            <w:pPr>
              <w:spacing w:after="0"/>
              <w:rPr>
                <w:sz w:val="15"/>
                <w:szCs w:val="15"/>
                <w:color w:val="auto"/>
              </w:rPr>
            </w:pPr>
          </w:p>
        </w:tc>
        <w:tc>
          <w:tcPr>
            <w:tcW w:w="620" w:type="dxa"/>
            <w:vAlign w:val="bottom"/>
            <w:shd w:val="clear" w:color="auto" w:fill="E5EAF5"/>
          </w:tcPr>
          <w:p>
            <w:pPr>
              <w:jc w:val="right"/>
              <w:ind w:right="152"/>
              <w:spacing w:after="0"/>
              <w:rPr>
                <w:sz w:val="20"/>
                <w:szCs w:val="20"/>
                <w:color w:val="auto"/>
              </w:rPr>
            </w:pPr>
            <w:r>
              <w:rPr>
                <w:rFonts w:ascii="Arial" w:cs="Arial" w:eastAsia="Arial" w:hAnsi="Arial"/>
                <w:sz w:val="14"/>
                <w:szCs w:val="14"/>
                <w:color w:val="auto"/>
              </w:rPr>
              <w:t>—</w:t>
            </w:r>
          </w:p>
        </w:tc>
        <w:tc>
          <w:tcPr>
            <w:tcW w:w="540" w:type="dxa"/>
            <w:vAlign w:val="bottom"/>
            <w:shd w:val="clear" w:color="auto" w:fill="E5EAF5"/>
          </w:tcPr>
          <w:p>
            <w:pPr>
              <w:spacing w:after="0"/>
              <w:rPr>
                <w:sz w:val="15"/>
                <w:szCs w:val="15"/>
                <w:color w:val="auto"/>
              </w:rPr>
            </w:pPr>
          </w:p>
        </w:tc>
        <w:tc>
          <w:tcPr>
            <w:tcW w:w="620" w:type="dxa"/>
            <w:vAlign w:val="bottom"/>
            <w:shd w:val="clear" w:color="auto" w:fill="E5EAF5"/>
          </w:tcPr>
          <w:p>
            <w:pPr>
              <w:jc w:val="right"/>
              <w:ind w:right="152"/>
              <w:spacing w:after="0"/>
              <w:rPr>
                <w:sz w:val="20"/>
                <w:szCs w:val="20"/>
                <w:color w:val="auto"/>
              </w:rPr>
            </w:pPr>
            <w:r>
              <w:rPr>
                <w:rFonts w:ascii="Arial" w:cs="Arial" w:eastAsia="Arial" w:hAnsi="Arial"/>
                <w:sz w:val="14"/>
                <w:szCs w:val="14"/>
                <w:color w:val="auto"/>
              </w:rPr>
              <w:t>—</w:t>
            </w:r>
          </w:p>
        </w:tc>
        <w:tc>
          <w:tcPr>
            <w:tcW w:w="1340" w:type="dxa"/>
            <w:vAlign w:val="bottom"/>
            <w:shd w:val="clear" w:color="auto" w:fill="E5EAF5"/>
          </w:tcPr>
          <w:p>
            <w:pPr>
              <w:jc w:val="right"/>
              <w:ind w:right="153"/>
              <w:spacing w:after="0"/>
              <w:rPr>
                <w:sz w:val="20"/>
                <w:szCs w:val="20"/>
                <w:color w:val="auto"/>
              </w:rPr>
            </w:pPr>
            <w:r>
              <w:rPr>
                <w:rFonts w:ascii="Arial" w:cs="Arial" w:eastAsia="Arial" w:hAnsi="Arial"/>
                <w:sz w:val="14"/>
                <w:szCs w:val="14"/>
                <w:color w:val="auto"/>
              </w:rPr>
              <w:t>5,304,264</w:t>
            </w:r>
          </w:p>
        </w:tc>
        <w:tc>
          <w:tcPr>
            <w:tcW w:w="300" w:type="dxa"/>
            <w:vAlign w:val="bottom"/>
            <w:shd w:val="clear" w:color="auto" w:fill="E5EAF5"/>
          </w:tcPr>
          <w:p>
            <w:pPr>
              <w:spacing w:after="0"/>
              <w:rPr>
                <w:sz w:val="15"/>
                <w:szCs w:val="15"/>
                <w:color w:val="auto"/>
              </w:rPr>
            </w:pPr>
          </w:p>
        </w:tc>
        <w:tc>
          <w:tcPr>
            <w:tcW w:w="920" w:type="dxa"/>
            <w:vAlign w:val="bottom"/>
            <w:shd w:val="clear" w:color="auto" w:fill="E5EAF5"/>
          </w:tcPr>
          <w:p>
            <w:pPr>
              <w:jc w:val="right"/>
              <w:ind w:right="172"/>
              <w:spacing w:after="0"/>
              <w:rPr>
                <w:sz w:val="20"/>
                <w:szCs w:val="20"/>
                <w:color w:val="auto"/>
              </w:rPr>
            </w:pPr>
            <w:r>
              <w:rPr>
                <w:rFonts w:ascii="Arial" w:cs="Arial" w:eastAsia="Arial" w:hAnsi="Arial"/>
                <w:sz w:val="14"/>
                <w:szCs w:val="14"/>
                <w:color w:val="auto"/>
              </w:rPr>
              <w:t>7,688,089</w:t>
            </w:r>
          </w:p>
        </w:tc>
        <w:tc>
          <w:tcPr>
            <w:tcW w:w="300" w:type="dxa"/>
            <w:vAlign w:val="bottom"/>
            <w:shd w:val="clear" w:color="auto" w:fill="E5EAF5"/>
          </w:tcPr>
          <w:p>
            <w:pPr>
              <w:spacing w:after="0"/>
              <w:rPr>
                <w:sz w:val="15"/>
                <w:szCs w:val="15"/>
                <w:color w:val="auto"/>
              </w:rPr>
            </w:pPr>
          </w:p>
        </w:tc>
        <w:tc>
          <w:tcPr>
            <w:tcW w:w="740" w:type="dxa"/>
            <w:vAlign w:val="bottom"/>
            <w:shd w:val="clear" w:color="auto" w:fill="E5EAF5"/>
          </w:tcPr>
          <w:p>
            <w:pPr>
              <w:jc w:val="right"/>
              <w:spacing w:after="0"/>
              <w:rPr>
                <w:sz w:val="20"/>
                <w:szCs w:val="20"/>
                <w:color w:val="auto"/>
              </w:rPr>
            </w:pPr>
            <w:r>
              <w:rPr>
                <w:rFonts w:ascii="Arial" w:cs="Arial" w:eastAsia="Arial" w:hAnsi="Arial"/>
                <w:sz w:val="14"/>
                <w:szCs w:val="14"/>
                <w:color w:val="auto"/>
              </w:rPr>
              <w:t>6,953,923</w:t>
            </w:r>
          </w:p>
        </w:tc>
        <w:tc>
          <w:tcPr>
            <w:tcW w:w="0" w:type="dxa"/>
            <w:vAlign w:val="bottom"/>
          </w:tcPr>
          <w:p>
            <w:pPr>
              <w:spacing w:after="0"/>
              <w:rPr>
                <w:sz w:val="1"/>
                <w:szCs w:val="1"/>
                <w:color w:val="auto"/>
              </w:rPr>
            </w:pPr>
          </w:p>
        </w:tc>
      </w:tr>
      <w:tr>
        <w:trPr>
          <w:trHeight w:val="176"/>
        </w:trPr>
        <w:tc>
          <w:tcPr>
            <w:tcW w:w="1580" w:type="dxa"/>
            <w:vAlign w:val="bottom"/>
            <w:shd w:val="clear" w:color="auto" w:fill="E5EAF5"/>
          </w:tcPr>
          <w:p>
            <w:pPr>
              <w:spacing w:after="0"/>
              <w:rPr>
                <w:sz w:val="15"/>
                <w:szCs w:val="15"/>
                <w:color w:val="auto"/>
              </w:rPr>
            </w:pPr>
          </w:p>
        </w:tc>
        <w:tc>
          <w:tcPr>
            <w:tcW w:w="3340" w:type="dxa"/>
            <w:vAlign w:val="bottom"/>
            <w:shd w:val="clear" w:color="auto" w:fill="E5EAF5"/>
          </w:tcPr>
          <w:p>
            <w:pPr>
              <w:ind w:left="380"/>
              <w:spacing w:after="0"/>
              <w:rPr>
                <w:sz w:val="20"/>
                <w:szCs w:val="20"/>
                <w:color w:val="auto"/>
              </w:rPr>
            </w:pPr>
            <w:r>
              <w:rPr>
                <w:rFonts w:ascii="Arial" w:cs="Arial" w:eastAsia="Arial" w:hAnsi="Arial"/>
                <w:sz w:val="14"/>
                <w:szCs w:val="14"/>
                <w:color w:val="auto"/>
              </w:rPr>
              <w:t>Benefit Plans</w:t>
            </w:r>
          </w:p>
        </w:tc>
        <w:tc>
          <w:tcPr>
            <w:tcW w:w="720" w:type="dxa"/>
            <w:vAlign w:val="bottom"/>
            <w:shd w:val="clear" w:color="auto" w:fill="E5EAF5"/>
          </w:tcPr>
          <w:p>
            <w:pPr>
              <w:spacing w:after="0"/>
              <w:rPr>
                <w:sz w:val="15"/>
                <w:szCs w:val="15"/>
                <w:color w:val="auto"/>
              </w:rPr>
            </w:pPr>
          </w:p>
        </w:tc>
        <w:tc>
          <w:tcPr>
            <w:tcW w:w="620" w:type="dxa"/>
            <w:vAlign w:val="bottom"/>
            <w:shd w:val="clear" w:color="auto" w:fill="E5EAF5"/>
          </w:tcPr>
          <w:p>
            <w:pPr>
              <w:jc w:val="right"/>
              <w:ind w:right="152"/>
              <w:spacing w:after="0"/>
              <w:rPr>
                <w:sz w:val="20"/>
                <w:szCs w:val="20"/>
                <w:color w:val="auto"/>
              </w:rPr>
            </w:pPr>
            <w:r>
              <w:rPr>
                <w:rFonts w:ascii="Arial" w:cs="Arial" w:eastAsia="Arial" w:hAnsi="Arial"/>
                <w:sz w:val="14"/>
                <w:szCs w:val="14"/>
                <w:color w:val="auto"/>
              </w:rPr>
              <w:t>—</w:t>
            </w:r>
          </w:p>
        </w:tc>
        <w:tc>
          <w:tcPr>
            <w:tcW w:w="540" w:type="dxa"/>
            <w:vAlign w:val="bottom"/>
            <w:shd w:val="clear" w:color="auto" w:fill="E5EAF5"/>
          </w:tcPr>
          <w:p>
            <w:pPr>
              <w:spacing w:after="0"/>
              <w:rPr>
                <w:sz w:val="15"/>
                <w:szCs w:val="15"/>
                <w:color w:val="auto"/>
              </w:rPr>
            </w:pPr>
          </w:p>
        </w:tc>
        <w:tc>
          <w:tcPr>
            <w:tcW w:w="620" w:type="dxa"/>
            <w:vAlign w:val="bottom"/>
            <w:shd w:val="clear" w:color="auto" w:fill="E5EAF5"/>
          </w:tcPr>
          <w:p>
            <w:pPr>
              <w:jc w:val="right"/>
              <w:ind w:right="152"/>
              <w:spacing w:after="0"/>
              <w:rPr>
                <w:sz w:val="20"/>
                <w:szCs w:val="20"/>
                <w:color w:val="auto"/>
              </w:rPr>
            </w:pPr>
            <w:r>
              <w:rPr>
                <w:rFonts w:ascii="Arial" w:cs="Arial" w:eastAsia="Arial" w:hAnsi="Arial"/>
                <w:sz w:val="14"/>
                <w:szCs w:val="14"/>
                <w:color w:val="auto"/>
              </w:rPr>
              <w:t>—</w:t>
            </w:r>
          </w:p>
        </w:tc>
        <w:tc>
          <w:tcPr>
            <w:tcW w:w="1340" w:type="dxa"/>
            <w:vAlign w:val="bottom"/>
            <w:shd w:val="clear" w:color="auto" w:fill="E5EAF5"/>
          </w:tcPr>
          <w:p>
            <w:pPr>
              <w:jc w:val="right"/>
              <w:ind w:right="153"/>
              <w:spacing w:after="0"/>
              <w:rPr>
                <w:sz w:val="20"/>
                <w:szCs w:val="20"/>
                <w:color w:val="auto"/>
              </w:rPr>
            </w:pPr>
            <w:r>
              <w:rPr>
                <w:rFonts w:ascii="Arial" w:cs="Arial" w:eastAsia="Arial" w:hAnsi="Arial"/>
                <w:sz w:val="14"/>
                <w:szCs w:val="14"/>
                <w:color w:val="auto"/>
              </w:rPr>
              <w:t>—</w:t>
            </w:r>
          </w:p>
        </w:tc>
        <w:tc>
          <w:tcPr>
            <w:tcW w:w="300" w:type="dxa"/>
            <w:vAlign w:val="bottom"/>
            <w:shd w:val="clear" w:color="auto" w:fill="E5EAF5"/>
          </w:tcPr>
          <w:p>
            <w:pPr>
              <w:spacing w:after="0"/>
              <w:rPr>
                <w:sz w:val="15"/>
                <w:szCs w:val="15"/>
                <w:color w:val="auto"/>
              </w:rPr>
            </w:pPr>
          </w:p>
        </w:tc>
        <w:tc>
          <w:tcPr>
            <w:tcW w:w="920" w:type="dxa"/>
            <w:vAlign w:val="bottom"/>
            <w:shd w:val="clear" w:color="auto" w:fill="E5EAF5"/>
          </w:tcPr>
          <w:p>
            <w:pPr>
              <w:jc w:val="right"/>
              <w:ind w:right="172"/>
              <w:spacing w:after="0"/>
              <w:rPr>
                <w:sz w:val="20"/>
                <w:szCs w:val="20"/>
                <w:color w:val="auto"/>
              </w:rPr>
            </w:pPr>
            <w:r>
              <w:rPr>
                <w:rFonts w:ascii="Arial" w:cs="Arial" w:eastAsia="Arial" w:hAnsi="Arial"/>
                <w:sz w:val="14"/>
                <w:szCs w:val="14"/>
                <w:color w:val="auto"/>
              </w:rPr>
              <w:t>297,280</w:t>
            </w:r>
          </w:p>
        </w:tc>
        <w:tc>
          <w:tcPr>
            <w:tcW w:w="300" w:type="dxa"/>
            <w:vAlign w:val="bottom"/>
            <w:shd w:val="clear" w:color="auto" w:fill="E5EAF5"/>
          </w:tcPr>
          <w:p>
            <w:pPr>
              <w:spacing w:after="0"/>
              <w:rPr>
                <w:sz w:val="15"/>
                <w:szCs w:val="15"/>
                <w:color w:val="auto"/>
              </w:rPr>
            </w:pPr>
          </w:p>
        </w:tc>
        <w:tc>
          <w:tcPr>
            <w:tcW w:w="740" w:type="dxa"/>
            <w:vAlign w:val="bottom"/>
            <w:shd w:val="clear" w:color="auto" w:fill="E5EAF5"/>
          </w:tcPr>
          <w:p>
            <w:pPr>
              <w:jc w:val="right"/>
              <w:spacing w:after="0"/>
              <w:rPr>
                <w:sz w:val="20"/>
                <w:szCs w:val="20"/>
                <w:color w:val="auto"/>
              </w:rPr>
            </w:pPr>
            <w:r>
              <w:rPr>
                <w:rFonts w:ascii="Arial" w:cs="Arial" w:eastAsia="Arial" w:hAnsi="Arial"/>
                <w:sz w:val="14"/>
                <w:szCs w:val="14"/>
                <w:color w:val="auto"/>
              </w:rPr>
              <w:t>1,483,441</w:t>
            </w:r>
          </w:p>
        </w:tc>
        <w:tc>
          <w:tcPr>
            <w:tcW w:w="0" w:type="dxa"/>
            <w:vAlign w:val="bottom"/>
          </w:tcPr>
          <w:p>
            <w:pPr>
              <w:spacing w:after="0"/>
              <w:rPr>
                <w:sz w:val="1"/>
                <w:szCs w:val="1"/>
                <w:color w:val="auto"/>
              </w:rPr>
            </w:pPr>
          </w:p>
        </w:tc>
      </w:tr>
      <w:tr>
        <w:trPr>
          <w:trHeight w:val="176"/>
        </w:trPr>
        <w:tc>
          <w:tcPr>
            <w:tcW w:w="1580" w:type="dxa"/>
            <w:vAlign w:val="bottom"/>
            <w:tcBorders>
              <w:bottom w:val="single" w:sz="8" w:color="0033A0"/>
            </w:tcBorders>
            <w:shd w:val="clear" w:color="auto" w:fill="E5EAF5"/>
          </w:tcPr>
          <w:p>
            <w:pPr>
              <w:spacing w:after="0"/>
              <w:rPr>
                <w:sz w:val="15"/>
                <w:szCs w:val="15"/>
                <w:color w:val="auto"/>
              </w:rPr>
            </w:pPr>
          </w:p>
        </w:tc>
        <w:tc>
          <w:tcPr>
            <w:tcW w:w="3340" w:type="dxa"/>
            <w:vAlign w:val="bottom"/>
            <w:tcBorders>
              <w:bottom w:val="single" w:sz="8" w:color="0033A0"/>
            </w:tcBorders>
            <w:shd w:val="clear" w:color="auto" w:fill="E5EAF5"/>
          </w:tcPr>
          <w:p>
            <w:pPr>
              <w:ind w:left="380"/>
              <w:spacing w:after="0"/>
              <w:rPr>
                <w:sz w:val="20"/>
                <w:szCs w:val="20"/>
                <w:color w:val="auto"/>
              </w:rPr>
            </w:pPr>
            <w:r>
              <w:rPr>
                <w:rFonts w:ascii="Arial" w:cs="Arial" w:eastAsia="Arial" w:hAnsi="Arial"/>
                <w:sz w:val="14"/>
                <w:szCs w:val="14"/>
                <w:color w:val="auto"/>
              </w:rPr>
              <w:t>Outplacement Services and Other Benefits</w:t>
            </w:r>
          </w:p>
        </w:tc>
        <w:tc>
          <w:tcPr>
            <w:tcW w:w="720" w:type="dxa"/>
            <w:vAlign w:val="bottom"/>
            <w:tcBorders>
              <w:bottom w:val="single" w:sz="8" w:color="0033A0"/>
            </w:tcBorders>
            <w:shd w:val="clear" w:color="auto" w:fill="E5EAF5"/>
          </w:tcPr>
          <w:p>
            <w:pPr>
              <w:spacing w:after="0"/>
              <w:rPr>
                <w:sz w:val="15"/>
                <w:szCs w:val="15"/>
                <w:color w:val="auto"/>
              </w:rPr>
            </w:pPr>
          </w:p>
        </w:tc>
        <w:tc>
          <w:tcPr>
            <w:tcW w:w="620" w:type="dxa"/>
            <w:vAlign w:val="bottom"/>
            <w:tcBorders>
              <w:bottom w:val="single" w:sz="8" w:color="0033A0"/>
            </w:tcBorders>
            <w:shd w:val="clear" w:color="auto" w:fill="E5EAF5"/>
          </w:tcPr>
          <w:p>
            <w:pPr>
              <w:jc w:val="right"/>
              <w:ind w:right="152"/>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0033A0"/>
            </w:tcBorders>
            <w:shd w:val="clear" w:color="auto" w:fill="E5EAF5"/>
          </w:tcPr>
          <w:p>
            <w:pPr>
              <w:spacing w:after="0"/>
              <w:rPr>
                <w:sz w:val="15"/>
                <w:szCs w:val="15"/>
                <w:color w:val="auto"/>
              </w:rPr>
            </w:pPr>
          </w:p>
        </w:tc>
        <w:tc>
          <w:tcPr>
            <w:tcW w:w="620" w:type="dxa"/>
            <w:vAlign w:val="bottom"/>
            <w:tcBorders>
              <w:bottom w:val="single" w:sz="8" w:color="0033A0"/>
            </w:tcBorders>
            <w:shd w:val="clear" w:color="auto" w:fill="E5EAF5"/>
          </w:tcPr>
          <w:p>
            <w:pPr>
              <w:jc w:val="right"/>
              <w:ind w:right="152"/>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0033A0"/>
            </w:tcBorders>
            <w:shd w:val="clear" w:color="auto" w:fill="E5EAF5"/>
          </w:tcPr>
          <w:p>
            <w:pPr>
              <w:jc w:val="right"/>
              <w:ind w:right="153"/>
              <w:spacing w:after="0"/>
              <w:rPr>
                <w:sz w:val="20"/>
                <w:szCs w:val="20"/>
                <w:color w:val="auto"/>
              </w:rPr>
            </w:pPr>
            <w:r>
              <w:rPr>
                <w:rFonts w:ascii="Arial" w:cs="Arial" w:eastAsia="Arial" w:hAnsi="Arial"/>
                <w:sz w:val="14"/>
                <w:szCs w:val="14"/>
                <w:color w:val="auto"/>
              </w:rPr>
              <w:t>22,758</w:t>
            </w:r>
          </w:p>
        </w:tc>
        <w:tc>
          <w:tcPr>
            <w:tcW w:w="300" w:type="dxa"/>
            <w:vAlign w:val="bottom"/>
            <w:tcBorders>
              <w:bottom w:val="single" w:sz="8" w:color="0033A0"/>
            </w:tcBorders>
            <w:shd w:val="clear" w:color="auto" w:fill="E5EAF5"/>
          </w:tcPr>
          <w:p>
            <w:pPr>
              <w:spacing w:after="0"/>
              <w:rPr>
                <w:sz w:val="15"/>
                <w:szCs w:val="15"/>
                <w:color w:val="auto"/>
              </w:rPr>
            </w:pPr>
          </w:p>
        </w:tc>
        <w:tc>
          <w:tcPr>
            <w:tcW w:w="920" w:type="dxa"/>
            <w:vAlign w:val="bottom"/>
            <w:tcBorders>
              <w:bottom w:val="single" w:sz="8" w:color="0033A0"/>
            </w:tcBorders>
            <w:shd w:val="clear" w:color="auto" w:fill="E5EAF5"/>
          </w:tcPr>
          <w:p>
            <w:pPr>
              <w:jc w:val="right"/>
              <w:ind w:right="172"/>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0033A0"/>
            </w:tcBorders>
            <w:shd w:val="clear" w:color="auto" w:fill="E5EAF5"/>
          </w:tcPr>
          <w:p>
            <w:pPr>
              <w:spacing w:after="0"/>
              <w:rPr>
                <w:sz w:val="15"/>
                <w:szCs w:val="15"/>
                <w:color w:val="auto"/>
              </w:rPr>
            </w:pPr>
          </w:p>
        </w:tc>
        <w:tc>
          <w:tcPr>
            <w:tcW w:w="740" w:type="dxa"/>
            <w:vAlign w:val="bottom"/>
            <w:tcBorders>
              <w:bottom w:val="single" w:sz="8" w:color="0033A0"/>
            </w:tcBorders>
            <w:shd w:val="clear" w:color="auto" w:fill="E5EAF5"/>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1580" w:type="dxa"/>
            <w:vAlign w:val="bottom"/>
            <w:tcBorders>
              <w:bottom w:val="single" w:sz="8" w:color="0033A0"/>
            </w:tcBorders>
            <w:shd w:val="clear" w:color="auto" w:fill="E5EAF5"/>
          </w:tcPr>
          <w:p>
            <w:pPr>
              <w:spacing w:after="0"/>
              <w:rPr>
                <w:sz w:val="14"/>
                <w:szCs w:val="14"/>
                <w:color w:val="auto"/>
              </w:rPr>
            </w:pPr>
          </w:p>
        </w:tc>
        <w:tc>
          <w:tcPr>
            <w:tcW w:w="3340" w:type="dxa"/>
            <w:vAlign w:val="bottom"/>
            <w:tcBorders>
              <w:bottom w:val="single" w:sz="8" w:color="0033A0"/>
            </w:tcBorders>
            <w:shd w:val="clear" w:color="auto" w:fill="E5EAF5"/>
          </w:tcPr>
          <w:p>
            <w:pPr>
              <w:ind w:left="380"/>
              <w:spacing w:after="0" w:line="155" w:lineRule="exact"/>
              <w:rPr>
                <w:sz w:val="20"/>
                <w:szCs w:val="20"/>
                <w:color w:val="auto"/>
              </w:rPr>
            </w:pPr>
            <w:r>
              <w:rPr>
                <w:rFonts w:ascii="Arial" w:cs="Arial" w:eastAsia="Arial" w:hAnsi="Arial"/>
                <w:sz w:val="14"/>
                <w:szCs w:val="14"/>
                <w:color w:val="auto"/>
              </w:rPr>
              <w:t>Total</w:t>
            </w:r>
          </w:p>
        </w:tc>
        <w:tc>
          <w:tcPr>
            <w:tcW w:w="720" w:type="dxa"/>
            <w:vAlign w:val="bottom"/>
            <w:tcBorders>
              <w:bottom w:val="single" w:sz="8" w:color="0033A0"/>
            </w:tcBorders>
            <w:shd w:val="clear" w:color="auto" w:fill="E5EAF5"/>
          </w:tcPr>
          <w:p>
            <w:pPr>
              <w:spacing w:after="0"/>
              <w:rPr>
                <w:sz w:val="14"/>
                <w:szCs w:val="14"/>
                <w:color w:val="auto"/>
              </w:rPr>
            </w:pPr>
          </w:p>
        </w:tc>
        <w:tc>
          <w:tcPr>
            <w:tcW w:w="620" w:type="dxa"/>
            <w:vAlign w:val="bottom"/>
            <w:tcBorders>
              <w:bottom w:val="single" w:sz="8" w:color="0033A0"/>
            </w:tcBorders>
            <w:shd w:val="clear" w:color="auto" w:fill="E5EAF5"/>
          </w:tcPr>
          <w:p>
            <w:pPr>
              <w:jc w:val="right"/>
              <w:ind w:right="152"/>
              <w:spacing w:after="0" w:line="155" w:lineRule="exact"/>
              <w:rPr>
                <w:sz w:val="20"/>
                <w:szCs w:val="20"/>
                <w:color w:val="auto"/>
              </w:rPr>
            </w:pPr>
            <w:r>
              <w:rPr>
                <w:rFonts w:ascii="Arial" w:cs="Arial" w:eastAsia="Arial" w:hAnsi="Arial"/>
                <w:sz w:val="14"/>
                <w:szCs w:val="14"/>
                <w:color w:val="auto"/>
              </w:rPr>
              <w:t>—</w:t>
            </w:r>
          </w:p>
        </w:tc>
        <w:tc>
          <w:tcPr>
            <w:tcW w:w="540" w:type="dxa"/>
            <w:vAlign w:val="bottom"/>
            <w:tcBorders>
              <w:bottom w:val="single" w:sz="8" w:color="0033A0"/>
            </w:tcBorders>
            <w:shd w:val="clear" w:color="auto" w:fill="E5EAF5"/>
          </w:tcPr>
          <w:p>
            <w:pPr>
              <w:spacing w:after="0"/>
              <w:rPr>
                <w:sz w:val="14"/>
                <w:szCs w:val="14"/>
                <w:color w:val="auto"/>
              </w:rPr>
            </w:pPr>
          </w:p>
        </w:tc>
        <w:tc>
          <w:tcPr>
            <w:tcW w:w="620" w:type="dxa"/>
            <w:vAlign w:val="bottom"/>
            <w:tcBorders>
              <w:bottom w:val="single" w:sz="8" w:color="0033A0"/>
            </w:tcBorders>
            <w:shd w:val="clear" w:color="auto" w:fill="E5EAF5"/>
          </w:tcPr>
          <w:p>
            <w:pPr>
              <w:jc w:val="right"/>
              <w:ind w:right="152"/>
              <w:spacing w:after="0" w:line="155" w:lineRule="exact"/>
              <w:rPr>
                <w:sz w:val="20"/>
                <w:szCs w:val="20"/>
                <w:color w:val="auto"/>
              </w:rPr>
            </w:pPr>
            <w:r>
              <w:rPr>
                <w:rFonts w:ascii="Arial" w:cs="Arial" w:eastAsia="Arial" w:hAnsi="Arial"/>
                <w:sz w:val="14"/>
                <w:szCs w:val="14"/>
                <w:color w:val="auto"/>
              </w:rPr>
              <w:t>—</w:t>
            </w:r>
          </w:p>
        </w:tc>
        <w:tc>
          <w:tcPr>
            <w:tcW w:w="1340" w:type="dxa"/>
            <w:vAlign w:val="bottom"/>
            <w:tcBorders>
              <w:bottom w:val="single" w:sz="8" w:color="0033A0"/>
            </w:tcBorders>
            <w:shd w:val="clear" w:color="auto" w:fill="E5EAF5"/>
          </w:tcPr>
          <w:p>
            <w:pPr>
              <w:jc w:val="right"/>
              <w:ind w:right="153"/>
              <w:spacing w:after="0" w:line="155" w:lineRule="exact"/>
              <w:rPr>
                <w:sz w:val="20"/>
                <w:szCs w:val="20"/>
                <w:color w:val="auto"/>
              </w:rPr>
            </w:pPr>
            <w:r>
              <w:rPr>
                <w:rFonts w:ascii="Arial" w:cs="Arial" w:eastAsia="Arial" w:hAnsi="Arial"/>
                <w:sz w:val="14"/>
                <w:szCs w:val="14"/>
                <w:color w:val="auto"/>
              </w:rPr>
              <w:t>7,063,557</w:t>
            </w:r>
          </w:p>
        </w:tc>
        <w:tc>
          <w:tcPr>
            <w:tcW w:w="300" w:type="dxa"/>
            <w:vAlign w:val="bottom"/>
            <w:tcBorders>
              <w:bottom w:val="single" w:sz="8" w:color="0033A0"/>
            </w:tcBorders>
            <w:shd w:val="clear" w:color="auto" w:fill="E5EAF5"/>
          </w:tcPr>
          <w:p>
            <w:pPr>
              <w:spacing w:after="0"/>
              <w:rPr>
                <w:sz w:val="14"/>
                <w:szCs w:val="14"/>
                <w:color w:val="auto"/>
              </w:rPr>
            </w:pPr>
          </w:p>
        </w:tc>
        <w:tc>
          <w:tcPr>
            <w:tcW w:w="920" w:type="dxa"/>
            <w:vAlign w:val="bottom"/>
            <w:tcBorders>
              <w:bottom w:val="single" w:sz="8" w:color="0033A0"/>
            </w:tcBorders>
            <w:shd w:val="clear" w:color="auto" w:fill="E5EAF5"/>
          </w:tcPr>
          <w:p>
            <w:pPr>
              <w:jc w:val="right"/>
              <w:ind w:right="172"/>
              <w:spacing w:after="0" w:line="155" w:lineRule="exact"/>
              <w:rPr>
                <w:sz w:val="20"/>
                <w:szCs w:val="20"/>
                <w:color w:val="auto"/>
              </w:rPr>
            </w:pPr>
            <w:r>
              <w:rPr>
                <w:rFonts w:ascii="Arial" w:cs="Arial" w:eastAsia="Arial" w:hAnsi="Arial"/>
                <w:sz w:val="14"/>
                <w:szCs w:val="14"/>
                <w:color w:val="auto"/>
              </w:rPr>
              <w:t>7,985,369</w:t>
            </w:r>
          </w:p>
        </w:tc>
        <w:tc>
          <w:tcPr>
            <w:tcW w:w="300" w:type="dxa"/>
            <w:vAlign w:val="bottom"/>
            <w:tcBorders>
              <w:bottom w:val="single" w:sz="8" w:color="0033A0"/>
            </w:tcBorders>
            <w:shd w:val="clear" w:color="auto" w:fill="E5EAF5"/>
          </w:tcPr>
          <w:p>
            <w:pPr>
              <w:spacing w:after="0"/>
              <w:rPr>
                <w:sz w:val="14"/>
                <w:szCs w:val="14"/>
                <w:color w:val="auto"/>
              </w:rPr>
            </w:pPr>
          </w:p>
        </w:tc>
        <w:tc>
          <w:tcPr>
            <w:tcW w:w="740" w:type="dxa"/>
            <w:vAlign w:val="bottom"/>
            <w:tcBorders>
              <w:bottom w:val="single" w:sz="8" w:color="0033A0"/>
            </w:tcBorders>
            <w:shd w:val="clear" w:color="auto" w:fill="E5EAF5"/>
          </w:tcPr>
          <w:p>
            <w:pPr>
              <w:jc w:val="right"/>
              <w:spacing w:after="0" w:line="155" w:lineRule="exact"/>
              <w:rPr>
                <w:sz w:val="20"/>
                <w:szCs w:val="20"/>
                <w:color w:val="auto"/>
              </w:rPr>
            </w:pPr>
            <w:r>
              <w:rPr>
                <w:rFonts w:ascii="Arial" w:cs="Arial" w:eastAsia="Arial" w:hAnsi="Arial"/>
                <w:sz w:val="14"/>
                <w:szCs w:val="14"/>
                <w:color w:val="auto"/>
              </w:rPr>
              <w:t>8,437,364</w:t>
            </w:r>
          </w:p>
        </w:tc>
        <w:tc>
          <w:tcPr>
            <w:tcW w:w="0" w:type="dxa"/>
            <w:vAlign w:val="bottom"/>
          </w:tcPr>
          <w:p>
            <w:pPr>
              <w:spacing w:after="0"/>
              <w:rPr>
                <w:sz w:val="1"/>
                <w:szCs w:val="1"/>
                <w:color w:val="auto"/>
              </w:rPr>
            </w:pPr>
          </w:p>
        </w:tc>
      </w:tr>
      <w:tr>
        <w:trPr>
          <w:trHeight w:val="153"/>
        </w:trPr>
        <w:tc>
          <w:tcPr>
            <w:tcW w:w="1580" w:type="dxa"/>
            <w:vAlign w:val="bottom"/>
          </w:tcPr>
          <w:p>
            <w:pPr>
              <w:ind w:left="60"/>
              <w:spacing w:after="0" w:line="153" w:lineRule="exact"/>
              <w:rPr>
                <w:sz w:val="20"/>
                <w:szCs w:val="20"/>
                <w:color w:val="auto"/>
              </w:rPr>
            </w:pPr>
            <w:r>
              <w:rPr>
                <w:rFonts w:ascii="Arial" w:cs="Arial" w:eastAsia="Arial" w:hAnsi="Arial"/>
                <w:sz w:val="14"/>
                <w:szCs w:val="14"/>
                <w:color w:val="auto"/>
              </w:rPr>
              <w:t>McAlister C. Marshall, II</w:t>
            </w:r>
          </w:p>
        </w:tc>
        <w:tc>
          <w:tcPr>
            <w:tcW w:w="3340" w:type="dxa"/>
            <w:vAlign w:val="bottom"/>
            <w:vMerge w:val="restart"/>
          </w:tcPr>
          <w:p>
            <w:pPr>
              <w:ind w:left="380"/>
              <w:spacing w:after="0"/>
              <w:rPr>
                <w:sz w:val="20"/>
                <w:szCs w:val="20"/>
                <w:color w:val="auto"/>
              </w:rPr>
            </w:pPr>
            <w:r>
              <w:rPr>
                <w:rFonts w:ascii="Arial" w:cs="Arial" w:eastAsia="Arial" w:hAnsi="Arial"/>
                <w:sz w:val="14"/>
                <w:szCs w:val="14"/>
                <w:color w:val="auto"/>
              </w:rPr>
              <w:t>Prorated Annual Bonus</w:t>
            </w:r>
          </w:p>
        </w:tc>
        <w:tc>
          <w:tcPr>
            <w:tcW w:w="720" w:type="dxa"/>
            <w:vAlign w:val="bottom"/>
          </w:tcPr>
          <w:p>
            <w:pPr>
              <w:spacing w:after="0"/>
              <w:rPr>
                <w:sz w:val="13"/>
                <w:szCs w:val="13"/>
                <w:color w:val="auto"/>
              </w:rPr>
            </w:pPr>
          </w:p>
        </w:tc>
        <w:tc>
          <w:tcPr>
            <w:tcW w:w="620" w:type="dxa"/>
            <w:vAlign w:val="bottom"/>
            <w:vMerge w:val="restart"/>
          </w:tcPr>
          <w:p>
            <w:pPr>
              <w:jc w:val="right"/>
              <w:ind w:right="152"/>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3"/>
                <w:szCs w:val="13"/>
                <w:color w:val="auto"/>
              </w:rPr>
            </w:pPr>
          </w:p>
        </w:tc>
        <w:tc>
          <w:tcPr>
            <w:tcW w:w="620" w:type="dxa"/>
            <w:vAlign w:val="bottom"/>
            <w:vMerge w:val="restart"/>
          </w:tcPr>
          <w:p>
            <w:pPr>
              <w:jc w:val="right"/>
              <w:ind w:right="152"/>
              <w:spacing w:after="0"/>
              <w:rPr>
                <w:sz w:val="20"/>
                <w:szCs w:val="20"/>
                <w:color w:val="auto"/>
              </w:rPr>
            </w:pPr>
            <w:r>
              <w:rPr>
                <w:rFonts w:ascii="Arial" w:cs="Arial" w:eastAsia="Arial" w:hAnsi="Arial"/>
                <w:sz w:val="14"/>
                <w:szCs w:val="14"/>
                <w:color w:val="auto"/>
              </w:rPr>
              <w:t>—</w:t>
            </w:r>
          </w:p>
        </w:tc>
        <w:tc>
          <w:tcPr>
            <w:tcW w:w="1340" w:type="dxa"/>
            <w:vAlign w:val="bottom"/>
            <w:vMerge w:val="restart"/>
          </w:tcPr>
          <w:p>
            <w:pPr>
              <w:jc w:val="right"/>
              <w:ind w:right="153"/>
              <w:spacing w:after="0"/>
              <w:rPr>
                <w:sz w:val="20"/>
                <w:szCs w:val="20"/>
                <w:color w:val="auto"/>
              </w:rPr>
            </w:pPr>
            <w:r>
              <w:rPr>
                <w:rFonts w:ascii="Arial" w:cs="Arial" w:eastAsia="Arial" w:hAnsi="Arial"/>
                <w:sz w:val="14"/>
                <w:szCs w:val="14"/>
                <w:color w:val="auto"/>
              </w:rPr>
              <w:t>387,855</w:t>
            </w:r>
          </w:p>
        </w:tc>
        <w:tc>
          <w:tcPr>
            <w:tcW w:w="300" w:type="dxa"/>
            <w:vAlign w:val="bottom"/>
          </w:tcPr>
          <w:p>
            <w:pPr>
              <w:spacing w:after="0"/>
              <w:rPr>
                <w:sz w:val="13"/>
                <w:szCs w:val="13"/>
                <w:color w:val="auto"/>
              </w:rPr>
            </w:pPr>
          </w:p>
        </w:tc>
        <w:tc>
          <w:tcPr>
            <w:tcW w:w="920" w:type="dxa"/>
            <w:vAlign w:val="bottom"/>
            <w:vMerge w:val="restart"/>
          </w:tcPr>
          <w:p>
            <w:pPr>
              <w:jc w:val="right"/>
              <w:ind w:right="172"/>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4"/>
        </w:trPr>
        <w:tc>
          <w:tcPr>
            <w:tcW w:w="1580" w:type="dxa"/>
            <w:vAlign w:val="bottom"/>
          </w:tcPr>
          <w:p>
            <w:pPr>
              <w:ind w:left="60"/>
              <w:spacing w:after="0"/>
              <w:rPr>
                <w:sz w:val="20"/>
                <w:szCs w:val="20"/>
                <w:color w:val="auto"/>
              </w:rPr>
            </w:pPr>
            <w:r>
              <w:rPr>
                <w:rFonts w:ascii="Arial" w:cs="Arial" w:eastAsia="Arial" w:hAnsi="Arial"/>
                <w:sz w:val="11"/>
                <w:szCs w:val="11"/>
                <w:color w:val="auto"/>
              </w:rPr>
              <w:t>(1)</w:t>
            </w:r>
          </w:p>
        </w:tc>
        <w:tc>
          <w:tcPr>
            <w:tcW w:w="334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3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580" w:type="dxa"/>
            <w:vAlign w:val="bottom"/>
          </w:tcPr>
          <w:p>
            <w:pPr>
              <w:spacing w:after="0"/>
              <w:rPr>
                <w:sz w:val="15"/>
                <w:szCs w:val="15"/>
                <w:color w:val="auto"/>
              </w:rPr>
            </w:pPr>
          </w:p>
        </w:tc>
        <w:tc>
          <w:tcPr>
            <w:tcW w:w="3340" w:type="dxa"/>
            <w:vAlign w:val="bottom"/>
          </w:tcPr>
          <w:p>
            <w:pPr>
              <w:ind w:left="380"/>
              <w:spacing w:after="0"/>
              <w:rPr>
                <w:sz w:val="20"/>
                <w:szCs w:val="20"/>
                <w:color w:val="auto"/>
              </w:rPr>
            </w:pPr>
            <w:r>
              <w:rPr>
                <w:rFonts w:ascii="Arial" w:cs="Arial" w:eastAsia="Arial" w:hAnsi="Arial"/>
                <w:sz w:val="14"/>
                <w:szCs w:val="14"/>
                <w:color w:val="auto"/>
              </w:rPr>
              <w:t>Base Salary and Bonus</w:t>
            </w:r>
          </w:p>
        </w:tc>
        <w:tc>
          <w:tcPr>
            <w:tcW w:w="720" w:type="dxa"/>
            <w:vAlign w:val="bottom"/>
          </w:tcPr>
          <w:p>
            <w:pPr>
              <w:spacing w:after="0"/>
              <w:rPr>
                <w:sz w:val="15"/>
                <w:szCs w:val="15"/>
                <w:color w:val="auto"/>
              </w:rPr>
            </w:pPr>
          </w:p>
        </w:tc>
        <w:tc>
          <w:tcPr>
            <w:tcW w:w="62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5"/>
                <w:szCs w:val="15"/>
                <w:color w:val="auto"/>
              </w:rPr>
            </w:pPr>
          </w:p>
        </w:tc>
        <w:tc>
          <w:tcPr>
            <w:tcW w:w="62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153"/>
              <w:spacing w:after="0"/>
              <w:rPr>
                <w:sz w:val="20"/>
                <w:szCs w:val="20"/>
                <w:color w:val="auto"/>
              </w:rPr>
            </w:pPr>
            <w:r>
              <w:rPr>
                <w:rFonts w:ascii="Arial" w:cs="Arial" w:eastAsia="Arial" w:hAnsi="Arial"/>
                <w:sz w:val="14"/>
                <w:szCs w:val="14"/>
                <w:color w:val="auto"/>
              </w:rPr>
              <w:t>841,500</w:t>
            </w:r>
          </w:p>
        </w:tc>
        <w:tc>
          <w:tcPr>
            <w:tcW w:w="300" w:type="dxa"/>
            <w:vAlign w:val="bottom"/>
          </w:tcPr>
          <w:p>
            <w:pPr>
              <w:spacing w:after="0"/>
              <w:rPr>
                <w:sz w:val="15"/>
                <w:szCs w:val="15"/>
                <w:color w:val="auto"/>
              </w:rPr>
            </w:pPr>
          </w:p>
        </w:tc>
        <w:tc>
          <w:tcPr>
            <w:tcW w:w="920" w:type="dxa"/>
            <w:vAlign w:val="bottom"/>
          </w:tcPr>
          <w:p>
            <w:pPr>
              <w:jc w:val="right"/>
              <w:ind w:right="172"/>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1580" w:type="dxa"/>
            <w:vAlign w:val="bottom"/>
          </w:tcPr>
          <w:p>
            <w:pPr>
              <w:spacing w:after="0"/>
              <w:rPr>
                <w:sz w:val="15"/>
                <w:szCs w:val="15"/>
                <w:color w:val="auto"/>
              </w:rPr>
            </w:pPr>
          </w:p>
        </w:tc>
        <w:tc>
          <w:tcPr>
            <w:tcW w:w="3340" w:type="dxa"/>
            <w:vAlign w:val="bottom"/>
          </w:tcPr>
          <w:p>
            <w:pPr>
              <w:ind w:left="380"/>
              <w:spacing w:after="0"/>
              <w:rPr>
                <w:sz w:val="20"/>
                <w:szCs w:val="20"/>
                <w:color w:val="auto"/>
              </w:rPr>
            </w:pPr>
            <w:r>
              <w:rPr>
                <w:rFonts w:ascii="Arial" w:cs="Arial" w:eastAsia="Arial" w:hAnsi="Arial"/>
                <w:sz w:val="14"/>
                <w:szCs w:val="14"/>
                <w:color w:val="auto"/>
              </w:rPr>
              <w:t xml:space="preserve">Long Term Incentive </w:t>
            </w:r>
            <w:r>
              <w:rPr>
                <w:rFonts w:ascii="Arial" w:cs="Arial" w:eastAsia="Arial" w:hAnsi="Arial"/>
                <w:sz w:val="11"/>
                <w:szCs w:val="11"/>
                <w:color w:val="auto"/>
              </w:rPr>
              <w:t>(4)</w:t>
            </w:r>
          </w:p>
        </w:tc>
        <w:tc>
          <w:tcPr>
            <w:tcW w:w="720" w:type="dxa"/>
            <w:vAlign w:val="bottom"/>
          </w:tcPr>
          <w:p>
            <w:pPr>
              <w:spacing w:after="0"/>
              <w:rPr>
                <w:sz w:val="15"/>
                <w:szCs w:val="15"/>
                <w:color w:val="auto"/>
              </w:rPr>
            </w:pPr>
          </w:p>
        </w:tc>
        <w:tc>
          <w:tcPr>
            <w:tcW w:w="62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5"/>
                <w:szCs w:val="15"/>
                <w:color w:val="auto"/>
              </w:rPr>
            </w:pPr>
          </w:p>
        </w:tc>
        <w:tc>
          <w:tcPr>
            <w:tcW w:w="62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153"/>
              <w:spacing w:after="0"/>
              <w:rPr>
                <w:sz w:val="20"/>
                <w:szCs w:val="20"/>
                <w:color w:val="auto"/>
              </w:rPr>
            </w:pPr>
            <w:r>
              <w:rPr>
                <w:rFonts w:ascii="Arial" w:cs="Arial" w:eastAsia="Arial" w:hAnsi="Arial"/>
                <w:sz w:val="14"/>
                <w:szCs w:val="14"/>
                <w:color w:val="auto"/>
              </w:rPr>
              <w:t>1,111,721</w:t>
            </w:r>
          </w:p>
        </w:tc>
        <w:tc>
          <w:tcPr>
            <w:tcW w:w="300" w:type="dxa"/>
            <w:vAlign w:val="bottom"/>
          </w:tcPr>
          <w:p>
            <w:pPr>
              <w:spacing w:after="0"/>
              <w:rPr>
                <w:sz w:val="15"/>
                <w:szCs w:val="15"/>
                <w:color w:val="auto"/>
              </w:rPr>
            </w:pPr>
          </w:p>
        </w:tc>
        <w:tc>
          <w:tcPr>
            <w:tcW w:w="920" w:type="dxa"/>
            <w:vAlign w:val="bottom"/>
          </w:tcPr>
          <w:p>
            <w:pPr>
              <w:jc w:val="right"/>
              <w:ind w:right="172"/>
              <w:spacing w:after="0"/>
              <w:rPr>
                <w:sz w:val="20"/>
                <w:szCs w:val="20"/>
                <w:color w:val="auto"/>
              </w:rPr>
            </w:pPr>
            <w:r>
              <w:rPr>
                <w:rFonts w:ascii="Arial" w:cs="Arial" w:eastAsia="Arial" w:hAnsi="Arial"/>
                <w:sz w:val="14"/>
                <w:szCs w:val="14"/>
                <w:color w:val="auto"/>
              </w:rPr>
              <w:t>2,944,854</w:t>
            </w:r>
          </w:p>
        </w:tc>
        <w:tc>
          <w:tcPr>
            <w:tcW w:w="3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2,507,368</w:t>
            </w:r>
          </w:p>
        </w:tc>
        <w:tc>
          <w:tcPr>
            <w:tcW w:w="0" w:type="dxa"/>
            <w:vAlign w:val="bottom"/>
          </w:tcPr>
          <w:p>
            <w:pPr>
              <w:spacing w:after="0"/>
              <w:rPr>
                <w:sz w:val="1"/>
                <w:szCs w:val="1"/>
                <w:color w:val="auto"/>
              </w:rPr>
            </w:pPr>
          </w:p>
        </w:tc>
      </w:tr>
      <w:tr>
        <w:trPr>
          <w:trHeight w:val="176"/>
        </w:trPr>
        <w:tc>
          <w:tcPr>
            <w:tcW w:w="1580" w:type="dxa"/>
            <w:vAlign w:val="bottom"/>
          </w:tcPr>
          <w:p>
            <w:pPr>
              <w:spacing w:after="0"/>
              <w:rPr>
                <w:sz w:val="15"/>
                <w:szCs w:val="15"/>
                <w:color w:val="auto"/>
              </w:rPr>
            </w:pPr>
          </w:p>
        </w:tc>
        <w:tc>
          <w:tcPr>
            <w:tcW w:w="3340" w:type="dxa"/>
            <w:vAlign w:val="bottom"/>
          </w:tcPr>
          <w:p>
            <w:pPr>
              <w:ind w:left="380"/>
              <w:spacing w:after="0"/>
              <w:rPr>
                <w:sz w:val="20"/>
                <w:szCs w:val="20"/>
                <w:color w:val="auto"/>
              </w:rPr>
            </w:pPr>
            <w:r>
              <w:rPr>
                <w:rFonts w:ascii="Arial" w:cs="Arial" w:eastAsia="Arial" w:hAnsi="Arial"/>
                <w:sz w:val="14"/>
                <w:szCs w:val="14"/>
                <w:color w:val="auto"/>
              </w:rPr>
              <w:t>Benefit Plans</w:t>
            </w:r>
          </w:p>
        </w:tc>
        <w:tc>
          <w:tcPr>
            <w:tcW w:w="720" w:type="dxa"/>
            <w:vAlign w:val="bottom"/>
          </w:tcPr>
          <w:p>
            <w:pPr>
              <w:spacing w:after="0"/>
              <w:rPr>
                <w:sz w:val="15"/>
                <w:szCs w:val="15"/>
                <w:color w:val="auto"/>
              </w:rPr>
            </w:pPr>
          </w:p>
        </w:tc>
        <w:tc>
          <w:tcPr>
            <w:tcW w:w="62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5"/>
                <w:szCs w:val="15"/>
                <w:color w:val="auto"/>
              </w:rPr>
            </w:pPr>
          </w:p>
        </w:tc>
        <w:tc>
          <w:tcPr>
            <w:tcW w:w="62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153"/>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920" w:type="dxa"/>
            <w:vAlign w:val="bottom"/>
          </w:tcPr>
          <w:p>
            <w:pPr>
              <w:jc w:val="right"/>
              <w:ind w:right="172"/>
              <w:spacing w:after="0"/>
              <w:rPr>
                <w:sz w:val="20"/>
                <w:szCs w:val="20"/>
                <w:color w:val="auto"/>
              </w:rPr>
            </w:pPr>
            <w:r>
              <w:rPr>
                <w:rFonts w:ascii="Arial" w:cs="Arial" w:eastAsia="Arial" w:hAnsi="Arial"/>
                <w:sz w:val="14"/>
                <w:szCs w:val="14"/>
                <w:color w:val="auto"/>
              </w:rPr>
              <w:t>252,688</w:t>
            </w:r>
          </w:p>
        </w:tc>
        <w:tc>
          <w:tcPr>
            <w:tcW w:w="3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1,194,951</w:t>
            </w:r>
          </w:p>
        </w:tc>
        <w:tc>
          <w:tcPr>
            <w:tcW w:w="0" w:type="dxa"/>
            <w:vAlign w:val="bottom"/>
          </w:tcPr>
          <w:p>
            <w:pPr>
              <w:spacing w:after="0"/>
              <w:rPr>
                <w:sz w:val="1"/>
                <w:szCs w:val="1"/>
                <w:color w:val="auto"/>
              </w:rPr>
            </w:pPr>
          </w:p>
        </w:tc>
      </w:tr>
      <w:tr>
        <w:trPr>
          <w:trHeight w:val="163"/>
        </w:trPr>
        <w:tc>
          <w:tcPr>
            <w:tcW w:w="1580" w:type="dxa"/>
            <w:vAlign w:val="bottom"/>
            <w:tcBorders>
              <w:bottom w:val="single" w:sz="8" w:color="0033A0"/>
            </w:tcBorders>
          </w:tcPr>
          <w:p>
            <w:pPr>
              <w:spacing w:after="0"/>
              <w:rPr>
                <w:sz w:val="14"/>
                <w:szCs w:val="14"/>
                <w:color w:val="auto"/>
              </w:rPr>
            </w:pPr>
          </w:p>
        </w:tc>
        <w:tc>
          <w:tcPr>
            <w:tcW w:w="3340" w:type="dxa"/>
            <w:vAlign w:val="bottom"/>
            <w:tcBorders>
              <w:bottom w:val="single" w:sz="8" w:color="0033A0"/>
            </w:tcBorders>
          </w:tcPr>
          <w:p>
            <w:pPr>
              <w:ind w:left="380"/>
              <w:spacing w:after="0"/>
              <w:rPr>
                <w:sz w:val="20"/>
                <w:szCs w:val="20"/>
                <w:color w:val="auto"/>
              </w:rPr>
            </w:pPr>
            <w:r>
              <w:rPr>
                <w:rFonts w:ascii="Arial" w:cs="Arial" w:eastAsia="Arial" w:hAnsi="Arial"/>
                <w:sz w:val="14"/>
                <w:szCs w:val="14"/>
                <w:color w:val="auto"/>
              </w:rPr>
              <w:t>Outplacement Services and Other Benefits</w:t>
            </w:r>
          </w:p>
        </w:tc>
        <w:tc>
          <w:tcPr>
            <w:tcW w:w="720" w:type="dxa"/>
            <w:vAlign w:val="bottom"/>
            <w:tcBorders>
              <w:bottom w:val="single" w:sz="8" w:color="0033A0"/>
            </w:tcBorders>
          </w:tcPr>
          <w:p>
            <w:pPr>
              <w:spacing w:after="0"/>
              <w:rPr>
                <w:sz w:val="14"/>
                <w:szCs w:val="14"/>
                <w:color w:val="auto"/>
              </w:rPr>
            </w:pPr>
          </w:p>
        </w:tc>
        <w:tc>
          <w:tcPr>
            <w:tcW w:w="620" w:type="dxa"/>
            <w:vAlign w:val="bottom"/>
            <w:tcBorders>
              <w:bottom w:val="single" w:sz="8" w:color="0033A0"/>
            </w:tcBorders>
          </w:tcPr>
          <w:p>
            <w:pPr>
              <w:jc w:val="right"/>
              <w:ind w:right="152"/>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0033A0"/>
            </w:tcBorders>
          </w:tcPr>
          <w:p>
            <w:pPr>
              <w:spacing w:after="0"/>
              <w:rPr>
                <w:sz w:val="14"/>
                <w:szCs w:val="14"/>
                <w:color w:val="auto"/>
              </w:rPr>
            </w:pPr>
          </w:p>
        </w:tc>
        <w:tc>
          <w:tcPr>
            <w:tcW w:w="620" w:type="dxa"/>
            <w:vAlign w:val="bottom"/>
            <w:tcBorders>
              <w:bottom w:val="single" w:sz="8" w:color="0033A0"/>
            </w:tcBorders>
          </w:tcPr>
          <w:p>
            <w:pPr>
              <w:jc w:val="right"/>
              <w:ind w:right="152"/>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0033A0"/>
            </w:tcBorders>
          </w:tcPr>
          <w:p>
            <w:pPr>
              <w:jc w:val="right"/>
              <w:ind w:right="153"/>
              <w:spacing w:after="0"/>
              <w:rPr>
                <w:sz w:val="20"/>
                <w:szCs w:val="20"/>
                <w:color w:val="auto"/>
              </w:rPr>
            </w:pPr>
            <w:r>
              <w:rPr>
                <w:rFonts w:ascii="Arial" w:cs="Arial" w:eastAsia="Arial" w:hAnsi="Arial"/>
                <w:sz w:val="14"/>
                <w:szCs w:val="14"/>
                <w:color w:val="auto"/>
              </w:rPr>
              <w:t>25,647</w:t>
            </w:r>
          </w:p>
        </w:tc>
        <w:tc>
          <w:tcPr>
            <w:tcW w:w="300" w:type="dxa"/>
            <w:vAlign w:val="bottom"/>
            <w:tcBorders>
              <w:bottom w:val="single" w:sz="8" w:color="0033A0"/>
            </w:tcBorders>
          </w:tcPr>
          <w:p>
            <w:pPr>
              <w:spacing w:after="0"/>
              <w:rPr>
                <w:sz w:val="14"/>
                <w:szCs w:val="14"/>
                <w:color w:val="auto"/>
              </w:rPr>
            </w:pPr>
          </w:p>
        </w:tc>
        <w:tc>
          <w:tcPr>
            <w:tcW w:w="920" w:type="dxa"/>
            <w:vAlign w:val="bottom"/>
            <w:tcBorders>
              <w:bottom w:val="single" w:sz="8" w:color="0033A0"/>
            </w:tcBorders>
          </w:tcPr>
          <w:p>
            <w:pPr>
              <w:jc w:val="right"/>
              <w:ind w:right="172"/>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0033A0"/>
            </w:tcBorders>
          </w:tcPr>
          <w:p>
            <w:pPr>
              <w:spacing w:after="0"/>
              <w:rPr>
                <w:sz w:val="14"/>
                <w:szCs w:val="14"/>
                <w:color w:val="auto"/>
              </w:rPr>
            </w:pPr>
          </w:p>
        </w:tc>
        <w:tc>
          <w:tcPr>
            <w:tcW w:w="740" w:type="dxa"/>
            <w:vAlign w:val="bottom"/>
            <w:tcBorders>
              <w:bottom w:val="single" w:sz="8" w:color="0033A0"/>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1580" w:type="dxa"/>
            <w:vAlign w:val="bottom"/>
            <w:tcBorders>
              <w:bottom w:val="single" w:sz="8" w:color="0033A0"/>
            </w:tcBorders>
          </w:tcPr>
          <w:p>
            <w:pPr>
              <w:spacing w:after="0"/>
              <w:rPr>
                <w:sz w:val="14"/>
                <w:szCs w:val="14"/>
                <w:color w:val="auto"/>
              </w:rPr>
            </w:pPr>
          </w:p>
        </w:tc>
        <w:tc>
          <w:tcPr>
            <w:tcW w:w="3340" w:type="dxa"/>
            <w:vAlign w:val="bottom"/>
            <w:tcBorders>
              <w:bottom w:val="single" w:sz="8" w:color="0033A0"/>
            </w:tcBorders>
          </w:tcPr>
          <w:p>
            <w:pPr>
              <w:ind w:left="380"/>
              <w:spacing w:after="0" w:line="155" w:lineRule="exact"/>
              <w:rPr>
                <w:sz w:val="20"/>
                <w:szCs w:val="20"/>
                <w:color w:val="auto"/>
              </w:rPr>
            </w:pPr>
            <w:r>
              <w:rPr>
                <w:rFonts w:ascii="Arial" w:cs="Arial" w:eastAsia="Arial" w:hAnsi="Arial"/>
                <w:sz w:val="14"/>
                <w:szCs w:val="14"/>
                <w:color w:val="auto"/>
              </w:rPr>
              <w:t>Total</w:t>
            </w:r>
          </w:p>
        </w:tc>
        <w:tc>
          <w:tcPr>
            <w:tcW w:w="720" w:type="dxa"/>
            <w:vAlign w:val="bottom"/>
            <w:tcBorders>
              <w:bottom w:val="single" w:sz="8" w:color="0033A0"/>
            </w:tcBorders>
          </w:tcPr>
          <w:p>
            <w:pPr>
              <w:spacing w:after="0"/>
              <w:rPr>
                <w:sz w:val="14"/>
                <w:szCs w:val="14"/>
                <w:color w:val="auto"/>
              </w:rPr>
            </w:pPr>
          </w:p>
        </w:tc>
        <w:tc>
          <w:tcPr>
            <w:tcW w:w="620" w:type="dxa"/>
            <w:vAlign w:val="bottom"/>
            <w:tcBorders>
              <w:bottom w:val="single" w:sz="8" w:color="0033A0"/>
            </w:tcBorders>
          </w:tcPr>
          <w:p>
            <w:pPr>
              <w:jc w:val="right"/>
              <w:ind w:right="152"/>
              <w:spacing w:after="0" w:line="155" w:lineRule="exact"/>
              <w:rPr>
                <w:sz w:val="20"/>
                <w:szCs w:val="20"/>
                <w:color w:val="auto"/>
              </w:rPr>
            </w:pPr>
            <w:r>
              <w:rPr>
                <w:rFonts w:ascii="Arial" w:cs="Arial" w:eastAsia="Arial" w:hAnsi="Arial"/>
                <w:sz w:val="14"/>
                <w:szCs w:val="14"/>
                <w:color w:val="auto"/>
              </w:rPr>
              <w:t>—</w:t>
            </w:r>
          </w:p>
        </w:tc>
        <w:tc>
          <w:tcPr>
            <w:tcW w:w="540" w:type="dxa"/>
            <w:vAlign w:val="bottom"/>
            <w:tcBorders>
              <w:bottom w:val="single" w:sz="8" w:color="0033A0"/>
            </w:tcBorders>
          </w:tcPr>
          <w:p>
            <w:pPr>
              <w:spacing w:after="0"/>
              <w:rPr>
                <w:sz w:val="14"/>
                <w:szCs w:val="14"/>
                <w:color w:val="auto"/>
              </w:rPr>
            </w:pPr>
          </w:p>
        </w:tc>
        <w:tc>
          <w:tcPr>
            <w:tcW w:w="620" w:type="dxa"/>
            <w:vAlign w:val="bottom"/>
            <w:tcBorders>
              <w:bottom w:val="single" w:sz="8" w:color="0033A0"/>
            </w:tcBorders>
          </w:tcPr>
          <w:p>
            <w:pPr>
              <w:jc w:val="right"/>
              <w:ind w:right="152"/>
              <w:spacing w:after="0" w:line="155" w:lineRule="exact"/>
              <w:rPr>
                <w:sz w:val="20"/>
                <w:szCs w:val="20"/>
                <w:color w:val="auto"/>
              </w:rPr>
            </w:pPr>
            <w:r>
              <w:rPr>
                <w:rFonts w:ascii="Arial" w:cs="Arial" w:eastAsia="Arial" w:hAnsi="Arial"/>
                <w:sz w:val="14"/>
                <w:szCs w:val="14"/>
                <w:color w:val="auto"/>
              </w:rPr>
              <w:t>—</w:t>
            </w:r>
          </w:p>
        </w:tc>
        <w:tc>
          <w:tcPr>
            <w:tcW w:w="1340" w:type="dxa"/>
            <w:vAlign w:val="bottom"/>
            <w:tcBorders>
              <w:bottom w:val="single" w:sz="8" w:color="0033A0"/>
            </w:tcBorders>
          </w:tcPr>
          <w:p>
            <w:pPr>
              <w:jc w:val="right"/>
              <w:ind w:right="153"/>
              <w:spacing w:after="0" w:line="155" w:lineRule="exact"/>
              <w:rPr>
                <w:sz w:val="20"/>
                <w:szCs w:val="20"/>
                <w:color w:val="auto"/>
              </w:rPr>
            </w:pPr>
            <w:r>
              <w:rPr>
                <w:rFonts w:ascii="Arial" w:cs="Arial" w:eastAsia="Arial" w:hAnsi="Arial"/>
                <w:sz w:val="14"/>
                <w:szCs w:val="14"/>
                <w:color w:val="auto"/>
              </w:rPr>
              <w:t>2,366,723</w:t>
            </w:r>
          </w:p>
        </w:tc>
        <w:tc>
          <w:tcPr>
            <w:tcW w:w="300" w:type="dxa"/>
            <w:vAlign w:val="bottom"/>
            <w:tcBorders>
              <w:bottom w:val="single" w:sz="8" w:color="0033A0"/>
            </w:tcBorders>
          </w:tcPr>
          <w:p>
            <w:pPr>
              <w:spacing w:after="0"/>
              <w:rPr>
                <w:sz w:val="14"/>
                <w:szCs w:val="14"/>
                <w:color w:val="auto"/>
              </w:rPr>
            </w:pPr>
          </w:p>
        </w:tc>
        <w:tc>
          <w:tcPr>
            <w:tcW w:w="920" w:type="dxa"/>
            <w:vAlign w:val="bottom"/>
            <w:tcBorders>
              <w:bottom w:val="single" w:sz="8" w:color="0033A0"/>
            </w:tcBorders>
          </w:tcPr>
          <w:p>
            <w:pPr>
              <w:jc w:val="right"/>
              <w:ind w:right="172"/>
              <w:spacing w:after="0" w:line="155" w:lineRule="exact"/>
              <w:rPr>
                <w:sz w:val="20"/>
                <w:szCs w:val="20"/>
                <w:color w:val="auto"/>
              </w:rPr>
            </w:pPr>
            <w:r>
              <w:rPr>
                <w:rFonts w:ascii="Arial" w:cs="Arial" w:eastAsia="Arial" w:hAnsi="Arial"/>
                <w:sz w:val="14"/>
                <w:szCs w:val="14"/>
                <w:color w:val="auto"/>
              </w:rPr>
              <w:t>3,197,542</w:t>
            </w:r>
          </w:p>
        </w:tc>
        <w:tc>
          <w:tcPr>
            <w:tcW w:w="300" w:type="dxa"/>
            <w:vAlign w:val="bottom"/>
            <w:tcBorders>
              <w:bottom w:val="single" w:sz="8" w:color="0033A0"/>
            </w:tcBorders>
          </w:tcPr>
          <w:p>
            <w:pPr>
              <w:spacing w:after="0"/>
              <w:rPr>
                <w:sz w:val="14"/>
                <w:szCs w:val="14"/>
                <w:color w:val="auto"/>
              </w:rPr>
            </w:pPr>
          </w:p>
        </w:tc>
        <w:tc>
          <w:tcPr>
            <w:tcW w:w="740" w:type="dxa"/>
            <w:vAlign w:val="bottom"/>
            <w:tcBorders>
              <w:bottom w:val="single" w:sz="8" w:color="0033A0"/>
            </w:tcBorders>
          </w:tcPr>
          <w:p>
            <w:pPr>
              <w:jc w:val="right"/>
              <w:spacing w:after="0" w:line="155" w:lineRule="exact"/>
              <w:rPr>
                <w:sz w:val="20"/>
                <w:szCs w:val="20"/>
                <w:color w:val="auto"/>
              </w:rPr>
            </w:pPr>
            <w:r>
              <w:rPr>
                <w:rFonts w:ascii="Arial" w:cs="Arial" w:eastAsia="Arial" w:hAnsi="Arial"/>
                <w:sz w:val="14"/>
                <w:szCs w:val="14"/>
                <w:color w:val="auto"/>
              </w:rPr>
              <w:t>3,702,319</w:t>
            </w:r>
          </w:p>
        </w:tc>
        <w:tc>
          <w:tcPr>
            <w:tcW w:w="0" w:type="dxa"/>
            <w:vAlign w:val="bottom"/>
          </w:tcPr>
          <w:p>
            <w:pPr>
              <w:spacing w:after="0"/>
              <w:rPr>
                <w:sz w:val="1"/>
                <w:szCs w:val="1"/>
                <w:color w:val="auto"/>
              </w:rPr>
            </w:pPr>
          </w:p>
        </w:tc>
      </w:tr>
      <w:tr>
        <w:trPr>
          <w:trHeight w:val="149"/>
        </w:trPr>
        <w:tc>
          <w:tcPr>
            <w:tcW w:w="1580" w:type="dxa"/>
            <w:vAlign w:val="bottom"/>
            <w:shd w:val="clear" w:color="auto" w:fill="E5EAF5"/>
          </w:tcPr>
          <w:p>
            <w:pPr>
              <w:ind w:left="60"/>
              <w:spacing w:after="0" w:line="149" w:lineRule="exact"/>
              <w:rPr>
                <w:sz w:val="20"/>
                <w:szCs w:val="20"/>
                <w:color w:val="auto"/>
              </w:rPr>
            </w:pPr>
            <w:r>
              <w:rPr>
                <w:rFonts w:ascii="Arial" w:cs="Arial" w:eastAsia="Arial" w:hAnsi="Arial"/>
                <w:sz w:val="14"/>
                <w:szCs w:val="14"/>
                <w:color w:val="auto"/>
              </w:rPr>
              <w:t>Amit Zukerman</w:t>
            </w:r>
          </w:p>
        </w:tc>
        <w:tc>
          <w:tcPr>
            <w:tcW w:w="3340" w:type="dxa"/>
            <w:vAlign w:val="bottom"/>
            <w:shd w:val="clear" w:color="auto" w:fill="E5EAF5"/>
          </w:tcPr>
          <w:p>
            <w:pPr>
              <w:ind w:left="380"/>
              <w:spacing w:after="0" w:line="149" w:lineRule="exact"/>
              <w:rPr>
                <w:sz w:val="20"/>
                <w:szCs w:val="20"/>
                <w:color w:val="auto"/>
              </w:rPr>
            </w:pPr>
            <w:r>
              <w:rPr>
                <w:rFonts w:ascii="Arial" w:cs="Arial" w:eastAsia="Arial" w:hAnsi="Arial"/>
                <w:sz w:val="14"/>
                <w:szCs w:val="14"/>
                <w:color w:val="auto"/>
              </w:rPr>
              <w:t>Prorated Annual Bonus</w:t>
            </w:r>
          </w:p>
        </w:tc>
        <w:tc>
          <w:tcPr>
            <w:tcW w:w="720" w:type="dxa"/>
            <w:vAlign w:val="bottom"/>
            <w:shd w:val="clear" w:color="auto" w:fill="E5EAF5"/>
          </w:tcPr>
          <w:p>
            <w:pPr>
              <w:spacing w:after="0"/>
              <w:rPr>
                <w:sz w:val="12"/>
                <w:szCs w:val="12"/>
                <w:color w:val="auto"/>
              </w:rPr>
            </w:pPr>
          </w:p>
        </w:tc>
        <w:tc>
          <w:tcPr>
            <w:tcW w:w="620" w:type="dxa"/>
            <w:vAlign w:val="bottom"/>
            <w:shd w:val="clear" w:color="auto" w:fill="E5EAF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E5EAF5"/>
          </w:tcPr>
          <w:p>
            <w:pPr>
              <w:spacing w:after="0"/>
              <w:rPr>
                <w:sz w:val="12"/>
                <w:szCs w:val="12"/>
                <w:color w:val="auto"/>
              </w:rPr>
            </w:pPr>
          </w:p>
        </w:tc>
        <w:tc>
          <w:tcPr>
            <w:tcW w:w="620" w:type="dxa"/>
            <w:vAlign w:val="bottom"/>
            <w:shd w:val="clear" w:color="auto" w:fill="E5EAF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1340" w:type="dxa"/>
            <w:vAlign w:val="bottom"/>
            <w:shd w:val="clear" w:color="auto" w:fill="E5EAF5"/>
          </w:tcPr>
          <w:p>
            <w:pPr>
              <w:jc w:val="right"/>
              <w:ind w:right="153"/>
              <w:spacing w:after="0" w:line="149" w:lineRule="exact"/>
              <w:rPr>
                <w:sz w:val="20"/>
                <w:szCs w:val="20"/>
                <w:color w:val="auto"/>
              </w:rPr>
            </w:pPr>
            <w:r>
              <w:rPr>
                <w:rFonts w:ascii="Arial" w:cs="Arial" w:eastAsia="Arial" w:hAnsi="Arial"/>
                <w:sz w:val="14"/>
                <w:szCs w:val="14"/>
                <w:color w:val="auto"/>
              </w:rPr>
              <w:t>598,444</w:t>
            </w:r>
          </w:p>
        </w:tc>
        <w:tc>
          <w:tcPr>
            <w:tcW w:w="300" w:type="dxa"/>
            <w:vAlign w:val="bottom"/>
            <w:shd w:val="clear" w:color="auto" w:fill="E5EAF5"/>
          </w:tcPr>
          <w:p>
            <w:pPr>
              <w:spacing w:after="0"/>
              <w:rPr>
                <w:sz w:val="12"/>
                <w:szCs w:val="12"/>
                <w:color w:val="auto"/>
              </w:rPr>
            </w:pPr>
          </w:p>
        </w:tc>
        <w:tc>
          <w:tcPr>
            <w:tcW w:w="920" w:type="dxa"/>
            <w:vAlign w:val="bottom"/>
            <w:shd w:val="clear" w:color="auto" w:fill="E5EAF5"/>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E5EAF5"/>
          </w:tcPr>
          <w:p>
            <w:pPr>
              <w:spacing w:after="0"/>
              <w:rPr>
                <w:sz w:val="12"/>
                <w:szCs w:val="12"/>
                <w:color w:val="auto"/>
              </w:rPr>
            </w:pPr>
          </w:p>
        </w:tc>
        <w:tc>
          <w:tcPr>
            <w:tcW w:w="740" w:type="dxa"/>
            <w:vAlign w:val="bottom"/>
            <w:shd w:val="clear" w:color="auto" w:fill="E5EAF5"/>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1580" w:type="dxa"/>
            <w:vAlign w:val="bottom"/>
            <w:shd w:val="clear" w:color="auto" w:fill="E5EAF5"/>
          </w:tcPr>
          <w:p>
            <w:pPr>
              <w:spacing w:after="0"/>
              <w:rPr>
                <w:sz w:val="15"/>
                <w:szCs w:val="15"/>
                <w:color w:val="auto"/>
              </w:rPr>
            </w:pPr>
          </w:p>
        </w:tc>
        <w:tc>
          <w:tcPr>
            <w:tcW w:w="3340" w:type="dxa"/>
            <w:vAlign w:val="bottom"/>
            <w:shd w:val="clear" w:color="auto" w:fill="E5EAF5"/>
          </w:tcPr>
          <w:p>
            <w:pPr>
              <w:ind w:left="380"/>
              <w:spacing w:after="0"/>
              <w:rPr>
                <w:sz w:val="20"/>
                <w:szCs w:val="20"/>
                <w:color w:val="auto"/>
              </w:rPr>
            </w:pPr>
            <w:r>
              <w:rPr>
                <w:rFonts w:ascii="Arial" w:cs="Arial" w:eastAsia="Arial" w:hAnsi="Arial"/>
                <w:sz w:val="14"/>
                <w:szCs w:val="14"/>
                <w:color w:val="auto"/>
              </w:rPr>
              <w:t>Base Salary and Bonus</w:t>
            </w:r>
          </w:p>
        </w:tc>
        <w:tc>
          <w:tcPr>
            <w:tcW w:w="720" w:type="dxa"/>
            <w:vAlign w:val="bottom"/>
            <w:shd w:val="clear" w:color="auto" w:fill="E5EAF5"/>
          </w:tcPr>
          <w:p>
            <w:pPr>
              <w:spacing w:after="0"/>
              <w:rPr>
                <w:sz w:val="15"/>
                <w:szCs w:val="15"/>
                <w:color w:val="auto"/>
              </w:rPr>
            </w:pPr>
          </w:p>
        </w:tc>
        <w:tc>
          <w:tcPr>
            <w:tcW w:w="620" w:type="dxa"/>
            <w:vAlign w:val="bottom"/>
            <w:shd w:val="clear" w:color="auto" w:fill="E5EAF5"/>
          </w:tcPr>
          <w:p>
            <w:pPr>
              <w:jc w:val="right"/>
              <w:ind w:right="152"/>
              <w:spacing w:after="0"/>
              <w:rPr>
                <w:sz w:val="20"/>
                <w:szCs w:val="20"/>
                <w:color w:val="auto"/>
              </w:rPr>
            </w:pPr>
            <w:r>
              <w:rPr>
                <w:rFonts w:ascii="Arial" w:cs="Arial" w:eastAsia="Arial" w:hAnsi="Arial"/>
                <w:sz w:val="14"/>
                <w:szCs w:val="14"/>
                <w:color w:val="auto"/>
              </w:rPr>
              <w:t>—</w:t>
            </w:r>
          </w:p>
        </w:tc>
        <w:tc>
          <w:tcPr>
            <w:tcW w:w="540" w:type="dxa"/>
            <w:vAlign w:val="bottom"/>
            <w:shd w:val="clear" w:color="auto" w:fill="E5EAF5"/>
          </w:tcPr>
          <w:p>
            <w:pPr>
              <w:spacing w:after="0"/>
              <w:rPr>
                <w:sz w:val="15"/>
                <w:szCs w:val="15"/>
                <w:color w:val="auto"/>
              </w:rPr>
            </w:pPr>
          </w:p>
        </w:tc>
        <w:tc>
          <w:tcPr>
            <w:tcW w:w="620" w:type="dxa"/>
            <w:vAlign w:val="bottom"/>
            <w:shd w:val="clear" w:color="auto" w:fill="E5EAF5"/>
          </w:tcPr>
          <w:p>
            <w:pPr>
              <w:jc w:val="right"/>
              <w:ind w:right="152"/>
              <w:spacing w:after="0"/>
              <w:rPr>
                <w:sz w:val="20"/>
                <w:szCs w:val="20"/>
                <w:color w:val="auto"/>
              </w:rPr>
            </w:pPr>
            <w:r>
              <w:rPr>
                <w:rFonts w:ascii="Arial" w:cs="Arial" w:eastAsia="Arial" w:hAnsi="Arial"/>
                <w:sz w:val="14"/>
                <w:szCs w:val="14"/>
                <w:color w:val="auto"/>
              </w:rPr>
              <w:t>—</w:t>
            </w:r>
          </w:p>
        </w:tc>
        <w:tc>
          <w:tcPr>
            <w:tcW w:w="1340" w:type="dxa"/>
            <w:vAlign w:val="bottom"/>
            <w:shd w:val="clear" w:color="auto" w:fill="E5EAF5"/>
          </w:tcPr>
          <w:p>
            <w:pPr>
              <w:jc w:val="right"/>
              <w:ind w:right="153"/>
              <w:spacing w:after="0"/>
              <w:rPr>
                <w:sz w:val="20"/>
                <w:szCs w:val="20"/>
                <w:color w:val="auto"/>
              </w:rPr>
            </w:pPr>
            <w:r>
              <w:rPr>
                <w:rFonts w:ascii="Arial" w:cs="Arial" w:eastAsia="Arial" w:hAnsi="Arial"/>
                <w:sz w:val="14"/>
                <w:szCs w:val="14"/>
                <w:color w:val="auto"/>
              </w:rPr>
              <w:t>1,168,500</w:t>
            </w:r>
          </w:p>
        </w:tc>
        <w:tc>
          <w:tcPr>
            <w:tcW w:w="300" w:type="dxa"/>
            <w:vAlign w:val="bottom"/>
            <w:shd w:val="clear" w:color="auto" w:fill="E5EAF5"/>
          </w:tcPr>
          <w:p>
            <w:pPr>
              <w:spacing w:after="0"/>
              <w:rPr>
                <w:sz w:val="15"/>
                <w:szCs w:val="15"/>
                <w:color w:val="auto"/>
              </w:rPr>
            </w:pPr>
          </w:p>
        </w:tc>
        <w:tc>
          <w:tcPr>
            <w:tcW w:w="920" w:type="dxa"/>
            <w:vAlign w:val="bottom"/>
            <w:shd w:val="clear" w:color="auto" w:fill="E5EAF5"/>
          </w:tcPr>
          <w:p>
            <w:pPr>
              <w:jc w:val="right"/>
              <w:ind w:right="172"/>
              <w:spacing w:after="0"/>
              <w:rPr>
                <w:sz w:val="20"/>
                <w:szCs w:val="20"/>
                <w:color w:val="auto"/>
              </w:rPr>
            </w:pPr>
            <w:r>
              <w:rPr>
                <w:rFonts w:ascii="Arial" w:cs="Arial" w:eastAsia="Arial" w:hAnsi="Arial"/>
                <w:sz w:val="14"/>
                <w:szCs w:val="14"/>
                <w:color w:val="auto"/>
              </w:rPr>
              <w:t>—</w:t>
            </w:r>
          </w:p>
        </w:tc>
        <w:tc>
          <w:tcPr>
            <w:tcW w:w="300" w:type="dxa"/>
            <w:vAlign w:val="bottom"/>
            <w:shd w:val="clear" w:color="auto" w:fill="E5EAF5"/>
          </w:tcPr>
          <w:p>
            <w:pPr>
              <w:spacing w:after="0"/>
              <w:rPr>
                <w:sz w:val="15"/>
                <w:szCs w:val="15"/>
                <w:color w:val="auto"/>
              </w:rPr>
            </w:pPr>
          </w:p>
        </w:tc>
        <w:tc>
          <w:tcPr>
            <w:tcW w:w="740" w:type="dxa"/>
            <w:vAlign w:val="bottom"/>
            <w:shd w:val="clear" w:color="auto" w:fill="E5EAF5"/>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1580" w:type="dxa"/>
            <w:vAlign w:val="bottom"/>
            <w:shd w:val="clear" w:color="auto" w:fill="E5EAF5"/>
          </w:tcPr>
          <w:p>
            <w:pPr>
              <w:spacing w:after="0"/>
              <w:rPr>
                <w:sz w:val="15"/>
                <w:szCs w:val="15"/>
                <w:color w:val="auto"/>
              </w:rPr>
            </w:pPr>
          </w:p>
        </w:tc>
        <w:tc>
          <w:tcPr>
            <w:tcW w:w="3340" w:type="dxa"/>
            <w:vAlign w:val="bottom"/>
            <w:shd w:val="clear" w:color="auto" w:fill="E5EAF5"/>
          </w:tcPr>
          <w:p>
            <w:pPr>
              <w:ind w:left="380"/>
              <w:spacing w:after="0"/>
              <w:rPr>
                <w:sz w:val="20"/>
                <w:szCs w:val="20"/>
                <w:color w:val="auto"/>
              </w:rPr>
            </w:pPr>
            <w:r>
              <w:rPr>
                <w:rFonts w:ascii="Arial" w:cs="Arial" w:eastAsia="Arial" w:hAnsi="Arial"/>
                <w:sz w:val="14"/>
                <w:szCs w:val="14"/>
                <w:color w:val="auto"/>
              </w:rPr>
              <w:t xml:space="preserve">Long Term Incentive </w:t>
            </w:r>
            <w:r>
              <w:rPr>
                <w:rFonts w:ascii="Arial" w:cs="Arial" w:eastAsia="Arial" w:hAnsi="Arial"/>
                <w:sz w:val="11"/>
                <w:szCs w:val="11"/>
                <w:color w:val="auto"/>
              </w:rPr>
              <w:t>(4)</w:t>
            </w:r>
          </w:p>
        </w:tc>
        <w:tc>
          <w:tcPr>
            <w:tcW w:w="720" w:type="dxa"/>
            <w:vAlign w:val="bottom"/>
            <w:shd w:val="clear" w:color="auto" w:fill="E5EAF5"/>
          </w:tcPr>
          <w:p>
            <w:pPr>
              <w:spacing w:after="0"/>
              <w:rPr>
                <w:sz w:val="15"/>
                <w:szCs w:val="15"/>
                <w:color w:val="auto"/>
              </w:rPr>
            </w:pPr>
          </w:p>
        </w:tc>
        <w:tc>
          <w:tcPr>
            <w:tcW w:w="620" w:type="dxa"/>
            <w:vAlign w:val="bottom"/>
            <w:shd w:val="clear" w:color="auto" w:fill="E5EAF5"/>
          </w:tcPr>
          <w:p>
            <w:pPr>
              <w:jc w:val="right"/>
              <w:ind w:right="152"/>
              <w:spacing w:after="0"/>
              <w:rPr>
                <w:sz w:val="20"/>
                <w:szCs w:val="20"/>
                <w:color w:val="auto"/>
              </w:rPr>
            </w:pPr>
            <w:r>
              <w:rPr>
                <w:rFonts w:ascii="Arial" w:cs="Arial" w:eastAsia="Arial" w:hAnsi="Arial"/>
                <w:sz w:val="14"/>
                <w:szCs w:val="14"/>
                <w:color w:val="auto"/>
              </w:rPr>
              <w:t>—</w:t>
            </w:r>
          </w:p>
        </w:tc>
        <w:tc>
          <w:tcPr>
            <w:tcW w:w="540" w:type="dxa"/>
            <w:vAlign w:val="bottom"/>
            <w:shd w:val="clear" w:color="auto" w:fill="E5EAF5"/>
          </w:tcPr>
          <w:p>
            <w:pPr>
              <w:spacing w:after="0"/>
              <w:rPr>
                <w:sz w:val="15"/>
                <w:szCs w:val="15"/>
                <w:color w:val="auto"/>
              </w:rPr>
            </w:pPr>
          </w:p>
        </w:tc>
        <w:tc>
          <w:tcPr>
            <w:tcW w:w="620" w:type="dxa"/>
            <w:vAlign w:val="bottom"/>
            <w:shd w:val="clear" w:color="auto" w:fill="E5EAF5"/>
          </w:tcPr>
          <w:p>
            <w:pPr>
              <w:jc w:val="right"/>
              <w:ind w:right="152"/>
              <w:spacing w:after="0"/>
              <w:rPr>
                <w:sz w:val="20"/>
                <w:szCs w:val="20"/>
                <w:color w:val="auto"/>
              </w:rPr>
            </w:pPr>
            <w:r>
              <w:rPr>
                <w:rFonts w:ascii="Arial" w:cs="Arial" w:eastAsia="Arial" w:hAnsi="Arial"/>
                <w:sz w:val="14"/>
                <w:szCs w:val="14"/>
                <w:color w:val="auto"/>
              </w:rPr>
              <w:t>—</w:t>
            </w:r>
          </w:p>
        </w:tc>
        <w:tc>
          <w:tcPr>
            <w:tcW w:w="1340" w:type="dxa"/>
            <w:vAlign w:val="bottom"/>
            <w:shd w:val="clear" w:color="auto" w:fill="E5EAF5"/>
          </w:tcPr>
          <w:p>
            <w:pPr>
              <w:jc w:val="right"/>
              <w:ind w:right="153"/>
              <w:spacing w:after="0"/>
              <w:rPr>
                <w:sz w:val="20"/>
                <w:szCs w:val="20"/>
                <w:color w:val="auto"/>
              </w:rPr>
            </w:pPr>
            <w:r>
              <w:rPr>
                <w:rFonts w:ascii="Arial" w:cs="Arial" w:eastAsia="Arial" w:hAnsi="Arial"/>
                <w:sz w:val="14"/>
                <w:szCs w:val="14"/>
                <w:color w:val="auto"/>
              </w:rPr>
              <w:t>4,347,908</w:t>
            </w:r>
          </w:p>
        </w:tc>
        <w:tc>
          <w:tcPr>
            <w:tcW w:w="300" w:type="dxa"/>
            <w:vAlign w:val="bottom"/>
            <w:shd w:val="clear" w:color="auto" w:fill="E5EAF5"/>
          </w:tcPr>
          <w:p>
            <w:pPr>
              <w:spacing w:after="0"/>
              <w:rPr>
                <w:sz w:val="15"/>
                <w:szCs w:val="15"/>
                <w:color w:val="auto"/>
              </w:rPr>
            </w:pPr>
          </w:p>
        </w:tc>
        <w:tc>
          <w:tcPr>
            <w:tcW w:w="920" w:type="dxa"/>
            <w:vAlign w:val="bottom"/>
            <w:shd w:val="clear" w:color="auto" w:fill="E5EAF5"/>
          </w:tcPr>
          <w:p>
            <w:pPr>
              <w:jc w:val="right"/>
              <w:ind w:right="172"/>
              <w:spacing w:after="0"/>
              <w:rPr>
                <w:sz w:val="20"/>
                <w:szCs w:val="20"/>
                <w:color w:val="auto"/>
              </w:rPr>
            </w:pPr>
            <w:r>
              <w:rPr>
                <w:rFonts w:ascii="Arial" w:cs="Arial" w:eastAsia="Arial" w:hAnsi="Arial"/>
                <w:sz w:val="14"/>
                <w:szCs w:val="14"/>
                <w:color w:val="auto"/>
              </w:rPr>
              <w:t>7,757,180</w:t>
            </w:r>
          </w:p>
        </w:tc>
        <w:tc>
          <w:tcPr>
            <w:tcW w:w="300" w:type="dxa"/>
            <w:vAlign w:val="bottom"/>
            <w:shd w:val="clear" w:color="auto" w:fill="E5EAF5"/>
          </w:tcPr>
          <w:p>
            <w:pPr>
              <w:spacing w:after="0"/>
              <w:rPr>
                <w:sz w:val="15"/>
                <w:szCs w:val="15"/>
                <w:color w:val="auto"/>
              </w:rPr>
            </w:pPr>
          </w:p>
        </w:tc>
        <w:tc>
          <w:tcPr>
            <w:tcW w:w="740" w:type="dxa"/>
            <w:vAlign w:val="bottom"/>
            <w:shd w:val="clear" w:color="auto" w:fill="E5EAF5"/>
          </w:tcPr>
          <w:p>
            <w:pPr>
              <w:jc w:val="right"/>
              <w:spacing w:after="0"/>
              <w:rPr>
                <w:sz w:val="20"/>
                <w:szCs w:val="20"/>
                <w:color w:val="auto"/>
              </w:rPr>
            </w:pPr>
            <w:r>
              <w:rPr>
                <w:rFonts w:ascii="Arial" w:cs="Arial" w:eastAsia="Arial" w:hAnsi="Arial"/>
                <w:sz w:val="14"/>
                <w:szCs w:val="14"/>
                <w:color w:val="auto"/>
              </w:rPr>
              <w:t>6,978,729</w:t>
            </w:r>
          </w:p>
        </w:tc>
        <w:tc>
          <w:tcPr>
            <w:tcW w:w="0" w:type="dxa"/>
            <w:vAlign w:val="bottom"/>
          </w:tcPr>
          <w:p>
            <w:pPr>
              <w:spacing w:after="0"/>
              <w:rPr>
                <w:sz w:val="1"/>
                <w:szCs w:val="1"/>
                <w:color w:val="auto"/>
              </w:rPr>
            </w:pPr>
          </w:p>
        </w:tc>
      </w:tr>
      <w:tr>
        <w:trPr>
          <w:trHeight w:val="176"/>
        </w:trPr>
        <w:tc>
          <w:tcPr>
            <w:tcW w:w="1580" w:type="dxa"/>
            <w:vAlign w:val="bottom"/>
            <w:shd w:val="clear" w:color="auto" w:fill="E5EAF5"/>
          </w:tcPr>
          <w:p>
            <w:pPr>
              <w:spacing w:after="0"/>
              <w:rPr>
                <w:sz w:val="15"/>
                <w:szCs w:val="15"/>
                <w:color w:val="auto"/>
              </w:rPr>
            </w:pPr>
          </w:p>
        </w:tc>
        <w:tc>
          <w:tcPr>
            <w:tcW w:w="3340" w:type="dxa"/>
            <w:vAlign w:val="bottom"/>
            <w:shd w:val="clear" w:color="auto" w:fill="E5EAF5"/>
          </w:tcPr>
          <w:p>
            <w:pPr>
              <w:ind w:left="380"/>
              <w:spacing w:after="0"/>
              <w:rPr>
                <w:sz w:val="20"/>
                <w:szCs w:val="20"/>
                <w:color w:val="auto"/>
              </w:rPr>
            </w:pPr>
            <w:r>
              <w:rPr>
                <w:rFonts w:ascii="Arial" w:cs="Arial" w:eastAsia="Arial" w:hAnsi="Arial"/>
                <w:sz w:val="14"/>
                <w:szCs w:val="14"/>
                <w:color w:val="auto"/>
              </w:rPr>
              <w:t>Benefit Plans</w:t>
            </w:r>
          </w:p>
        </w:tc>
        <w:tc>
          <w:tcPr>
            <w:tcW w:w="720" w:type="dxa"/>
            <w:vAlign w:val="bottom"/>
            <w:shd w:val="clear" w:color="auto" w:fill="E5EAF5"/>
          </w:tcPr>
          <w:p>
            <w:pPr>
              <w:spacing w:after="0"/>
              <w:rPr>
                <w:sz w:val="15"/>
                <w:szCs w:val="15"/>
                <w:color w:val="auto"/>
              </w:rPr>
            </w:pPr>
          </w:p>
        </w:tc>
        <w:tc>
          <w:tcPr>
            <w:tcW w:w="620" w:type="dxa"/>
            <w:vAlign w:val="bottom"/>
            <w:shd w:val="clear" w:color="auto" w:fill="E5EAF5"/>
          </w:tcPr>
          <w:p>
            <w:pPr>
              <w:jc w:val="right"/>
              <w:ind w:right="152"/>
              <w:spacing w:after="0"/>
              <w:rPr>
                <w:sz w:val="20"/>
                <w:szCs w:val="20"/>
                <w:color w:val="auto"/>
              </w:rPr>
            </w:pPr>
            <w:r>
              <w:rPr>
                <w:rFonts w:ascii="Arial" w:cs="Arial" w:eastAsia="Arial" w:hAnsi="Arial"/>
                <w:sz w:val="14"/>
                <w:szCs w:val="14"/>
                <w:color w:val="auto"/>
              </w:rPr>
              <w:t>—</w:t>
            </w:r>
          </w:p>
        </w:tc>
        <w:tc>
          <w:tcPr>
            <w:tcW w:w="540" w:type="dxa"/>
            <w:vAlign w:val="bottom"/>
            <w:shd w:val="clear" w:color="auto" w:fill="E5EAF5"/>
          </w:tcPr>
          <w:p>
            <w:pPr>
              <w:spacing w:after="0"/>
              <w:rPr>
                <w:sz w:val="15"/>
                <w:szCs w:val="15"/>
                <w:color w:val="auto"/>
              </w:rPr>
            </w:pPr>
          </w:p>
        </w:tc>
        <w:tc>
          <w:tcPr>
            <w:tcW w:w="620" w:type="dxa"/>
            <w:vAlign w:val="bottom"/>
            <w:shd w:val="clear" w:color="auto" w:fill="E5EAF5"/>
          </w:tcPr>
          <w:p>
            <w:pPr>
              <w:jc w:val="right"/>
              <w:ind w:right="152"/>
              <w:spacing w:after="0"/>
              <w:rPr>
                <w:sz w:val="20"/>
                <w:szCs w:val="20"/>
                <w:color w:val="auto"/>
              </w:rPr>
            </w:pPr>
            <w:r>
              <w:rPr>
                <w:rFonts w:ascii="Arial" w:cs="Arial" w:eastAsia="Arial" w:hAnsi="Arial"/>
                <w:sz w:val="14"/>
                <w:szCs w:val="14"/>
                <w:color w:val="auto"/>
              </w:rPr>
              <w:t>—</w:t>
            </w:r>
          </w:p>
        </w:tc>
        <w:tc>
          <w:tcPr>
            <w:tcW w:w="1340" w:type="dxa"/>
            <w:vAlign w:val="bottom"/>
            <w:shd w:val="clear" w:color="auto" w:fill="E5EAF5"/>
          </w:tcPr>
          <w:p>
            <w:pPr>
              <w:jc w:val="right"/>
              <w:ind w:right="153"/>
              <w:spacing w:after="0"/>
              <w:rPr>
                <w:sz w:val="20"/>
                <w:szCs w:val="20"/>
                <w:color w:val="auto"/>
              </w:rPr>
            </w:pPr>
            <w:r>
              <w:rPr>
                <w:rFonts w:ascii="Arial" w:cs="Arial" w:eastAsia="Arial" w:hAnsi="Arial"/>
                <w:sz w:val="14"/>
                <w:szCs w:val="14"/>
                <w:color w:val="auto"/>
              </w:rPr>
              <w:t>—</w:t>
            </w:r>
          </w:p>
        </w:tc>
        <w:tc>
          <w:tcPr>
            <w:tcW w:w="300" w:type="dxa"/>
            <w:vAlign w:val="bottom"/>
            <w:shd w:val="clear" w:color="auto" w:fill="E5EAF5"/>
          </w:tcPr>
          <w:p>
            <w:pPr>
              <w:spacing w:after="0"/>
              <w:rPr>
                <w:sz w:val="15"/>
                <w:szCs w:val="15"/>
                <w:color w:val="auto"/>
              </w:rPr>
            </w:pPr>
          </w:p>
        </w:tc>
        <w:tc>
          <w:tcPr>
            <w:tcW w:w="920" w:type="dxa"/>
            <w:vAlign w:val="bottom"/>
            <w:shd w:val="clear" w:color="auto" w:fill="E5EAF5"/>
          </w:tcPr>
          <w:p>
            <w:pPr>
              <w:jc w:val="right"/>
              <w:ind w:right="172"/>
              <w:spacing w:after="0"/>
              <w:rPr>
                <w:sz w:val="20"/>
                <w:szCs w:val="20"/>
                <w:color w:val="auto"/>
              </w:rPr>
            </w:pPr>
            <w:r>
              <w:rPr>
                <w:rFonts w:ascii="Arial" w:cs="Arial" w:eastAsia="Arial" w:hAnsi="Arial"/>
                <w:sz w:val="14"/>
                <w:szCs w:val="14"/>
                <w:color w:val="auto"/>
              </w:rPr>
              <w:t>—</w:t>
            </w:r>
          </w:p>
        </w:tc>
        <w:tc>
          <w:tcPr>
            <w:tcW w:w="300" w:type="dxa"/>
            <w:vAlign w:val="bottom"/>
            <w:shd w:val="clear" w:color="auto" w:fill="E5EAF5"/>
          </w:tcPr>
          <w:p>
            <w:pPr>
              <w:spacing w:after="0"/>
              <w:rPr>
                <w:sz w:val="15"/>
                <w:szCs w:val="15"/>
                <w:color w:val="auto"/>
              </w:rPr>
            </w:pPr>
          </w:p>
        </w:tc>
        <w:tc>
          <w:tcPr>
            <w:tcW w:w="740" w:type="dxa"/>
            <w:vAlign w:val="bottom"/>
            <w:shd w:val="clear" w:color="auto" w:fill="E5EAF5"/>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1580" w:type="dxa"/>
            <w:vAlign w:val="bottom"/>
            <w:shd w:val="clear" w:color="auto" w:fill="E5EAF5"/>
          </w:tcPr>
          <w:p>
            <w:pPr>
              <w:spacing w:after="0"/>
              <w:rPr>
                <w:sz w:val="15"/>
                <w:szCs w:val="15"/>
                <w:color w:val="auto"/>
              </w:rPr>
            </w:pPr>
          </w:p>
        </w:tc>
        <w:tc>
          <w:tcPr>
            <w:tcW w:w="3340" w:type="dxa"/>
            <w:vAlign w:val="bottom"/>
            <w:shd w:val="clear" w:color="auto" w:fill="E5EAF5"/>
          </w:tcPr>
          <w:p>
            <w:pPr>
              <w:ind w:left="380"/>
              <w:spacing w:after="0"/>
              <w:rPr>
                <w:sz w:val="20"/>
                <w:szCs w:val="20"/>
                <w:color w:val="auto"/>
              </w:rPr>
            </w:pPr>
            <w:r>
              <w:rPr>
                <w:rFonts w:ascii="Arial" w:cs="Arial" w:eastAsia="Arial" w:hAnsi="Arial"/>
                <w:sz w:val="14"/>
                <w:szCs w:val="14"/>
                <w:color w:val="auto"/>
              </w:rPr>
              <w:t>Outplacement Services and Other Benefits</w:t>
            </w:r>
          </w:p>
        </w:tc>
        <w:tc>
          <w:tcPr>
            <w:tcW w:w="720" w:type="dxa"/>
            <w:vAlign w:val="bottom"/>
            <w:shd w:val="clear" w:color="auto" w:fill="E5EAF5"/>
          </w:tcPr>
          <w:p>
            <w:pPr>
              <w:spacing w:after="0"/>
              <w:rPr>
                <w:sz w:val="15"/>
                <w:szCs w:val="15"/>
                <w:color w:val="auto"/>
              </w:rPr>
            </w:pPr>
          </w:p>
        </w:tc>
        <w:tc>
          <w:tcPr>
            <w:tcW w:w="620" w:type="dxa"/>
            <w:vAlign w:val="bottom"/>
            <w:shd w:val="clear" w:color="auto" w:fill="E5EAF5"/>
          </w:tcPr>
          <w:p>
            <w:pPr>
              <w:jc w:val="right"/>
              <w:ind w:right="152"/>
              <w:spacing w:after="0"/>
              <w:rPr>
                <w:sz w:val="20"/>
                <w:szCs w:val="20"/>
                <w:color w:val="auto"/>
              </w:rPr>
            </w:pPr>
            <w:r>
              <w:rPr>
                <w:rFonts w:ascii="Arial" w:cs="Arial" w:eastAsia="Arial" w:hAnsi="Arial"/>
                <w:sz w:val="14"/>
                <w:szCs w:val="14"/>
                <w:color w:val="auto"/>
              </w:rPr>
              <w:t>—</w:t>
            </w:r>
          </w:p>
        </w:tc>
        <w:tc>
          <w:tcPr>
            <w:tcW w:w="540" w:type="dxa"/>
            <w:vAlign w:val="bottom"/>
            <w:shd w:val="clear" w:color="auto" w:fill="E5EAF5"/>
          </w:tcPr>
          <w:p>
            <w:pPr>
              <w:spacing w:after="0"/>
              <w:rPr>
                <w:sz w:val="15"/>
                <w:szCs w:val="15"/>
                <w:color w:val="auto"/>
              </w:rPr>
            </w:pPr>
          </w:p>
        </w:tc>
        <w:tc>
          <w:tcPr>
            <w:tcW w:w="620" w:type="dxa"/>
            <w:vAlign w:val="bottom"/>
            <w:shd w:val="clear" w:color="auto" w:fill="E5EAF5"/>
          </w:tcPr>
          <w:p>
            <w:pPr>
              <w:jc w:val="right"/>
              <w:ind w:right="152"/>
              <w:spacing w:after="0"/>
              <w:rPr>
                <w:sz w:val="20"/>
                <w:szCs w:val="20"/>
                <w:color w:val="auto"/>
              </w:rPr>
            </w:pPr>
            <w:r>
              <w:rPr>
                <w:rFonts w:ascii="Arial" w:cs="Arial" w:eastAsia="Arial" w:hAnsi="Arial"/>
                <w:sz w:val="14"/>
                <w:szCs w:val="14"/>
                <w:color w:val="auto"/>
              </w:rPr>
              <w:t>—</w:t>
            </w:r>
          </w:p>
        </w:tc>
        <w:tc>
          <w:tcPr>
            <w:tcW w:w="1340" w:type="dxa"/>
            <w:vAlign w:val="bottom"/>
            <w:shd w:val="clear" w:color="auto" w:fill="E5EAF5"/>
          </w:tcPr>
          <w:p>
            <w:pPr>
              <w:jc w:val="right"/>
              <w:ind w:right="153"/>
              <w:spacing w:after="0"/>
              <w:rPr>
                <w:sz w:val="20"/>
                <w:szCs w:val="20"/>
                <w:color w:val="auto"/>
              </w:rPr>
            </w:pPr>
            <w:r>
              <w:rPr>
                <w:rFonts w:ascii="Arial" w:cs="Arial" w:eastAsia="Arial" w:hAnsi="Arial"/>
                <w:sz w:val="14"/>
                <w:szCs w:val="14"/>
                <w:color w:val="auto"/>
              </w:rPr>
              <w:t>12,000</w:t>
            </w:r>
          </w:p>
        </w:tc>
        <w:tc>
          <w:tcPr>
            <w:tcW w:w="300" w:type="dxa"/>
            <w:vAlign w:val="bottom"/>
            <w:shd w:val="clear" w:color="auto" w:fill="E5EAF5"/>
          </w:tcPr>
          <w:p>
            <w:pPr>
              <w:spacing w:after="0"/>
              <w:rPr>
                <w:sz w:val="15"/>
                <w:szCs w:val="15"/>
                <w:color w:val="auto"/>
              </w:rPr>
            </w:pPr>
          </w:p>
        </w:tc>
        <w:tc>
          <w:tcPr>
            <w:tcW w:w="920" w:type="dxa"/>
            <w:vAlign w:val="bottom"/>
            <w:shd w:val="clear" w:color="auto" w:fill="E5EAF5"/>
          </w:tcPr>
          <w:p>
            <w:pPr>
              <w:jc w:val="right"/>
              <w:ind w:right="172"/>
              <w:spacing w:after="0"/>
              <w:rPr>
                <w:sz w:val="20"/>
                <w:szCs w:val="20"/>
                <w:color w:val="auto"/>
              </w:rPr>
            </w:pPr>
            <w:r>
              <w:rPr>
                <w:rFonts w:ascii="Arial" w:cs="Arial" w:eastAsia="Arial" w:hAnsi="Arial"/>
                <w:sz w:val="14"/>
                <w:szCs w:val="14"/>
                <w:color w:val="auto"/>
              </w:rPr>
              <w:t>—</w:t>
            </w:r>
          </w:p>
        </w:tc>
        <w:tc>
          <w:tcPr>
            <w:tcW w:w="300" w:type="dxa"/>
            <w:vAlign w:val="bottom"/>
            <w:shd w:val="clear" w:color="auto" w:fill="E5EAF5"/>
          </w:tcPr>
          <w:p>
            <w:pPr>
              <w:spacing w:after="0"/>
              <w:rPr>
                <w:sz w:val="15"/>
                <w:szCs w:val="15"/>
                <w:color w:val="auto"/>
              </w:rPr>
            </w:pPr>
          </w:p>
        </w:tc>
        <w:tc>
          <w:tcPr>
            <w:tcW w:w="740" w:type="dxa"/>
            <w:vAlign w:val="bottom"/>
            <w:shd w:val="clear" w:color="auto" w:fill="E5EAF5"/>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1580" w:type="dxa"/>
            <w:vAlign w:val="bottom"/>
            <w:tcBorders>
              <w:bottom w:val="single" w:sz="8" w:color="0033A0"/>
            </w:tcBorders>
            <w:shd w:val="clear" w:color="auto" w:fill="E5EAF5"/>
          </w:tcPr>
          <w:p>
            <w:pPr>
              <w:spacing w:after="0"/>
              <w:rPr>
                <w:sz w:val="15"/>
                <w:szCs w:val="15"/>
                <w:color w:val="auto"/>
              </w:rPr>
            </w:pPr>
          </w:p>
        </w:tc>
        <w:tc>
          <w:tcPr>
            <w:tcW w:w="3340" w:type="dxa"/>
            <w:vAlign w:val="bottom"/>
            <w:tcBorders>
              <w:bottom w:val="single" w:sz="8" w:color="0033A0"/>
            </w:tcBorders>
            <w:shd w:val="clear" w:color="auto" w:fill="E5EAF5"/>
          </w:tcPr>
          <w:p>
            <w:pPr>
              <w:ind w:left="380"/>
              <w:spacing w:after="0"/>
              <w:rPr>
                <w:sz w:val="20"/>
                <w:szCs w:val="20"/>
                <w:color w:val="auto"/>
              </w:rPr>
            </w:pPr>
            <w:r>
              <w:rPr>
                <w:rFonts w:ascii="Arial" w:cs="Arial" w:eastAsia="Arial" w:hAnsi="Arial"/>
                <w:sz w:val="14"/>
                <w:szCs w:val="14"/>
                <w:color w:val="auto"/>
              </w:rPr>
              <w:t>Notice Period Payments</w:t>
            </w:r>
          </w:p>
        </w:tc>
        <w:tc>
          <w:tcPr>
            <w:tcW w:w="720" w:type="dxa"/>
            <w:vAlign w:val="bottom"/>
            <w:tcBorders>
              <w:bottom w:val="single" w:sz="8" w:color="0033A0"/>
            </w:tcBorders>
            <w:shd w:val="clear" w:color="auto" w:fill="E5EAF5"/>
          </w:tcPr>
          <w:p>
            <w:pPr>
              <w:spacing w:after="0"/>
              <w:rPr>
                <w:sz w:val="15"/>
                <w:szCs w:val="15"/>
                <w:color w:val="auto"/>
              </w:rPr>
            </w:pPr>
          </w:p>
        </w:tc>
        <w:tc>
          <w:tcPr>
            <w:tcW w:w="620" w:type="dxa"/>
            <w:vAlign w:val="bottom"/>
            <w:tcBorders>
              <w:bottom w:val="single" w:sz="8" w:color="0033A0"/>
            </w:tcBorders>
            <w:shd w:val="clear" w:color="auto" w:fill="E5EAF5"/>
          </w:tcPr>
          <w:p>
            <w:pPr>
              <w:jc w:val="right"/>
              <w:ind w:right="152"/>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0033A0"/>
            </w:tcBorders>
            <w:shd w:val="clear" w:color="auto" w:fill="E5EAF5"/>
          </w:tcPr>
          <w:p>
            <w:pPr>
              <w:spacing w:after="0"/>
              <w:rPr>
                <w:sz w:val="15"/>
                <w:szCs w:val="15"/>
                <w:color w:val="auto"/>
              </w:rPr>
            </w:pPr>
          </w:p>
        </w:tc>
        <w:tc>
          <w:tcPr>
            <w:tcW w:w="620" w:type="dxa"/>
            <w:vAlign w:val="bottom"/>
            <w:tcBorders>
              <w:bottom w:val="single" w:sz="8" w:color="0033A0"/>
            </w:tcBorders>
            <w:shd w:val="clear" w:color="auto" w:fill="E5EAF5"/>
          </w:tcPr>
          <w:p>
            <w:pPr>
              <w:jc w:val="right"/>
              <w:ind w:right="152"/>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0033A0"/>
            </w:tcBorders>
            <w:shd w:val="clear" w:color="auto" w:fill="E5EAF5"/>
          </w:tcPr>
          <w:p>
            <w:pPr>
              <w:jc w:val="right"/>
              <w:ind w:right="153"/>
              <w:spacing w:after="0"/>
              <w:rPr>
                <w:sz w:val="20"/>
                <w:szCs w:val="20"/>
                <w:color w:val="auto"/>
              </w:rPr>
            </w:pPr>
            <w:r>
              <w:rPr>
                <w:rFonts w:ascii="Arial" w:cs="Arial" w:eastAsia="Arial" w:hAnsi="Arial"/>
                <w:sz w:val="14"/>
                <w:szCs w:val="14"/>
                <w:color w:val="auto"/>
              </w:rPr>
              <w:t>1,383,029</w:t>
            </w:r>
          </w:p>
        </w:tc>
        <w:tc>
          <w:tcPr>
            <w:tcW w:w="300" w:type="dxa"/>
            <w:vAlign w:val="bottom"/>
            <w:tcBorders>
              <w:bottom w:val="single" w:sz="8" w:color="0033A0"/>
            </w:tcBorders>
            <w:shd w:val="clear" w:color="auto" w:fill="E5EAF5"/>
          </w:tcPr>
          <w:p>
            <w:pPr>
              <w:spacing w:after="0"/>
              <w:rPr>
                <w:sz w:val="15"/>
                <w:szCs w:val="15"/>
                <w:color w:val="auto"/>
              </w:rPr>
            </w:pPr>
          </w:p>
        </w:tc>
        <w:tc>
          <w:tcPr>
            <w:tcW w:w="920" w:type="dxa"/>
            <w:vAlign w:val="bottom"/>
            <w:tcBorders>
              <w:bottom w:val="single" w:sz="8" w:color="0033A0"/>
            </w:tcBorders>
            <w:shd w:val="clear" w:color="auto" w:fill="E5EAF5"/>
          </w:tcPr>
          <w:p>
            <w:pPr>
              <w:jc w:val="right"/>
              <w:ind w:right="172"/>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0033A0"/>
            </w:tcBorders>
            <w:shd w:val="clear" w:color="auto" w:fill="E5EAF5"/>
          </w:tcPr>
          <w:p>
            <w:pPr>
              <w:spacing w:after="0"/>
              <w:rPr>
                <w:sz w:val="15"/>
                <w:szCs w:val="15"/>
                <w:color w:val="auto"/>
              </w:rPr>
            </w:pPr>
          </w:p>
        </w:tc>
        <w:tc>
          <w:tcPr>
            <w:tcW w:w="740" w:type="dxa"/>
            <w:vAlign w:val="bottom"/>
            <w:tcBorders>
              <w:bottom w:val="single" w:sz="8" w:color="0033A0"/>
            </w:tcBorders>
            <w:shd w:val="clear" w:color="auto" w:fill="E5EAF5"/>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1580" w:type="dxa"/>
            <w:vAlign w:val="bottom"/>
            <w:shd w:val="clear" w:color="auto" w:fill="E5EAF5"/>
          </w:tcPr>
          <w:p>
            <w:pPr>
              <w:spacing w:after="0"/>
              <w:rPr>
                <w:sz w:val="13"/>
                <w:szCs w:val="13"/>
                <w:color w:val="auto"/>
              </w:rPr>
            </w:pPr>
          </w:p>
        </w:tc>
        <w:tc>
          <w:tcPr>
            <w:tcW w:w="3340" w:type="dxa"/>
            <w:vAlign w:val="bottom"/>
            <w:shd w:val="clear" w:color="auto" w:fill="E5EAF5"/>
          </w:tcPr>
          <w:p>
            <w:pPr>
              <w:ind w:left="380"/>
              <w:spacing w:after="0" w:line="155" w:lineRule="exact"/>
              <w:rPr>
                <w:sz w:val="20"/>
                <w:szCs w:val="20"/>
                <w:color w:val="auto"/>
              </w:rPr>
            </w:pPr>
            <w:r>
              <w:rPr>
                <w:rFonts w:ascii="Arial" w:cs="Arial" w:eastAsia="Arial" w:hAnsi="Arial"/>
                <w:sz w:val="14"/>
                <w:szCs w:val="14"/>
                <w:color w:val="auto"/>
              </w:rPr>
              <w:t>Total</w:t>
            </w:r>
          </w:p>
        </w:tc>
        <w:tc>
          <w:tcPr>
            <w:tcW w:w="720" w:type="dxa"/>
            <w:vAlign w:val="bottom"/>
            <w:shd w:val="clear" w:color="auto" w:fill="E5EAF5"/>
          </w:tcPr>
          <w:p>
            <w:pPr>
              <w:spacing w:after="0"/>
              <w:rPr>
                <w:sz w:val="13"/>
                <w:szCs w:val="13"/>
                <w:color w:val="auto"/>
              </w:rPr>
            </w:pPr>
          </w:p>
        </w:tc>
        <w:tc>
          <w:tcPr>
            <w:tcW w:w="620" w:type="dxa"/>
            <w:vAlign w:val="bottom"/>
            <w:shd w:val="clear" w:color="auto" w:fill="E5EAF5"/>
          </w:tcPr>
          <w:p>
            <w:pPr>
              <w:jc w:val="right"/>
              <w:ind w:right="152"/>
              <w:spacing w:after="0" w:line="155" w:lineRule="exact"/>
              <w:rPr>
                <w:sz w:val="20"/>
                <w:szCs w:val="20"/>
                <w:color w:val="auto"/>
              </w:rPr>
            </w:pPr>
            <w:r>
              <w:rPr>
                <w:rFonts w:ascii="Arial" w:cs="Arial" w:eastAsia="Arial" w:hAnsi="Arial"/>
                <w:sz w:val="14"/>
                <w:szCs w:val="14"/>
                <w:color w:val="auto"/>
              </w:rPr>
              <w:t>—</w:t>
            </w:r>
          </w:p>
        </w:tc>
        <w:tc>
          <w:tcPr>
            <w:tcW w:w="540" w:type="dxa"/>
            <w:vAlign w:val="bottom"/>
            <w:shd w:val="clear" w:color="auto" w:fill="E5EAF5"/>
          </w:tcPr>
          <w:p>
            <w:pPr>
              <w:spacing w:after="0"/>
              <w:rPr>
                <w:sz w:val="13"/>
                <w:szCs w:val="13"/>
                <w:color w:val="auto"/>
              </w:rPr>
            </w:pPr>
          </w:p>
        </w:tc>
        <w:tc>
          <w:tcPr>
            <w:tcW w:w="620" w:type="dxa"/>
            <w:vAlign w:val="bottom"/>
            <w:shd w:val="clear" w:color="auto" w:fill="E5EAF5"/>
          </w:tcPr>
          <w:p>
            <w:pPr>
              <w:jc w:val="right"/>
              <w:ind w:right="152"/>
              <w:spacing w:after="0" w:line="155" w:lineRule="exact"/>
              <w:rPr>
                <w:sz w:val="20"/>
                <w:szCs w:val="20"/>
                <w:color w:val="auto"/>
              </w:rPr>
            </w:pPr>
            <w:r>
              <w:rPr>
                <w:rFonts w:ascii="Arial" w:cs="Arial" w:eastAsia="Arial" w:hAnsi="Arial"/>
                <w:sz w:val="14"/>
                <w:szCs w:val="14"/>
                <w:color w:val="auto"/>
              </w:rPr>
              <w:t>—</w:t>
            </w:r>
          </w:p>
        </w:tc>
        <w:tc>
          <w:tcPr>
            <w:tcW w:w="1340" w:type="dxa"/>
            <w:vAlign w:val="bottom"/>
            <w:shd w:val="clear" w:color="auto" w:fill="E5EAF5"/>
          </w:tcPr>
          <w:p>
            <w:pPr>
              <w:jc w:val="right"/>
              <w:ind w:right="153"/>
              <w:spacing w:after="0" w:line="155" w:lineRule="exact"/>
              <w:rPr>
                <w:sz w:val="20"/>
                <w:szCs w:val="20"/>
                <w:color w:val="auto"/>
              </w:rPr>
            </w:pPr>
            <w:r>
              <w:rPr>
                <w:rFonts w:ascii="Arial" w:cs="Arial" w:eastAsia="Arial" w:hAnsi="Arial"/>
                <w:sz w:val="14"/>
                <w:szCs w:val="14"/>
                <w:color w:val="auto"/>
              </w:rPr>
              <w:t>7,509,881</w:t>
            </w:r>
          </w:p>
        </w:tc>
        <w:tc>
          <w:tcPr>
            <w:tcW w:w="300" w:type="dxa"/>
            <w:vAlign w:val="bottom"/>
            <w:shd w:val="clear" w:color="auto" w:fill="E5EAF5"/>
          </w:tcPr>
          <w:p>
            <w:pPr>
              <w:spacing w:after="0"/>
              <w:rPr>
                <w:sz w:val="13"/>
                <w:szCs w:val="13"/>
                <w:color w:val="auto"/>
              </w:rPr>
            </w:pPr>
          </w:p>
        </w:tc>
        <w:tc>
          <w:tcPr>
            <w:tcW w:w="920" w:type="dxa"/>
            <w:vAlign w:val="bottom"/>
            <w:shd w:val="clear" w:color="auto" w:fill="E5EAF5"/>
          </w:tcPr>
          <w:p>
            <w:pPr>
              <w:jc w:val="right"/>
              <w:ind w:right="172"/>
              <w:spacing w:after="0" w:line="155" w:lineRule="exact"/>
              <w:rPr>
                <w:sz w:val="20"/>
                <w:szCs w:val="20"/>
                <w:color w:val="auto"/>
              </w:rPr>
            </w:pPr>
            <w:r>
              <w:rPr>
                <w:rFonts w:ascii="Arial" w:cs="Arial" w:eastAsia="Arial" w:hAnsi="Arial"/>
                <w:sz w:val="14"/>
                <w:szCs w:val="14"/>
                <w:color w:val="auto"/>
              </w:rPr>
              <w:t>7,757,180</w:t>
            </w:r>
          </w:p>
        </w:tc>
        <w:tc>
          <w:tcPr>
            <w:tcW w:w="300" w:type="dxa"/>
            <w:vAlign w:val="bottom"/>
            <w:shd w:val="clear" w:color="auto" w:fill="E5EAF5"/>
          </w:tcPr>
          <w:p>
            <w:pPr>
              <w:spacing w:after="0"/>
              <w:rPr>
                <w:sz w:val="13"/>
                <w:szCs w:val="13"/>
                <w:color w:val="auto"/>
              </w:rPr>
            </w:pPr>
          </w:p>
        </w:tc>
        <w:tc>
          <w:tcPr>
            <w:tcW w:w="740" w:type="dxa"/>
            <w:vAlign w:val="bottom"/>
            <w:shd w:val="clear" w:color="auto" w:fill="E5EAF5"/>
          </w:tcPr>
          <w:p>
            <w:pPr>
              <w:jc w:val="right"/>
              <w:spacing w:after="0" w:line="155" w:lineRule="exact"/>
              <w:rPr>
                <w:sz w:val="20"/>
                <w:szCs w:val="20"/>
                <w:color w:val="auto"/>
              </w:rPr>
            </w:pPr>
            <w:r>
              <w:rPr>
                <w:rFonts w:ascii="Arial" w:cs="Arial" w:eastAsia="Arial" w:hAnsi="Arial"/>
                <w:sz w:val="14"/>
                <w:szCs w:val="14"/>
                <w:color w:val="auto"/>
              </w:rPr>
              <w:t>6,978,729</w:t>
            </w:r>
          </w:p>
        </w:tc>
        <w:tc>
          <w:tcPr>
            <w:tcW w:w="0" w:type="dxa"/>
            <w:vAlign w:val="bottom"/>
          </w:tcPr>
          <w:p>
            <w:pPr>
              <w:spacing w:after="0"/>
              <w:rPr>
                <w:sz w:val="1"/>
                <w:szCs w:val="1"/>
                <w:color w:val="auto"/>
              </w:rPr>
            </w:pPr>
          </w:p>
        </w:tc>
      </w:tr>
      <w:tr>
        <w:trPr>
          <w:trHeight w:val="41"/>
        </w:trPr>
        <w:tc>
          <w:tcPr>
            <w:tcW w:w="1580" w:type="dxa"/>
            <w:vAlign w:val="bottom"/>
            <w:shd w:val="clear" w:color="auto" w:fill="E5EAF5"/>
          </w:tcPr>
          <w:p>
            <w:pPr>
              <w:spacing w:after="0"/>
              <w:rPr>
                <w:sz w:val="3"/>
                <w:szCs w:val="3"/>
                <w:color w:val="auto"/>
              </w:rPr>
            </w:pPr>
          </w:p>
        </w:tc>
        <w:tc>
          <w:tcPr>
            <w:tcW w:w="3340" w:type="dxa"/>
            <w:vAlign w:val="bottom"/>
            <w:shd w:val="clear" w:color="auto" w:fill="E5EAF5"/>
          </w:tcPr>
          <w:p>
            <w:pPr>
              <w:spacing w:after="0"/>
              <w:rPr>
                <w:sz w:val="3"/>
                <w:szCs w:val="3"/>
                <w:color w:val="auto"/>
              </w:rPr>
            </w:pPr>
          </w:p>
        </w:tc>
        <w:tc>
          <w:tcPr>
            <w:tcW w:w="720" w:type="dxa"/>
            <w:vAlign w:val="bottom"/>
            <w:shd w:val="clear" w:color="auto" w:fill="E5EAF5"/>
          </w:tcPr>
          <w:p>
            <w:pPr>
              <w:spacing w:after="0"/>
              <w:rPr>
                <w:sz w:val="3"/>
                <w:szCs w:val="3"/>
                <w:color w:val="auto"/>
              </w:rPr>
            </w:pPr>
          </w:p>
        </w:tc>
        <w:tc>
          <w:tcPr>
            <w:tcW w:w="620" w:type="dxa"/>
            <w:vAlign w:val="bottom"/>
            <w:shd w:val="clear" w:color="auto" w:fill="E5EAF5"/>
          </w:tcPr>
          <w:p>
            <w:pPr>
              <w:spacing w:after="0"/>
              <w:rPr>
                <w:sz w:val="3"/>
                <w:szCs w:val="3"/>
                <w:color w:val="auto"/>
              </w:rPr>
            </w:pPr>
          </w:p>
        </w:tc>
        <w:tc>
          <w:tcPr>
            <w:tcW w:w="540" w:type="dxa"/>
            <w:vAlign w:val="bottom"/>
            <w:shd w:val="clear" w:color="auto" w:fill="E5EAF5"/>
          </w:tcPr>
          <w:p>
            <w:pPr>
              <w:spacing w:after="0"/>
              <w:rPr>
                <w:sz w:val="3"/>
                <w:szCs w:val="3"/>
                <w:color w:val="auto"/>
              </w:rPr>
            </w:pPr>
          </w:p>
        </w:tc>
        <w:tc>
          <w:tcPr>
            <w:tcW w:w="620" w:type="dxa"/>
            <w:vAlign w:val="bottom"/>
            <w:shd w:val="clear" w:color="auto" w:fill="E5EAF5"/>
          </w:tcPr>
          <w:p>
            <w:pPr>
              <w:spacing w:after="0"/>
              <w:rPr>
                <w:sz w:val="3"/>
                <w:szCs w:val="3"/>
                <w:color w:val="auto"/>
              </w:rPr>
            </w:pPr>
          </w:p>
        </w:tc>
        <w:tc>
          <w:tcPr>
            <w:tcW w:w="1340" w:type="dxa"/>
            <w:vAlign w:val="bottom"/>
            <w:shd w:val="clear" w:color="auto" w:fill="E5EAF5"/>
          </w:tcPr>
          <w:p>
            <w:pPr>
              <w:spacing w:after="0"/>
              <w:rPr>
                <w:sz w:val="3"/>
                <w:szCs w:val="3"/>
                <w:color w:val="auto"/>
              </w:rPr>
            </w:pPr>
          </w:p>
        </w:tc>
        <w:tc>
          <w:tcPr>
            <w:tcW w:w="300" w:type="dxa"/>
            <w:vAlign w:val="bottom"/>
            <w:shd w:val="clear" w:color="auto" w:fill="E5EAF5"/>
          </w:tcPr>
          <w:p>
            <w:pPr>
              <w:spacing w:after="0"/>
              <w:rPr>
                <w:sz w:val="3"/>
                <w:szCs w:val="3"/>
                <w:color w:val="auto"/>
              </w:rPr>
            </w:pPr>
          </w:p>
        </w:tc>
        <w:tc>
          <w:tcPr>
            <w:tcW w:w="920" w:type="dxa"/>
            <w:vAlign w:val="bottom"/>
            <w:shd w:val="clear" w:color="auto" w:fill="E5EAF5"/>
          </w:tcPr>
          <w:p>
            <w:pPr>
              <w:spacing w:after="0"/>
              <w:rPr>
                <w:sz w:val="3"/>
                <w:szCs w:val="3"/>
                <w:color w:val="auto"/>
              </w:rPr>
            </w:pPr>
          </w:p>
        </w:tc>
        <w:tc>
          <w:tcPr>
            <w:tcW w:w="300" w:type="dxa"/>
            <w:vAlign w:val="bottom"/>
            <w:shd w:val="clear" w:color="auto" w:fill="E5EAF5"/>
          </w:tcPr>
          <w:p>
            <w:pPr>
              <w:spacing w:after="0"/>
              <w:rPr>
                <w:sz w:val="3"/>
                <w:szCs w:val="3"/>
                <w:color w:val="auto"/>
              </w:rPr>
            </w:pPr>
          </w:p>
        </w:tc>
        <w:tc>
          <w:tcPr>
            <w:tcW w:w="740" w:type="dxa"/>
            <w:vAlign w:val="bottom"/>
            <w:shd w:val="clear" w:color="auto" w:fill="E5EAF5"/>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0</wp:posOffset>
            </wp:positionV>
            <wp:extent cx="699770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jc w:val="both"/>
        <w:ind w:left="520" w:right="260" w:hanging="316"/>
        <w:spacing w:after="0" w:line="199" w:lineRule="auto"/>
        <w:tabs>
          <w:tab w:leader="none" w:pos="520" w:val="left"/>
        </w:tabs>
        <w:numPr>
          <w:ilvl w:val="0"/>
          <w:numId w:val="67"/>
        </w:numPr>
        <w:rPr>
          <w:rFonts w:ascii="Arial" w:cs="Arial" w:eastAsia="Arial" w:hAnsi="Arial"/>
          <w:sz w:val="24"/>
          <w:szCs w:val="24"/>
          <w:color w:val="auto"/>
          <w:vertAlign w:val="superscript"/>
        </w:rPr>
      </w:pPr>
      <w:r>
        <w:rPr>
          <w:rFonts w:ascii="Arial" w:cs="Arial" w:eastAsia="Arial" w:hAnsi="Arial"/>
          <w:sz w:val="14"/>
          <w:szCs w:val="14"/>
          <w:color w:val="auto"/>
        </w:rPr>
        <w:t>As of January 1, 2019, Mr. Marshall was no longer serving as the Company’s General Counsel and Chief Administrative Officer. Information regarding compensation received by Mr. Marshall was disclosed on a Current Report on Form 8-K, filed with the SEC on January 7, 2019 and the Consulting Agreement by and between the Company and Mr. Marshall was filed as an exhibit to the Company’s Annual Report on Form 10-K for the year ended December 31, 2018.</w:t>
      </w:r>
    </w:p>
    <w:p>
      <w:pPr>
        <w:spacing w:after="0" w:line="30" w:lineRule="exact"/>
        <w:rPr>
          <w:rFonts w:ascii="Arial" w:cs="Arial" w:eastAsia="Arial" w:hAnsi="Arial"/>
          <w:sz w:val="24"/>
          <w:szCs w:val="24"/>
          <w:color w:val="auto"/>
          <w:vertAlign w:val="superscript"/>
        </w:rPr>
      </w:pPr>
    </w:p>
    <w:p>
      <w:pPr>
        <w:ind w:left="520" w:right="60" w:hanging="316"/>
        <w:spacing w:after="0" w:line="199" w:lineRule="auto"/>
        <w:tabs>
          <w:tab w:leader="none" w:pos="520" w:val="left"/>
        </w:tabs>
        <w:numPr>
          <w:ilvl w:val="0"/>
          <w:numId w:val="67"/>
        </w:numPr>
        <w:rPr>
          <w:rFonts w:ascii="Arial" w:cs="Arial" w:eastAsia="Arial" w:hAnsi="Arial"/>
          <w:sz w:val="24"/>
          <w:szCs w:val="24"/>
          <w:color w:val="auto"/>
          <w:vertAlign w:val="superscript"/>
        </w:rPr>
      </w:pPr>
      <w:r>
        <w:rPr>
          <w:rFonts w:ascii="Arial" w:cs="Arial" w:eastAsia="Arial" w:hAnsi="Arial"/>
          <w:sz w:val="14"/>
          <w:szCs w:val="14"/>
          <w:color w:val="auto"/>
        </w:rPr>
        <w:t>In the event of incapacity, short-term disability payments are payable by the Company for the first six months during the disability period. Such payments cover 100% of the executive’s base salary. The amounts represent the net present value of such disability payments, discounted at 3.13%. Amounts under the Company’s long-term disability program are not included as they are provided on a broad basis to U.S. employees. Mr. Zukerman is not eligible to participate in these benefits.</w:t>
      </w:r>
    </w:p>
    <w:p>
      <w:pPr>
        <w:spacing w:after="0" w:line="30" w:lineRule="exact"/>
        <w:rPr>
          <w:rFonts w:ascii="Arial" w:cs="Arial" w:eastAsia="Arial" w:hAnsi="Arial"/>
          <w:sz w:val="24"/>
          <w:szCs w:val="24"/>
          <w:color w:val="auto"/>
          <w:vertAlign w:val="superscript"/>
        </w:rPr>
      </w:pPr>
    </w:p>
    <w:p>
      <w:pPr>
        <w:ind w:left="520" w:right="220" w:hanging="316"/>
        <w:spacing w:after="0" w:line="183" w:lineRule="auto"/>
        <w:tabs>
          <w:tab w:leader="none" w:pos="520" w:val="left"/>
        </w:tabs>
        <w:numPr>
          <w:ilvl w:val="0"/>
          <w:numId w:val="67"/>
        </w:numPr>
        <w:rPr>
          <w:rFonts w:ascii="Arial" w:cs="Arial" w:eastAsia="Arial" w:hAnsi="Arial"/>
          <w:sz w:val="24"/>
          <w:szCs w:val="24"/>
          <w:color w:val="auto"/>
          <w:vertAlign w:val="superscript"/>
        </w:rPr>
      </w:pPr>
      <w:r>
        <w:rPr>
          <w:rFonts w:ascii="Arial" w:cs="Arial" w:eastAsia="Arial" w:hAnsi="Arial"/>
          <w:sz w:val="14"/>
          <w:szCs w:val="14"/>
          <w:color w:val="auto"/>
        </w:rPr>
        <w:t>Includes under “Benefit Plans” ten equal payments to the executive’s beneficiary or estate totaling three times the executive’s base salary under the Executive Salary Continuation Plan. These amounts represent the net present value discounted at 3.40%. Mr. Zukerman is not eligible for this benefit.</w:t>
      </w:r>
    </w:p>
    <w:p>
      <w:pPr>
        <w:spacing w:after="0" w:line="31" w:lineRule="exact"/>
        <w:rPr>
          <w:rFonts w:ascii="Arial" w:cs="Arial" w:eastAsia="Arial" w:hAnsi="Arial"/>
          <w:sz w:val="24"/>
          <w:szCs w:val="24"/>
          <w:color w:val="auto"/>
          <w:vertAlign w:val="superscript"/>
        </w:rPr>
      </w:pPr>
    </w:p>
    <w:p>
      <w:pPr>
        <w:ind w:left="520" w:right="180" w:hanging="316"/>
        <w:spacing w:after="0" w:line="208" w:lineRule="auto"/>
        <w:tabs>
          <w:tab w:leader="none" w:pos="520" w:val="left"/>
        </w:tabs>
        <w:numPr>
          <w:ilvl w:val="0"/>
          <w:numId w:val="67"/>
        </w:numPr>
        <w:rPr>
          <w:rFonts w:ascii="Arial" w:cs="Arial" w:eastAsia="Arial" w:hAnsi="Arial"/>
          <w:sz w:val="24"/>
          <w:szCs w:val="24"/>
          <w:color w:val="auto"/>
          <w:vertAlign w:val="superscript"/>
        </w:rPr>
      </w:pPr>
      <w:r>
        <w:rPr>
          <w:rFonts w:ascii="Arial" w:cs="Arial" w:eastAsia="Arial" w:hAnsi="Arial"/>
          <w:sz w:val="14"/>
          <w:szCs w:val="14"/>
          <w:color w:val="auto"/>
        </w:rPr>
        <w:t>Unvested options are valued based on the difference between the closing price of Brink’s Common Stock at December 31, 2018 and the option’s exercise price. If the option’s exercise price is less than the December 31, 2018 price, no value is attributed to the unvested option. Unvested RSUs are valued based on the number of unvested units multiplied by the closing price of Brink’s Common Stock at December 31, 2018. Unvested Relative TSR PSUs and Internal Metric PSUs, are valued in accordance with plan terms, based on the number of unvested units multiplied by the closing price of Brink’s Common Stock at December 31, 2018.</w:t>
      </w:r>
    </w:p>
    <w:p>
      <w:pPr>
        <w:spacing w:after="0" w:line="134" w:lineRule="exact"/>
        <w:rPr>
          <w:sz w:val="20"/>
          <w:szCs w:val="20"/>
          <w:color w:val="auto"/>
        </w:rPr>
      </w:pPr>
    </w:p>
    <w:tbl>
      <w:tblPr>
        <w:tblLayout w:type="fixed"/>
        <w:tblInd w:w="200" w:type="dxa"/>
        <w:tblCellMar>
          <w:top w:w="0" w:type="dxa"/>
          <w:left w:w="0" w:type="dxa"/>
          <w:bottom w:w="0" w:type="dxa"/>
          <w:right w:w="0" w:type="dxa"/>
        </w:tblCellMar>
      </w:tblPr>
      <w:tr>
        <w:trPr>
          <w:trHeight w:val="297"/>
        </w:trPr>
        <w:tc>
          <w:tcPr>
            <w:tcW w:w="360" w:type="dxa"/>
            <w:vAlign w:val="bottom"/>
            <w:tcBorders>
              <w:right w:val="single" w:sz="8" w:color="0033A0"/>
            </w:tcBorders>
          </w:tcPr>
          <w:p>
            <w:pPr>
              <w:jc w:val="right"/>
              <w:ind w:right="70"/>
              <w:spacing w:after="0"/>
              <w:rPr>
                <w:sz w:val="20"/>
                <w:szCs w:val="20"/>
                <w:color w:val="auto"/>
              </w:rPr>
            </w:pPr>
            <w:r>
              <w:rPr>
                <w:rFonts w:ascii="Arial" w:cs="Arial" w:eastAsia="Arial" w:hAnsi="Arial"/>
                <w:sz w:val="18"/>
                <w:szCs w:val="18"/>
                <w:b w:val="1"/>
                <w:bCs w:val="1"/>
                <w:color w:val="auto"/>
                <w:w w:val="89"/>
              </w:rPr>
              <w:t>60</w:t>
            </w:r>
          </w:p>
        </w:tc>
        <w:tc>
          <w:tcPr>
            <w:tcW w:w="3380" w:type="dxa"/>
            <w:vAlign w:val="bottom"/>
          </w:tcPr>
          <w:p>
            <w:pPr>
              <w:ind w:left="1600"/>
              <w:spacing w:after="0"/>
              <w:rPr>
                <w:sz w:val="20"/>
                <w:szCs w:val="20"/>
                <w:color w:val="auto"/>
              </w:rPr>
            </w:pPr>
            <w:r>
              <w:rPr>
                <w:rFonts w:ascii="Arial" w:cs="Arial" w:eastAsia="Arial" w:hAnsi="Arial"/>
                <w:sz w:val="18"/>
                <w:szCs w:val="18"/>
                <w:i w:val="1"/>
                <w:iCs w:val="1"/>
                <w:color w:val="auto"/>
                <w:w w:val="98"/>
              </w:rPr>
              <w:t>2019 Proxy Statement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-170815</wp:posOffset>
            </wp:positionV>
            <wp:extent cx="720090" cy="12890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0090" cy="12890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00" w:right="400"/>
        <w:spacing w:after="0" w:line="271" w:lineRule="auto"/>
        <w:rPr>
          <w:sz w:val="20"/>
          <w:szCs w:val="20"/>
          <w:color w:val="auto"/>
        </w:rPr>
      </w:pPr>
      <w:r>
        <w:rPr>
          <w:rFonts w:ascii="Arial" w:cs="Arial" w:eastAsia="Arial" w:hAnsi="Arial"/>
          <w:sz w:val="18"/>
          <w:szCs w:val="18"/>
          <w:b w:val="1"/>
          <w:bCs w:val="1"/>
          <w:i w:val="1"/>
          <w:iCs w:val="1"/>
          <w:color w:val="0033A0"/>
        </w:rPr>
        <w:t>Hypothetical Termination Benefits Following Termination Upon a Change in Control</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0033A0"/>
        </w:rPr>
        <w:t>Change in Control Agreements</w:t>
      </w:r>
    </w:p>
    <w:p>
      <w:pPr>
        <w:spacing w:after="0" w:line="126" w:lineRule="exact"/>
        <w:rPr>
          <w:sz w:val="20"/>
          <w:szCs w:val="20"/>
          <w:color w:val="auto"/>
        </w:rPr>
      </w:pPr>
    </w:p>
    <w:p>
      <w:pPr>
        <w:ind w:left="200" w:right="140"/>
        <w:spacing w:after="0"/>
        <w:rPr>
          <w:sz w:val="20"/>
          <w:szCs w:val="20"/>
          <w:color w:val="auto"/>
        </w:rPr>
      </w:pPr>
      <w:r>
        <w:rPr>
          <w:rFonts w:ascii="Arial" w:cs="Arial" w:eastAsia="Arial" w:hAnsi="Arial"/>
          <w:sz w:val="18"/>
          <w:szCs w:val="18"/>
          <w:color w:val="auto"/>
        </w:rPr>
        <w:t>The change in control agreements provide certain compensation and continued benefits in the event that a “change in control” occurs.</w:t>
      </w:r>
    </w:p>
    <w:p>
      <w:pPr>
        <w:spacing w:after="0" w:line="95"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In addition, these agreements provide additional benefits and payments in the event that a change in control occurs and either the executive is terminated by the Company other than for ‘‘cause’’ or incapacity or he resigns for ‘‘good reason’’ within two years following a change in control. Each named executive officer is a party to a change in control agreement with the Company with principal terms as described below. The executive’s entitlement to benefits under the agreement requires compliance with certain non-competition provisions.</w:t>
      </w:r>
    </w:p>
    <w:p>
      <w:pPr>
        <w:spacing w:after="0" w:line="7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Change in Control Agreements—Definitions of Key Terms</w:t>
      </w:r>
    </w:p>
    <w:p>
      <w:pPr>
        <w:spacing w:after="0" w:line="126" w:lineRule="exact"/>
        <w:rPr>
          <w:sz w:val="20"/>
          <w:szCs w:val="20"/>
          <w:color w:val="auto"/>
        </w:rPr>
      </w:pPr>
    </w:p>
    <w:p>
      <w:pPr>
        <w:ind w:left="200" w:right="520"/>
        <w:spacing w:after="0" w:line="246" w:lineRule="auto"/>
        <w:rPr>
          <w:sz w:val="20"/>
          <w:szCs w:val="20"/>
          <w:color w:val="auto"/>
        </w:rPr>
      </w:pPr>
      <w:r>
        <w:rPr>
          <w:rFonts w:ascii="Arial" w:cs="Arial" w:eastAsia="Arial" w:hAnsi="Arial"/>
          <w:sz w:val="18"/>
          <w:szCs w:val="18"/>
          <w:color w:val="auto"/>
        </w:rPr>
        <w:t>The change in control agreements generally define “cause,” “change in control” and “good reason” as follows:</w:t>
      </w:r>
    </w:p>
    <w:p>
      <w:pPr>
        <w:spacing w:after="0" w:line="102" w:lineRule="exact"/>
        <w:rPr>
          <w:sz w:val="20"/>
          <w:szCs w:val="20"/>
          <w:color w:val="auto"/>
        </w:rPr>
      </w:pPr>
    </w:p>
    <w:p>
      <w:pPr>
        <w:ind w:left="980" w:right="20" w:hanging="317"/>
        <w:spacing w:after="0" w:line="236" w:lineRule="auto"/>
        <w:tabs>
          <w:tab w:leader="none" w:pos="980" w:val="left"/>
        </w:tabs>
        <w:numPr>
          <w:ilvl w:val="0"/>
          <w:numId w:val="68"/>
        </w:numPr>
        <w:rPr>
          <w:rFonts w:ascii="Arial" w:cs="Arial" w:eastAsia="Arial" w:hAnsi="Arial"/>
          <w:sz w:val="18"/>
          <w:szCs w:val="18"/>
          <w:color w:val="0033A0"/>
        </w:rPr>
      </w:pPr>
      <w:r>
        <w:rPr>
          <w:rFonts w:ascii="Arial" w:cs="Arial" w:eastAsia="Arial" w:hAnsi="Arial"/>
          <w:sz w:val="18"/>
          <w:szCs w:val="18"/>
          <w:color w:val="auto"/>
        </w:rPr>
        <w:t>“cause” means embezzlement, theft or misappropriation of any property of the Company, the willful breach of any fiduciary duty to the Company, the willful failure or refusal to comply with laws or regulations applicable to the Company and its business or the policies of the Company governing the conduct of its employees, gross incompetence in the performance of job duties, commission of a felony or of any crime involving moral turpitude, fraud or misrepresentation, the failure to perform duties consistent with a commercially reasonable standard of care or any gross negligence or willful misconduct resulting in a loss to the Company.</w:t>
      </w:r>
    </w:p>
    <w:p>
      <w:pPr>
        <w:spacing w:after="0" w:line="110" w:lineRule="exact"/>
        <w:rPr>
          <w:rFonts w:ascii="Arial" w:cs="Arial" w:eastAsia="Arial" w:hAnsi="Arial"/>
          <w:sz w:val="18"/>
          <w:szCs w:val="18"/>
          <w:color w:val="0033A0"/>
        </w:rPr>
      </w:pPr>
    </w:p>
    <w:p>
      <w:pPr>
        <w:ind w:left="980" w:right="200" w:hanging="317"/>
        <w:spacing w:after="0" w:line="246" w:lineRule="auto"/>
        <w:tabs>
          <w:tab w:leader="none" w:pos="980" w:val="left"/>
        </w:tabs>
        <w:numPr>
          <w:ilvl w:val="0"/>
          <w:numId w:val="68"/>
        </w:numPr>
        <w:rPr>
          <w:rFonts w:ascii="Arial" w:cs="Arial" w:eastAsia="Arial" w:hAnsi="Arial"/>
          <w:sz w:val="18"/>
          <w:szCs w:val="18"/>
          <w:color w:val="0033A0"/>
        </w:rPr>
      </w:pPr>
      <w:r>
        <w:rPr>
          <w:rFonts w:ascii="Arial" w:cs="Arial" w:eastAsia="Arial" w:hAnsi="Arial"/>
          <w:sz w:val="18"/>
          <w:szCs w:val="18"/>
          <w:color w:val="auto"/>
        </w:rPr>
        <w:t>a “change in control” generally will be deemed to have occurred:</w:t>
      </w:r>
    </w:p>
    <w:p>
      <w:pPr>
        <w:spacing w:after="0" w:line="102" w:lineRule="exact"/>
        <w:rPr>
          <w:rFonts w:ascii="Arial" w:cs="Arial" w:eastAsia="Arial" w:hAnsi="Arial"/>
          <w:sz w:val="18"/>
          <w:szCs w:val="18"/>
          <w:color w:val="0033A0"/>
        </w:rPr>
      </w:pPr>
    </w:p>
    <w:p>
      <w:pPr>
        <w:ind w:left="1340" w:right="80" w:hanging="312"/>
        <w:spacing w:after="0" w:line="237" w:lineRule="auto"/>
        <w:tabs>
          <w:tab w:leader="none" w:pos="1340" w:val="left"/>
        </w:tabs>
        <w:numPr>
          <w:ilvl w:val="1"/>
          <w:numId w:val="68"/>
        </w:numPr>
        <w:rPr>
          <w:rFonts w:ascii="Arial" w:cs="Arial" w:eastAsia="Arial" w:hAnsi="Arial"/>
          <w:sz w:val="18"/>
          <w:szCs w:val="18"/>
          <w:color w:val="0033A0"/>
        </w:rPr>
      </w:pPr>
      <w:r>
        <w:rPr>
          <w:rFonts w:ascii="Arial" w:cs="Arial" w:eastAsia="Arial" w:hAnsi="Arial"/>
          <w:sz w:val="18"/>
          <w:szCs w:val="18"/>
          <w:color w:val="auto"/>
        </w:rPr>
        <w:t>upon any (1) combination of the Company in which the Company is not the surviving entity or upon certain conversion of all of the shares of Brink’s Common Stock (2) sale, lease, exchange or other transfer (in one transaction or a series of transactions) of all or substantially all the assets of the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0033A0"/>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-668020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95" w:lineRule="exact"/>
        <w:rPr>
          <w:sz w:val="20"/>
          <w:szCs w:val="20"/>
          <w:color w:val="auto"/>
        </w:rPr>
      </w:pPr>
    </w:p>
    <w:p>
      <w:pPr>
        <w:ind w:left="1140" w:right="200" w:hanging="312"/>
        <w:spacing w:after="0"/>
        <w:tabs>
          <w:tab w:leader="none" w:pos="1140" w:val="left"/>
        </w:tabs>
        <w:numPr>
          <w:ilvl w:val="1"/>
          <w:numId w:val="69"/>
        </w:numPr>
        <w:rPr>
          <w:rFonts w:ascii="Arial" w:cs="Arial" w:eastAsia="Arial" w:hAnsi="Arial"/>
          <w:sz w:val="18"/>
          <w:szCs w:val="18"/>
          <w:color w:val="0033A0"/>
        </w:rPr>
      </w:pPr>
      <w:r>
        <w:rPr>
          <w:rFonts w:ascii="Arial" w:cs="Arial" w:eastAsia="Arial" w:hAnsi="Arial"/>
          <w:sz w:val="18"/>
          <w:szCs w:val="18"/>
          <w:color w:val="auto"/>
        </w:rPr>
        <w:t>when any third-party becomes the beneficial owner of more than 20% of the total voting power of the Company; or</w:t>
      </w:r>
    </w:p>
    <w:p>
      <w:pPr>
        <w:spacing w:after="0" w:line="108" w:lineRule="exact"/>
        <w:rPr>
          <w:rFonts w:ascii="Arial" w:cs="Arial" w:eastAsia="Arial" w:hAnsi="Arial"/>
          <w:sz w:val="18"/>
          <w:szCs w:val="18"/>
          <w:color w:val="0033A0"/>
        </w:rPr>
      </w:pPr>
    </w:p>
    <w:p>
      <w:pPr>
        <w:ind w:left="1140" w:right="80" w:hanging="312"/>
        <w:spacing w:after="0" w:line="236" w:lineRule="auto"/>
        <w:tabs>
          <w:tab w:leader="none" w:pos="1140" w:val="left"/>
        </w:tabs>
        <w:numPr>
          <w:ilvl w:val="1"/>
          <w:numId w:val="69"/>
        </w:numPr>
        <w:rPr>
          <w:rFonts w:ascii="Arial" w:cs="Arial" w:eastAsia="Arial" w:hAnsi="Arial"/>
          <w:sz w:val="18"/>
          <w:szCs w:val="18"/>
          <w:color w:val="0033A0"/>
        </w:rPr>
      </w:pPr>
      <w:r>
        <w:rPr>
          <w:rFonts w:ascii="Arial" w:cs="Arial" w:eastAsia="Arial" w:hAnsi="Arial"/>
          <w:sz w:val="18"/>
          <w:szCs w:val="18"/>
          <w:color w:val="auto"/>
        </w:rPr>
        <w:t>if at any time during a period of two consecutive years, individuals who at the beginning of such period constituted the Board cease for any reason to constitute at least a majority thereof, unless the election by the Company’s shareholders of certain new directors during such two-year period was approved by a vote of at least two-thirds of the directors then still in office who were directors at the beginning of such two-year period.</w:t>
      </w:r>
    </w:p>
    <w:p>
      <w:pPr>
        <w:spacing w:after="0" w:line="112" w:lineRule="exact"/>
        <w:rPr>
          <w:rFonts w:ascii="Arial" w:cs="Arial" w:eastAsia="Arial" w:hAnsi="Arial"/>
          <w:sz w:val="18"/>
          <w:szCs w:val="18"/>
          <w:color w:val="0033A0"/>
        </w:rPr>
      </w:pPr>
    </w:p>
    <w:p>
      <w:pPr>
        <w:ind w:left="780" w:hanging="317"/>
        <w:spacing w:after="0"/>
        <w:tabs>
          <w:tab w:leader="none" w:pos="780" w:val="left"/>
        </w:tabs>
        <w:numPr>
          <w:ilvl w:val="0"/>
          <w:numId w:val="69"/>
        </w:numPr>
        <w:rPr>
          <w:rFonts w:ascii="Arial" w:cs="Arial" w:eastAsia="Arial" w:hAnsi="Arial"/>
          <w:sz w:val="18"/>
          <w:szCs w:val="18"/>
          <w:color w:val="0033A0"/>
        </w:rPr>
      </w:pPr>
      <w:r>
        <w:rPr>
          <w:rFonts w:ascii="Arial" w:cs="Arial" w:eastAsia="Arial" w:hAnsi="Arial"/>
          <w:sz w:val="18"/>
          <w:szCs w:val="18"/>
          <w:color w:val="auto"/>
        </w:rPr>
        <w:t>“good reason” generally means:</w:t>
      </w:r>
    </w:p>
    <w:p>
      <w:pPr>
        <w:spacing w:after="0" w:line="117" w:lineRule="exact"/>
        <w:rPr>
          <w:rFonts w:ascii="Arial" w:cs="Arial" w:eastAsia="Arial" w:hAnsi="Arial"/>
          <w:sz w:val="18"/>
          <w:szCs w:val="18"/>
          <w:color w:val="0033A0"/>
        </w:rPr>
      </w:pPr>
    </w:p>
    <w:p>
      <w:pPr>
        <w:ind w:left="780" w:right="540" w:hanging="317"/>
        <w:spacing w:after="0" w:line="275" w:lineRule="auto"/>
        <w:tabs>
          <w:tab w:leader="none" w:pos="780" w:val="left"/>
        </w:tabs>
        <w:numPr>
          <w:ilvl w:val="0"/>
          <w:numId w:val="69"/>
        </w:numPr>
        <w:rPr>
          <w:rFonts w:ascii="Arial" w:cs="Arial" w:eastAsia="Arial" w:hAnsi="Arial"/>
          <w:sz w:val="17"/>
          <w:szCs w:val="17"/>
          <w:color w:val="0033A0"/>
        </w:rPr>
      </w:pPr>
      <w:r>
        <w:rPr>
          <w:rFonts w:ascii="Arial" w:cs="Arial" w:eastAsia="Arial" w:hAnsi="Arial"/>
          <w:sz w:val="17"/>
          <w:szCs w:val="17"/>
          <w:color w:val="auto"/>
        </w:rPr>
        <w:t>material diminution in the named executive officer’s position, authority, duties or responsibilities;</w:t>
      </w:r>
    </w:p>
    <w:p>
      <w:pPr>
        <w:spacing w:after="0" w:line="78" w:lineRule="exact"/>
        <w:rPr>
          <w:rFonts w:ascii="Arial" w:cs="Arial" w:eastAsia="Arial" w:hAnsi="Arial"/>
          <w:sz w:val="17"/>
          <w:szCs w:val="17"/>
          <w:color w:val="0033A0"/>
        </w:rPr>
      </w:pPr>
    </w:p>
    <w:p>
      <w:pPr>
        <w:ind w:left="780" w:right="260" w:hanging="317"/>
        <w:spacing w:after="0"/>
        <w:tabs>
          <w:tab w:leader="none" w:pos="780" w:val="left"/>
        </w:tabs>
        <w:numPr>
          <w:ilvl w:val="0"/>
          <w:numId w:val="69"/>
        </w:numPr>
        <w:rPr>
          <w:rFonts w:ascii="Arial" w:cs="Arial" w:eastAsia="Arial" w:hAnsi="Arial"/>
          <w:sz w:val="18"/>
          <w:szCs w:val="18"/>
          <w:color w:val="0033A0"/>
        </w:rPr>
      </w:pPr>
      <w:r>
        <w:rPr>
          <w:rFonts w:ascii="Arial" w:cs="Arial" w:eastAsia="Arial" w:hAnsi="Arial"/>
          <w:sz w:val="18"/>
          <w:szCs w:val="18"/>
          <w:color w:val="auto"/>
        </w:rPr>
        <w:t>material breach of or failure by the Company to comply with its obligations under the change in control agreement;</w:t>
      </w:r>
    </w:p>
    <w:p>
      <w:pPr>
        <w:spacing w:after="0" w:line="108" w:lineRule="exact"/>
        <w:rPr>
          <w:rFonts w:ascii="Arial" w:cs="Arial" w:eastAsia="Arial" w:hAnsi="Arial"/>
          <w:sz w:val="18"/>
          <w:szCs w:val="18"/>
          <w:color w:val="0033A0"/>
        </w:rPr>
      </w:pPr>
    </w:p>
    <w:p>
      <w:pPr>
        <w:ind w:left="780" w:right="20" w:hanging="317"/>
        <w:spacing w:after="0"/>
        <w:tabs>
          <w:tab w:leader="none" w:pos="780" w:val="left"/>
        </w:tabs>
        <w:numPr>
          <w:ilvl w:val="0"/>
          <w:numId w:val="69"/>
        </w:numPr>
        <w:rPr>
          <w:rFonts w:ascii="Arial" w:cs="Arial" w:eastAsia="Arial" w:hAnsi="Arial"/>
          <w:sz w:val="18"/>
          <w:szCs w:val="18"/>
          <w:color w:val="0033A0"/>
        </w:rPr>
      </w:pPr>
      <w:r>
        <w:rPr>
          <w:rFonts w:ascii="Arial" w:cs="Arial" w:eastAsia="Arial" w:hAnsi="Arial"/>
          <w:sz w:val="18"/>
          <w:szCs w:val="18"/>
          <w:color w:val="auto"/>
        </w:rPr>
        <w:t>a change to the named executive officer’s work location that increases the distance of the executive’s commute by a pre-determined amount; or</w:t>
      </w:r>
    </w:p>
    <w:p>
      <w:pPr>
        <w:spacing w:after="0" w:line="108" w:lineRule="exact"/>
        <w:rPr>
          <w:rFonts w:ascii="Arial" w:cs="Arial" w:eastAsia="Arial" w:hAnsi="Arial"/>
          <w:sz w:val="18"/>
          <w:szCs w:val="18"/>
          <w:color w:val="0033A0"/>
        </w:rPr>
      </w:pPr>
    </w:p>
    <w:p>
      <w:pPr>
        <w:ind w:left="780" w:right="180" w:hanging="317"/>
        <w:spacing w:after="0" w:line="239" w:lineRule="auto"/>
        <w:tabs>
          <w:tab w:leader="none" w:pos="780" w:val="left"/>
        </w:tabs>
        <w:numPr>
          <w:ilvl w:val="0"/>
          <w:numId w:val="69"/>
        </w:numPr>
        <w:rPr>
          <w:rFonts w:ascii="Arial" w:cs="Arial" w:eastAsia="Arial" w:hAnsi="Arial"/>
          <w:sz w:val="18"/>
          <w:szCs w:val="18"/>
          <w:color w:val="0033A0"/>
        </w:rPr>
      </w:pPr>
      <w:r>
        <w:rPr>
          <w:rFonts w:ascii="Arial" w:cs="Arial" w:eastAsia="Arial" w:hAnsi="Arial"/>
          <w:sz w:val="18"/>
          <w:szCs w:val="18"/>
          <w:color w:val="auto"/>
        </w:rPr>
        <w:t>the failure by the Company to require any successor entity to assume the applicable agreement and agree to perform the Company’s obligations under the applicable agreement;</w:t>
      </w:r>
    </w:p>
    <w:p>
      <w:pPr>
        <w:spacing w:after="0" w:line="89" w:lineRule="exact"/>
        <w:rPr>
          <w:rFonts w:ascii="Arial" w:cs="Arial" w:eastAsia="Arial" w:hAnsi="Arial"/>
          <w:sz w:val="18"/>
          <w:szCs w:val="18"/>
          <w:color w:val="0033A0"/>
        </w:rPr>
      </w:pPr>
    </w:p>
    <w:p>
      <w:pPr>
        <w:ind w:left="780" w:right="120" w:hanging="317"/>
        <w:spacing w:after="0" w:line="245" w:lineRule="auto"/>
        <w:tabs>
          <w:tab w:leader="none" w:pos="780" w:val="left"/>
        </w:tabs>
        <w:numPr>
          <w:ilvl w:val="0"/>
          <w:numId w:val="69"/>
        </w:numPr>
        <w:rPr>
          <w:rFonts w:ascii="Arial" w:cs="Arial" w:eastAsia="Arial" w:hAnsi="Arial"/>
          <w:sz w:val="18"/>
          <w:szCs w:val="18"/>
          <w:color w:val="0033A0"/>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good reason will cease to exist if</w:t>
      </w:r>
      <w:r>
        <w:rPr>
          <w:rFonts w:ascii="Arial" w:cs="Arial" w:eastAsia="Arial" w:hAnsi="Arial"/>
          <w:sz w:val="18"/>
          <w:szCs w:val="18"/>
          <w:i w:val="1"/>
          <w:iCs w:val="1"/>
          <w:color w:val="auto"/>
        </w:rPr>
        <w:t xml:space="preserve"> </w:t>
      </w:r>
      <w:r>
        <w:rPr>
          <w:rFonts w:ascii="Arial" w:cs="Arial" w:eastAsia="Arial" w:hAnsi="Arial"/>
          <w:sz w:val="18"/>
          <w:szCs w:val="18"/>
          <w:color w:val="auto"/>
        </w:rPr>
        <w:t>the named executive officer has not terminated employment within two years following the initial occurrence of the event constituting good reason.</w:t>
      </w:r>
    </w:p>
    <w:p>
      <w:pPr>
        <w:spacing w:after="0" w:line="91"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For Mr. Pertz, “good reason” means any of the following events that is not cured by the Company within 30 days after written notice thereof from Mr. Pertz to the Company, which written notice must be made within 90 days of the occurrence of the event:</w:t>
      </w:r>
    </w:p>
    <w:p>
      <w:pPr>
        <w:spacing w:after="0" w:line="107" w:lineRule="exact"/>
        <w:rPr>
          <w:sz w:val="20"/>
          <w:szCs w:val="20"/>
          <w:color w:val="auto"/>
        </w:rPr>
      </w:pPr>
    </w:p>
    <w:p>
      <w:pPr>
        <w:ind w:left="780" w:right="20" w:hanging="317"/>
        <w:spacing w:after="0" w:line="237" w:lineRule="auto"/>
        <w:tabs>
          <w:tab w:leader="none" w:pos="780" w:val="left"/>
        </w:tabs>
        <w:numPr>
          <w:ilvl w:val="0"/>
          <w:numId w:val="70"/>
        </w:numPr>
        <w:rPr>
          <w:rFonts w:ascii="Arial" w:cs="Arial" w:eastAsia="Arial" w:hAnsi="Arial"/>
          <w:sz w:val="18"/>
          <w:szCs w:val="18"/>
          <w:color w:val="0033A0"/>
        </w:rPr>
      </w:pPr>
      <w:r>
        <w:rPr>
          <w:rFonts w:ascii="Arial" w:cs="Arial" w:eastAsia="Arial" w:hAnsi="Arial"/>
          <w:sz w:val="18"/>
          <w:szCs w:val="18"/>
          <w:color w:val="auto"/>
        </w:rPr>
        <w:t>without Mr. Pertz’s written consent, the assignment of duties materially inconsistent with his position, duties or responsibilities (including reduction of duties related to the Company as a public company, such that those duties no longer constitute a substantial portion of his duties) or any material diminution in position, authorities, duties or responsibilities;</w:t>
      </w:r>
    </w:p>
    <w:p>
      <w:pPr>
        <w:spacing w:after="0" w:line="285" w:lineRule="exact"/>
        <w:rPr>
          <w:sz w:val="20"/>
          <w:szCs w:val="20"/>
          <w:color w:val="auto"/>
        </w:rPr>
      </w:pPr>
    </w:p>
    <w:tbl>
      <w:tblPr>
        <w:tblLayout w:type="fixed"/>
        <w:tblInd w:w="3000" w:type="dxa"/>
        <w:tblCellMar>
          <w:top w:w="0" w:type="dxa"/>
          <w:left w:w="0" w:type="dxa"/>
          <w:bottom w:w="0" w:type="dxa"/>
          <w:right w:w="0" w:type="dxa"/>
        </w:tblCellMar>
      </w:tblPr>
      <w:tr>
        <w:trPr>
          <w:trHeight w:val="297"/>
        </w:trPr>
        <w:tc>
          <w:tcPr>
            <w:tcW w:w="1900" w:type="dxa"/>
            <w:vAlign w:val="bottom"/>
            <w:tcBorders>
              <w:right w:val="single" w:sz="8" w:color="0033A0"/>
            </w:tcBorders>
          </w:tcPr>
          <w:p>
            <w:pPr>
              <w:spacing w:after="0"/>
              <w:rPr>
                <w:sz w:val="20"/>
                <w:szCs w:val="20"/>
                <w:color w:val="auto"/>
              </w:rPr>
            </w:pPr>
            <w:r>
              <w:rPr>
                <w:rFonts w:ascii="Arial" w:cs="Arial" w:eastAsia="Arial" w:hAnsi="Arial"/>
                <w:sz w:val="18"/>
                <w:szCs w:val="18"/>
                <w:i w:val="1"/>
                <w:iCs w:val="1"/>
                <w:color w:val="auto"/>
              </w:rPr>
              <w:t>2019 Proxy Statement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1026160</wp:posOffset>
            </wp:positionH>
            <wp:positionV relativeFrom="paragraph">
              <wp:posOffset>-170815</wp:posOffset>
            </wp:positionV>
            <wp:extent cx="720090" cy="12890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0090" cy="128905"/>
                    </a:xfrm>
                    <a:prstGeom prst="rect">
                      <a:avLst/>
                    </a:prstGeom>
                    <a:noFill/>
                  </pic:spPr>
                </pic:pic>
              </a:graphicData>
            </a:graphic>
          </wp:anchor>
        </w:drawing>
      </w:r>
    </w:p>
    <w:p>
      <w:pPr>
        <w:sectPr>
          <w:pgSz w:w="11900" w:h="16838" w:orient="portrait"/>
          <w:cols w:equalWidth="0" w:num="2">
            <w:col w:w="5480" w:space="340"/>
            <w:col w:w="5400"/>
          </w:cols>
          <w:pgMar w:left="240" w:top="459" w:right="4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0033A0"/>
        </w:rPr>
        <w:t>The Brink’s Company</w:t>
      </w:r>
    </w:p>
    <w:p>
      <w:pPr>
        <w:spacing w:after="0" w:line="215" w:lineRule="exact"/>
        <w:rPr>
          <w:sz w:val="20"/>
          <w:szCs w:val="20"/>
          <w:color w:val="auto"/>
        </w:rPr>
      </w:pPr>
    </w:p>
    <w:p>
      <w:pPr>
        <w:ind w:left="980" w:right="40" w:hanging="317"/>
        <w:spacing w:after="0" w:line="239" w:lineRule="auto"/>
        <w:tabs>
          <w:tab w:leader="none" w:pos="980" w:val="left"/>
        </w:tabs>
        <w:numPr>
          <w:ilvl w:val="0"/>
          <w:numId w:val="71"/>
        </w:numPr>
        <w:rPr>
          <w:rFonts w:ascii="Arial" w:cs="Arial" w:eastAsia="Arial" w:hAnsi="Arial"/>
          <w:sz w:val="18"/>
          <w:szCs w:val="18"/>
          <w:color w:val="0033A0"/>
        </w:rPr>
      </w:pPr>
      <w:r>
        <w:rPr>
          <w:rFonts w:ascii="Arial" w:cs="Arial" w:eastAsia="Arial" w:hAnsi="Arial"/>
          <w:sz w:val="18"/>
          <w:szCs w:val="18"/>
          <w:color w:val="auto"/>
        </w:rPr>
        <w:t>removal from the Board (other than for Cause) or the failure to be renominated for election to be a member of the Board at the expiration of a term (excluding failure to be reelected to the Board by the shareholders);</w:t>
      </w:r>
    </w:p>
    <w:p>
      <w:pPr>
        <w:spacing w:after="0" w:line="107" w:lineRule="exact"/>
        <w:rPr>
          <w:rFonts w:ascii="Arial" w:cs="Arial" w:eastAsia="Arial" w:hAnsi="Arial"/>
          <w:sz w:val="18"/>
          <w:szCs w:val="18"/>
          <w:color w:val="0033A0"/>
        </w:rPr>
      </w:pPr>
    </w:p>
    <w:p>
      <w:pPr>
        <w:ind w:left="980" w:right="500" w:hanging="317"/>
        <w:spacing w:after="0"/>
        <w:tabs>
          <w:tab w:leader="none" w:pos="980" w:val="left"/>
        </w:tabs>
        <w:numPr>
          <w:ilvl w:val="0"/>
          <w:numId w:val="71"/>
        </w:numPr>
        <w:rPr>
          <w:rFonts w:ascii="Arial" w:cs="Arial" w:eastAsia="Arial" w:hAnsi="Arial"/>
          <w:sz w:val="18"/>
          <w:szCs w:val="18"/>
          <w:color w:val="0033A0"/>
        </w:rPr>
      </w:pPr>
      <w:r>
        <w:rPr>
          <w:rFonts w:ascii="Arial" w:cs="Arial" w:eastAsia="Arial" w:hAnsi="Arial"/>
          <w:sz w:val="18"/>
          <w:szCs w:val="18"/>
          <w:color w:val="auto"/>
        </w:rPr>
        <w:t>without Mr. Pertz’s written consent, the Company’s requiring him to change his work location by a pre-determined amount;</w:t>
      </w:r>
    </w:p>
    <w:p>
      <w:pPr>
        <w:spacing w:after="0" w:line="108" w:lineRule="exact"/>
        <w:rPr>
          <w:rFonts w:ascii="Arial" w:cs="Arial" w:eastAsia="Arial" w:hAnsi="Arial"/>
          <w:sz w:val="18"/>
          <w:szCs w:val="18"/>
          <w:color w:val="0033A0"/>
        </w:rPr>
      </w:pPr>
    </w:p>
    <w:p>
      <w:pPr>
        <w:ind w:left="980" w:right="260" w:hanging="317"/>
        <w:spacing w:after="0" w:line="257" w:lineRule="auto"/>
        <w:tabs>
          <w:tab w:leader="none" w:pos="980" w:val="left"/>
        </w:tabs>
        <w:numPr>
          <w:ilvl w:val="0"/>
          <w:numId w:val="71"/>
        </w:numPr>
        <w:rPr>
          <w:rFonts w:ascii="Arial" w:cs="Arial" w:eastAsia="Arial" w:hAnsi="Arial"/>
          <w:sz w:val="17"/>
          <w:szCs w:val="17"/>
          <w:color w:val="0033A0"/>
        </w:rPr>
      </w:pPr>
      <w:r>
        <w:rPr>
          <w:rFonts w:ascii="Arial" w:cs="Arial" w:eastAsia="Arial" w:hAnsi="Arial"/>
          <w:sz w:val="17"/>
          <w:szCs w:val="17"/>
          <w:color w:val="auto"/>
        </w:rPr>
        <w:t>a material reduction in annual base salary or target annual incentive opportunity (other than in connection with a reduction that applies to employees of the Company and its Subsidiaries generally); or</w:t>
      </w:r>
    </w:p>
    <w:p>
      <w:pPr>
        <w:spacing w:after="0" w:line="94" w:lineRule="exact"/>
        <w:rPr>
          <w:rFonts w:ascii="Arial" w:cs="Arial" w:eastAsia="Arial" w:hAnsi="Arial"/>
          <w:sz w:val="17"/>
          <w:szCs w:val="17"/>
          <w:color w:val="0033A0"/>
        </w:rPr>
      </w:pPr>
    </w:p>
    <w:p>
      <w:pPr>
        <w:ind w:left="980" w:right="100" w:hanging="317"/>
        <w:spacing w:after="0"/>
        <w:tabs>
          <w:tab w:leader="none" w:pos="980" w:val="left"/>
        </w:tabs>
        <w:numPr>
          <w:ilvl w:val="0"/>
          <w:numId w:val="71"/>
        </w:numPr>
        <w:rPr>
          <w:rFonts w:ascii="Arial" w:cs="Arial" w:eastAsia="Arial" w:hAnsi="Arial"/>
          <w:sz w:val="18"/>
          <w:szCs w:val="18"/>
          <w:color w:val="0033A0"/>
        </w:rPr>
      </w:pPr>
      <w:r>
        <w:rPr>
          <w:rFonts w:ascii="Arial" w:cs="Arial" w:eastAsia="Arial" w:hAnsi="Arial"/>
          <w:sz w:val="18"/>
          <w:szCs w:val="18"/>
          <w:color w:val="auto"/>
        </w:rPr>
        <w:t>material breach of, or failure by the Company to comply with, the provisions of the Change in Control Agreement.</w:t>
      </w:r>
    </w:p>
    <w:p>
      <w:pPr>
        <w:spacing w:after="0" w:line="73" w:lineRule="exact"/>
        <w:rPr>
          <w:sz w:val="20"/>
          <w:szCs w:val="20"/>
          <w:color w:val="auto"/>
        </w:rPr>
      </w:pPr>
    </w:p>
    <w:p>
      <w:pPr>
        <w:ind w:left="200" w:right="80"/>
        <w:spacing w:after="0" w:line="271" w:lineRule="auto"/>
        <w:rPr>
          <w:sz w:val="20"/>
          <w:szCs w:val="20"/>
          <w:color w:val="auto"/>
        </w:rPr>
      </w:pPr>
      <w:r>
        <w:rPr>
          <w:rFonts w:ascii="Arial" w:cs="Arial" w:eastAsia="Arial" w:hAnsi="Arial"/>
          <w:sz w:val="18"/>
          <w:szCs w:val="18"/>
          <w:b w:val="1"/>
          <w:bCs w:val="1"/>
          <w:i w:val="1"/>
          <w:iCs w:val="1"/>
          <w:color w:val="auto"/>
        </w:rPr>
        <w:t>Change in Control Agreements–Benefits Following a Change in Control if Executive is not Terminated</w:t>
      </w:r>
    </w:p>
    <w:p>
      <w:pPr>
        <w:spacing w:after="0" w:line="46" w:lineRule="exact"/>
        <w:rPr>
          <w:sz w:val="20"/>
          <w:szCs w:val="20"/>
          <w:color w:val="auto"/>
        </w:rPr>
      </w:pPr>
    </w:p>
    <w:p>
      <w:pPr>
        <w:ind w:left="200"/>
        <w:spacing w:after="0" w:line="238" w:lineRule="auto"/>
        <w:rPr>
          <w:sz w:val="20"/>
          <w:szCs w:val="20"/>
          <w:color w:val="auto"/>
        </w:rPr>
      </w:pPr>
      <w:r>
        <w:rPr>
          <w:rFonts w:ascii="Arial" w:cs="Arial" w:eastAsia="Arial" w:hAnsi="Arial"/>
          <w:sz w:val="18"/>
          <w:szCs w:val="18"/>
          <w:b w:val="1"/>
          <w:bCs w:val="1"/>
          <w:i w:val="1"/>
          <w:iCs w:val="1"/>
          <w:color w:val="auto"/>
        </w:rPr>
        <w:t xml:space="preserve">Salary and Annual Incentive. </w:t>
      </w:r>
      <w:r>
        <w:rPr>
          <w:rFonts w:ascii="Arial" w:cs="Arial" w:eastAsia="Arial" w:hAnsi="Arial"/>
          <w:sz w:val="18"/>
          <w:szCs w:val="18"/>
          <w:color w:val="auto"/>
        </w:rPr>
        <w:t>During the first two years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employment following a change in control, each executive who is a party to a change in control agreement will receive annual compensation at least equal to the sum of (1) a salary not less than the executive’s annualized salary in effect immediately before the change in control occurred, plus (2) a bonus not less than the amount of the executive’s average annual incentive award for the last three years preceding the date the change in control occurred. In the event the executive has not been employed with the Company for the last three years, the executive’s target annual incentive will be used for any partial or complete year as necessary to determine the three year average.</w:t>
      </w:r>
    </w:p>
    <w:p>
      <w:pPr>
        <w:spacing w:after="0" w:line="76" w:lineRule="exact"/>
        <w:rPr>
          <w:sz w:val="20"/>
          <w:szCs w:val="20"/>
          <w:color w:val="auto"/>
        </w:rPr>
      </w:pPr>
    </w:p>
    <w:p>
      <w:pPr>
        <w:ind w:left="200" w:right="100"/>
        <w:spacing w:after="0" w:line="247" w:lineRule="auto"/>
        <w:rPr>
          <w:sz w:val="20"/>
          <w:szCs w:val="20"/>
          <w:color w:val="auto"/>
        </w:rPr>
      </w:pPr>
      <w:r>
        <w:rPr>
          <w:rFonts w:ascii="Arial" w:cs="Arial" w:eastAsia="Arial" w:hAnsi="Arial"/>
          <w:sz w:val="18"/>
          <w:szCs w:val="18"/>
          <w:b w:val="1"/>
          <w:bCs w:val="1"/>
          <w:i w:val="1"/>
          <w:iCs w:val="1"/>
          <w:color w:val="auto"/>
        </w:rPr>
        <w:t xml:space="preserve">Incentive, Savings and Retirement Plans. </w:t>
      </w:r>
      <w:r>
        <w:rPr>
          <w:rFonts w:ascii="Arial" w:cs="Arial" w:eastAsia="Arial" w:hAnsi="Arial"/>
          <w:sz w:val="18"/>
          <w:szCs w:val="18"/>
          <w:color w:val="auto"/>
        </w:rPr>
        <w:t>During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executive’s continued employment, the executive is entitled to continue to participate in all available incentive and savings plans and programs offered by the Company.</w:t>
      </w:r>
    </w:p>
    <w:p>
      <w:pPr>
        <w:spacing w:after="0" w:line="66" w:lineRule="exact"/>
        <w:rPr>
          <w:sz w:val="20"/>
          <w:szCs w:val="20"/>
          <w:color w:val="auto"/>
        </w:rPr>
      </w:pPr>
    </w:p>
    <w:p>
      <w:pPr>
        <w:ind w:left="200" w:right="20"/>
        <w:spacing w:after="0" w:line="244" w:lineRule="auto"/>
        <w:rPr>
          <w:sz w:val="20"/>
          <w:szCs w:val="20"/>
          <w:color w:val="auto"/>
        </w:rPr>
      </w:pPr>
      <w:r>
        <w:rPr>
          <w:rFonts w:ascii="Arial" w:cs="Arial" w:eastAsia="Arial" w:hAnsi="Arial"/>
          <w:sz w:val="18"/>
          <w:szCs w:val="18"/>
          <w:b w:val="1"/>
          <w:bCs w:val="1"/>
          <w:i w:val="1"/>
          <w:iCs w:val="1"/>
          <w:color w:val="auto"/>
        </w:rPr>
        <w:t xml:space="preserve">Welfare Benefit Plans. </w:t>
      </w:r>
      <w:r>
        <w:rPr>
          <w:rFonts w:ascii="Arial" w:cs="Arial" w:eastAsia="Arial" w:hAnsi="Arial"/>
          <w:sz w:val="18"/>
          <w:szCs w:val="18"/>
          <w:color w:val="auto"/>
        </w:rPr>
        <w:t>During the executive’s continued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employment, the executive and/or the executive’s family or beneficiary, as the case may be, is eligible to participate in and will receive all benefits under generally available welfare benefit plans and programs offered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200" w:type="dxa"/>
        <w:tblCellMar>
          <w:top w:w="0" w:type="dxa"/>
          <w:left w:w="0" w:type="dxa"/>
          <w:bottom w:w="0" w:type="dxa"/>
          <w:right w:w="0" w:type="dxa"/>
        </w:tblCellMar>
      </w:tblPr>
      <w:tr>
        <w:trPr>
          <w:trHeight w:val="297"/>
        </w:trPr>
        <w:tc>
          <w:tcPr>
            <w:tcW w:w="360" w:type="dxa"/>
            <w:vAlign w:val="bottom"/>
            <w:tcBorders>
              <w:right w:val="single" w:sz="8" w:color="0033A0"/>
            </w:tcBorders>
          </w:tcPr>
          <w:p>
            <w:pPr>
              <w:jc w:val="right"/>
              <w:ind w:right="70"/>
              <w:spacing w:after="0"/>
              <w:rPr>
                <w:sz w:val="20"/>
                <w:szCs w:val="20"/>
                <w:color w:val="auto"/>
              </w:rPr>
            </w:pPr>
            <w:r>
              <w:rPr>
                <w:rFonts w:ascii="Arial" w:cs="Arial" w:eastAsia="Arial" w:hAnsi="Arial"/>
                <w:sz w:val="18"/>
                <w:szCs w:val="18"/>
                <w:b w:val="1"/>
                <w:bCs w:val="1"/>
                <w:color w:val="auto"/>
                <w:w w:val="89"/>
              </w:rPr>
              <w:t>62</w:t>
            </w:r>
          </w:p>
        </w:tc>
        <w:tc>
          <w:tcPr>
            <w:tcW w:w="3380" w:type="dxa"/>
            <w:vAlign w:val="bottom"/>
          </w:tcPr>
          <w:p>
            <w:pPr>
              <w:ind w:left="1600"/>
              <w:spacing w:after="0"/>
              <w:rPr>
                <w:sz w:val="20"/>
                <w:szCs w:val="20"/>
                <w:color w:val="auto"/>
              </w:rPr>
            </w:pPr>
            <w:r>
              <w:rPr>
                <w:rFonts w:ascii="Arial" w:cs="Arial" w:eastAsia="Arial" w:hAnsi="Arial"/>
                <w:sz w:val="18"/>
                <w:szCs w:val="18"/>
                <w:i w:val="1"/>
                <w:iCs w:val="1"/>
                <w:color w:val="auto"/>
                <w:w w:val="98"/>
              </w:rPr>
              <w:t>2019 Proxy Statement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-170815</wp:posOffset>
            </wp:positionV>
            <wp:extent cx="720090" cy="12890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009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840"/>
        <w:spacing w:after="0" w:line="271" w:lineRule="auto"/>
        <w:rPr>
          <w:sz w:val="20"/>
          <w:szCs w:val="20"/>
          <w:color w:val="auto"/>
        </w:rPr>
      </w:pPr>
      <w:r>
        <w:rPr>
          <w:rFonts w:ascii="Arial" w:cs="Arial" w:eastAsia="Arial" w:hAnsi="Arial"/>
          <w:sz w:val="18"/>
          <w:szCs w:val="18"/>
          <w:b w:val="1"/>
          <w:bCs w:val="1"/>
          <w:i w:val="1"/>
          <w:iCs w:val="1"/>
          <w:color w:val="auto"/>
        </w:rPr>
        <w:t>Change in Control Agreements–Termination Benefits Following a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-1087755</wp:posOffset>
            </wp:positionV>
            <wp:extent cx="72891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6"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b w:val="1"/>
          <w:bCs w:val="1"/>
          <w:i w:val="1"/>
          <w:iCs w:val="1"/>
          <w:color w:val="auto"/>
        </w:rPr>
        <w:t>Termination for Good Reason or for Reasons Other Than for Cause, Death or Incapacity.</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Under this scenario:</w:t>
      </w:r>
    </w:p>
    <w:p>
      <w:pPr>
        <w:spacing w:after="0" w:line="117" w:lineRule="exact"/>
        <w:rPr>
          <w:sz w:val="20"/>
          <w:szCs w:val="20"/>
          <w:color w:val="auto"/>
        </w:rPr>
      </w:pPr>
    </w:p>
    <w:p>
      <w:pPr>
        <w:ind w:left="780" w:right="40" w:hanging="317"/>
        <w:spacing w:after="0"/>
        <w:tabs>
          <w:tab w:leader="none" w:pos="780" w:val="left"/>
        </w:tabs>
        <w:numPr>
          <w:ilvl w:val="0"/>
          <w:numId w:val="72"/>
        </w:numPr>
        <w:rPr>
          <w:rFonts w:ascii="Arial" w:cs="Arial" w:eastAsia="Arial" w:hAnsi="Arial"/>
          <w:sz w:val="18"/>
          <w:szCs w:val="18"/>
          <w:color w:val="0033A0"/>
        </w:rPr>
      </w:pPr>
      <w:r>
        <w:rPr>
          <w:rFonts w:ascii="Arial" w:cs="Arial" w:eastAsia="Arial" w:hAnsi="Arial"/>
          <w:sz w:val="18"/>
          <w:szCs w:val="18"/>
          <w:color w:val="auto"/>
        </w:rPr>
        <w:t>The Company will make a lump sum cash payment to the executive consisting of the aggregate of the following amounts:</w:t>
      </w:r>
    </w:p>
    <w:p>
      <w:pPr>
        <w:spacing w:after="0" w:line="108" w:lineRule="exact"/>
        <w:rPr>
          <w:rFonts w:ascii="Arial" w:cs="Arial" w:eastAsia="Arial" w:hAnsi="Arial"/>
          <w:sz w:val="18"/>
          <w:szCs w:val="18"/>
          <w:color w:val="0033A0"/>
        </w:rPr>
      </w:pPr>
    </w:p>
    <w:p>
      <w:pPr>
        <w:ind w:left="1140" w:hanging="312"/>
        <w:spacing w:after="0" w:line="236" w:lineRule="auto"/>
        <w:tabs>
          <w:tab w:leader="none" w:pos="1140" w:val="left"/>
        </w:tabs>
        <w:numPr>
          <w:ilvl w:val="1"/>
          <w:numId w:val="72"/>
        </w:numPr>
        <w:rPr>
          <w:rFonts w:ascii="Arial" w:cs="Arial" w:eastAsia="Arial" w:hAnsi="Arial"/>
          <w:sz w:val="18"/>
          <w:szCs w:val="18"/>
          <w:color w:val="0033A0"/>
        </w:rPr>
      </w:pPr>
      <w:r>
        <w:rPr>
          <w:rFonts w:ascii="Arial" w:cs="Arial" w:eastAsia="Arial" w:hAnsi="Arial"/>
          <w:sz w:val="18"/>
          <w:szCs w:val="18"/>
          <w:color w:val="auto"/>
        </w:rPr>
        <w:t>the sum of (1) the executive’s currently effective annual base salary through the date of termination to the extent not already paid, (2) any bonus or incentive compensation in respect of a completed performance period, but not paid as of the date of termination, (3) a portion of the executive’s average annual incentive awarded during the past three years pro-rated based on the number of days worked in the year of termination, and (4) any accrued vacation pay, in each case to the extent not already paid or credited (the sum of the amounts described in clauses (1) through (4) is referred to as the “Accrued Obligation Payment”); and</w:t>
      </w:r>
    </w:p>
    <w:p>
      <w:pPr>
        <w:spacing w:after="0" w:line="109" w:lineRule="exact"/>
        <w:rPr>
          <w:rFonts w:ascii="Arial" w:cs="Arial" w:eastAsia="Arial" w:hAnsi="Arial"/>
          <w:sz w:val="18"/>
          <w:szCs w:val="18"/>
          <w:color w:val="0033A0"/>
        </w:rPr>
      </w:pPr>
    </w:p>
    <w:p>
      <w:pPr>
        <w:ind w:left="1140" w:right="160" w:hanging="312"/>
        <w:spacing w:after="0" w:line="261" w:lineRule="auto"/>
        <w:tabs>
          <w:tab w:leader="none" w:pos="1140" w:val="left"/>
        </w:tabs>
        <w:numPr>
          <w:ilvl w:val="1"/>
          <w:numId w:val="72"/>
        </w:numPr>
        <w:rPr>
          <w:rFonts w:ascii="Arial" w:cs="Arial" w:eastAsia="Arial" w:hAnsi="Arial"/>
          <w:sz w:val="17"/>
          <w:szCs w:val="17"/>
          <w:color w:val="0033A0"/>
        </w:rPr>
      </w:pPr>
      <w:r>
        <w:rPr>
          <w:rFonts w:ascii="Arial" w:cs="Arial" w:eastAsia="Arial" w:hAnsi="Arial"/>
          <w:sz w:val="17"/>
          <w:szCs w:val="17"/>
          <w:color w:val="auto"/>
        </w:rPr>
        <w:t>an amount equal to two times the sum of the executive’s annual base salary and average annual incentive awarded during the past three years.</w:t>
      </w:r>
    </w:p>
    <w:p>
      <w:pPr>
        <w:spacing w:after="0" w:line="91" w:lineRule="exact"/>
        <w:rPr>
          <w:rFonts w:ascii="Arial" w:cs="Arial" w:eastAsia="Arial" w:hAnsi="Arial"/>
          <w:sz w:val="17"/>
          <w:szCs w:val="17"/>
          <w:color w:val="0033A0"/>
        </w:rPr>
      </w:pPr>
    </w:p>
    <w:p>
      <w:pPr>
        <w:ind w:left="780" w:right="1060" w:hanging="317"/>
        <w:spacing w:after="0" w:line="246" w:lineRule="auto"/>
        <w:tabs>
          <w:tab w:leader="none" w:pos="780" w:val="left"/>
        </w:tabs>
        <w:numPr>
          <w:ilvl w:val="0"/>
          <w:numId w:val="72"/>
        </w:numPr>
        <w:rPr>
          <w:rFonts w:ascii="Arial" w:cs="Arial" w:eastAsia="Arial" w:hAnsi="Arial"/>
          <w:sz w:val="18"/>
          <w:szCs w:val="18"/>
          <w:color w:val="0033A0"/>
        </w:rPr>
      </w:pPr>
      <w:r>
        <w:rPr>
          <w:rFonts w:ascii="Arial" w:cs="Arial" w:eastAsia="Arial" w:hAnsi="Arial"/>
          <w:sz w:val="18"/>
          <w:szCs w:val="18"/>
          <w:color w:val="auto"/>
        </w:rPr>
        <w:t>The Company will provide the executive with outplacement services.</w:t>
      </w:r>
    </w:p>
    <w:p>
      <w:pPr>
        <w:spacing w:after="0" w:line="102" w:lineRule="exact"/>
        <w:rPr>
          <w:rFonts w:ascii="Arial" w:cs="Arial" w:eastAsia="Arial" w:hAnsi="Arial"/>
          <w:sz w:val="18"/>
          <w:szCs w:val="18"/>
          <w:color w:val="0033A0"/>
        </w:rPr>
      </w:pPr>
    </w:p>
    <w:p>
      <w:pPr>
        <w:ind w:left="780" w:right="20" w:hanging="317"/>
        <w:spacing w:after="0" w:line="237" w:lineRule="auto"/>
        <w:tabs>
          <w:tab w:leader="none" w:pos="780" w:val="left"/>
        </w:tabs>
        <w:numPr>
          <w:ilvl w:val="0"/>
          <w:numId w:val="72"/>
        </w:numPr>
        <w:rPr>
          <w:rFonts w:ascii="Arial" w:cs="Arial" w:eastAsia="Arial" w:hAnsi="Arial"/>
          <w:sz w:val="18"/>
          <w:szCs w:val="18"/>
          <w:color w:val="0033A0"/>
        </w:rPr>
      </w:pPr>
      <w:r>
        <w:rPr>
          <w:rFonts w:ascii="Arial" w:cs="Arial" w:eastAsia="Arial" w:hAnsi="Arial"/>
          <w:sz w:val="18"/>
          <w:szCs w:val="18"/>
          <w:color w:val="auto"/>
        </w:rPr>
        <w:t>To the extent not already paid or provided, the Company will pay or provide any other amounts or benefits required to be paid or provided or that the executive is eligible to receive under any plan, program, policy or practice or contract or agreement of the Company (such other amounts and benefits are referred to as the ‘‘Other Benefits’’).</w:t>
      </w:r>
    </w:p>
    <w:p>
      <w:pPr>
        <w:spacing w:after="0" w:line="108" w:lineRule="exact"/>
        <w:rPr>
          <w:rFonts w:ascii="Arial" w:cs="Arial" w:eastAsia="Arial" w:hAnsi="Arial"/>
          <w:sz w:val="18"/>
          <w:szCs w:val="18"/>
          <w:color w:val="0033A0"/>
        </w:rPr>
      </w:pPr>
    </w:p>
    <w:p>
      <w:pPr>
        <w:ind w:left="1140" w:hanging="312"/>
        <w:spacing w:after="0" w:line="237" w:lineRule="auto"/>
        <w:tabs>
          <w:tab w:leader="none" w:pos="1140" w:val="left"/>
        </w:tabs>
        <w:numPr>
          <w:ilvl w:val="1"/>
          <w:numId w:val="72"/>
        </w:numPr>
        <w:rPr>
          <w:rFonts w:ascii="Arial" w:cs="Arial" w:eastAsia="Arial" w:hAnsi="Arial"/>
          <w:sz w:val="18"/>
          <w:szCs w:val="18"/>
          <w:color w:val="0033A0"/>
        </w:rPr>
      </w:pPr>
      <w:r>
        <w:rPr>
          <w:rFonts w:ascii="Arial" w:cs="Arial" w:eastAsia="Arial" w:hAnsi="Arial"/>
          <w:sz w:val="18"/>
          <w:szCs w:val="18"/>
          <w:color w:val="auto"/>
        </w:rPr>
        <w:t>In the event the executive elects continued medical benefit coverage, the Company will reimburse him or her for a period of up to 18 months for premiums associated with such coverage in an amount equal to the premiums that the Company would have paid for such coverage had employment continued.</w:t>
      </w:r>
    </w:p>
    <w:p>
      <w:pPr>
        <w:sectPr>
          <w:pgSz w:w="11900" w:h="16838" w:orient="portrait"/>
          <w:cols w:equalWidth="0" w:num="2">
            <w:col w:w="5500" w:space="320"/>
            <w:col w:w="5380"/>
          </w:cols>
          <w:pgMar w:left="240" w:top="459"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20"/>
        <w:spacing w:after="0" w:line="238" w:lineRule="auto"/>
        <w:rPr>
          <w:sz w:val="20"/>
          <w:szCs w:val="20"/>
          <w:color w:val="auto"/>
        </w:rPr>
      </w:pPr>
      <w:r>
        <w:rPr>
          <w:rFonts w:ascii="Arial" w:cs="Arial" w:eastAsia="Arial" w:hAnsi="Arial"/>
          <w:sz w:val="18"/>
          <w:szCs w:val="18"/>
          <w:b w:val="1"/>
          <w:bCs w:val="1"/>
          <w:i w:val="1"/>
          <w:iCs w:val="1"/>
          <w:color w:val="auto"/>
        </w:rPr>
        <w:t xml:space="preserve">Termination for Death or Incapacity. </w:t>
      </w:r>
      <w:r>
        <w:rPr>
          <w:rFonts w:ascii="Arial" w:cs="Arial" w:eastAsia="Arial" w:hAnsi="Arial"/>
          <w:sz w:val="18"/>
          <w:szCs w:val="18"/>
          <w:color w:val="auto"/>
        </w:rPr>
        <w:t>If an executive’s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employment is terminated by reason of the executive’s death or incapacity following the date of the change in control, the change in control agreement will terminate without further obligations to the executive’s legal representatives, other than for (1) the payment of the Accrued Obligation Payment and (2) the provision by the Company of death benefits or disability benefits, respectively, in accordance with the Company’s welfare benefit plans and programs applicable to full-time officers or employees of the Company as in effect on the date of the change in control or, if more favorable to the executive, at the executive’s deemed date of termination.</w:t>
      </w:r>
    </w:p>
    <w:p>
      <w:pPr>
        <w:spacing w:after="0" w:line="76" w:lineRule="exact"/>
        <w:rPr>
          <w:sz w:val="20"/>
          <w:szCs w:val="20"/>
          <w:color w:val="auto"/>
        </w:rPr>
      </w:pPr>
    </w:p>
    <w:p>
      <w:pPr>
        <w:ind w:left="220" w:right="40"/>
        <w:spacing w:after="0" w:line="253" w:lineRule="auto"/>
        <w:rPr>
          <w:sz w:val="20"/>
          <w:szCs w:val="20"/>
          <w:color w:val="auto"/>
        </w:rPr>
      </w:pPr>
      <w:r>
        <w:rPr>
          <w:rFonts w:ascii="Arial" w:cs="Arial" w:eastAsia="Arial" w:hAnsi="Arial"/>
          <w:sz w:val="17"/>
          <w:szCs w:val="17"/>
          <w:b w:val="1"/>
          <w:bCs w:val="1"/>
          <w:i w:val="1"/>
          <w:iCs w:val="1"/>
          <w:color w:val="auto"/>
        </w:rPr>
        <w:t xml:space="preserve">Termination for Cause. </w:t>
      </w:r>
      <w:r>
        <w:rPr>
          <w:rFonts w:ascii="Arial" w:cs="Arial" w:eastAsia="Arial" w:hAnsi="Arial"/>
          <w:sz w:val="17"/>
          <w:szCs w:val="17"/>
          <w:color w:val="auto"/>
        </w:rPr>
        <w:t>If the Company or its successor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terminates an executive’s employment for cause following the date of the change in control, the change in control agreement will terminate without further obligations to the executive other than payment of (1) a lump sum payment of the executive’s currently effective annual base salary through the date of termination and</w:t>
      </w:r>
    </w:p>
    <w:p>
      <w:pPr>
        <w:spacing w:after="0" w:line="1" w:lineRule="exact"/>
        <w:rPr>
          <w:sz w:val="20"/>
          <w:szCs w:val="20"/>
          <w:color w:val="auto"/>
        </w:rPr>
      </w:pPr>
    </w:p>
    <w:p>
      <w:pPr>
        <w:ind w:left="220" w:right="180" w:hanging="9"/>
        <w:spacing w:after="0" w:line="246" w:lineRule="auto"/>
        <w:tabs>
          <w:tab w:leader="none" w:pos="483" w:val="left"/>
        </w:tabs>
        <w:numPr>
          <w:ilvl w:val="0"/>
          <w:numId w:val="73"/>
        </w:numPr>
        <w:rPr>
          <w:rFonts w:ascii="Arial" w:cs="Arial" w:eastAsia="Arial" w:hAnsi="Arial"/>
          <w:sz w:val="18"/>
          <w:szCs w:val="18"/>
          <w:color w:val="auto"/>
        </w:rPr>
      </w:pPr>
      <w:r>
        <w:rPr>
          <w:rFonts w:ascii="Arial" w:cs="Arial" w:eastAsia="Arial" w:hAnsi="Arial"/>
          <w:sz w:val="18"/>
          <w:szCs w:val="18"/>
          <w:color w:val="auto"/>
        </w:rPr>
        <w:t>Other Benefits, in each case to the extent not already paid or credited.</w:t>
      </w:r>
    </w:p>
    <w:p>
      <w:pPr>
        <w:spacing w:after="0" w:line="67" w:lineRule="exact"/>
        <w:rPr>
          <w:sz w:val="20"/>
          <w:szCs w:val="20"/>
          <w:color w:val="auto"/>
        </w:rPr>
      </w:pPr>
    </w:p>
    <w:p>
      <w:pPr>
        <w:ind w:left="220" w:right="80"/>
        <w:spacing w:after="0" w:line="241" w:lineRule="auto"/>
        <w:rPr>
          <w:sz w:val="20"/>
          <w:szCs w:val="20"/>
          <w:color w:val="auto"/>
        </w:rPr>
      </w:pPr>
      <w:r>
        <w:rPr>
          <w:rFonts w:ascii="Arial" w:cs="Arial" w:eastAsia="Arial" w:hAnsi="Arial"/>
          <w:sz w:val="18"/>
          <w:szCs w:val="18"/>
          <w:b w:val="1"/>
          <w:bCs w:val="1"/>
          <w:i w:val="1"/>
          <w:iCs w:val="1"/>
          <w:color w:val="auto"/>
        </w:rPr>
        <w:t xml:space="preserve">Termination Other Than for Good Reason. </w:t>
      </w:r>
      <w:r>
        <w:rPr>
          <w:rFonts w:ascii="Arial" w:cs="Arial" w:eastAsia="Arial" w:hAnsi="Arial"/>
          <w:sz w:val="18"/>
          <w:szCs w:val="18"/>
          <w:color w:val="auto"/>
        </w:rPr>
        <w:t>If an executive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voluntarily terminates employment following the date of the change in control, excluding a termination for good reason, the change in control agreement will terminate without further obligations to the executive, other than for the lump sum payment of the Accrued Obligation Payment (with the exception of any pro-rated annual incentive) and Other Benefits.</w:t>
      </w:r>
    </w:p>
    <w:p>
      <w:pPr>
        <w:spacing w:after="0" w:line="71" w:lineRule="exact"/>
        <w:rPr>
          <w:sz w:val="20"/>
          <w:szCs w:val="20"/>
          <w:color w:val="auto"/>
        </w:rPr>
      </w:pPr>
    </w:p>
    <w:p>
      <w:pPr>
        <w:ind w:left="220" w:right="20"/>
        <w:spacing w:after="0" w:line="239" w:lineRule="auto"/>
        <w:rPr>
          <w:sz w:val="20"/>
          <w:szCs w:val="20"/>
          <w:color w:val="auto"/>
        </w:rPr>
      </w:pPr>
      <w:r>
        <w:rPr>
          <w:rFonts w:ascii="Arial" w:cs="Arial" w:eastAsia="Arial" w:hAnsi="Arial"/>
          <w:sz w:val="18"/>
          <w:szCs w:val="18"/>
          <w:b w:val="1"/>
          <w:bCs w:val="1"/>
          <w:i w:val="1"/>
          <w:iCs w:val="1"/>
          <w:color w:val="auto"/>
        </w:rPr>
        <w:t xml:space="preserve">Excise Tax Cutback. </w:t>
      </w:r>
      <w:r>
        <w:rPr>
          <w:rFonts w:ascii="Arial" w:cs="Arial" w:eastAsia="Arial" w:hAnsi="Arial"/>
          <w:sz w:val="18"/>
          <w:szCs w:val="18"/>
          <w:color w:val="auto"/>
        </w:rPr>
        <w:t>If the amounts payable to an executive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change in control agreement trigger payment of an excise tax, an accounting firm designated by the Company prior to the change in control will determine the after-tax benefit to the executive: (1) with the full payment of amounts due and payment by the executive of any resulting excise tax; and (2) after reducing the payment benefits to the extent necessary to avoid triggering the excise tax liability. The executive will be paid the amount that produces the greater after-tax benefit and any excise tax will be paid by the executive.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ind w:left="1800"/>
        <w:spacing w:after="0"/>
        <w:rPr>
          <w:sz w:val="20"/>
          <w:szCs w:val="20"/>
          <w:color w:val="auto"/>
        </w:rPr>
      </w:pPr>
      <w:r>
        <w:rPr>
          <w:rFonts w:ascii="Arial" w:cs="Arial" w:eastAsia="Arial" w:hAnsi="Arial"/>
          <w:sz w:val="19"/>
          <w:szCs w:val="19"/>
          <w:b w:val="1"/>
          <w:bCs w:val="1"/>
          <w:color w:val="0033A0"/>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-661035</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85" w:lineRule="exact"/>
        <w:rPr>
          <w:sz w:val="20"/>
          <w:szCs w:val="20"/>
          <w:color w:val="auto"/>
        </w:rPr>
      </w:pPr>
    </w:p>
    <w:p>
      <w:pPr>
        <w:ind w:right="480"/>
        <w:spacing w:after="0" w:line="271" w:lineRule="auto"/>
        <w:rPr>
          <w:sz w:val="20"/>
          <w:szCs w:val="20"/>
          <w:color w:val="auto"/>
        </w:rPr>
      </w:pPr>
      <w:r>
        <w:rPr>
          <w:rFonts w:ascii="Arial" w:cs="Arial" w:eastAsia="Arial" w:hAnsi="Arial"/>
          <w:sz w:val="18"/>
          <w:szCs w:val="18"/>
          <w:b w:val="1"/>
          <w:bCs w:val="1"/>
          <w:i w:val="1"/>
          <w:iCs w:val="1"/>
          <w:color w:val="auto"/>
        </w:rPr>
        <w:t>Hypothetical Post-Employment Payments and Benefits to Named Executive Officers Upon a Change in Control</w:t>
      </w:r>
    </w:p>
    <w:p>
      <w:pPr>
        <w:spacing w:after="0" w:line="68"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The table on page 64 provides information with respect to the incremental additional benefits and payments to the named executive officers as of December 31, 2018 under the scenarios covered by the change in control agreements described above and the Company’s policies and programs assuming their employment is terminated following a change in control.</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The amounts in the tables are in the following categories:</w:t>
      </w:r>
    </w:p>
    <w:p>
      <w:pPr>
        <w:spacing w:after="0" w:line="95" w:lineRule="exact"/>
        <w:rPr>
          <w:sz w:val="20"/>
          <w:szCs w:val="20"/>
          <w:color w:val="auto"/>
        </w:rPr>
      </w:pPr>
    </w:p>
    <w:p>
      <w:pPr>
        <w:ind w:left="780" w:hanging="317"/>
        <w:spacing w:after="0"/>
        <w:tabs>
          <w:tab w:leader="none" w:pos="780" w:val="left"/>
        </w:tabs>
        <w:numPr>
          <w:ilvl w:val="0"/>
          <w:numId w:val="74"/>
        </w:numPr>
        <w:rPr>
          <w:rFonts w:ascii="Arial" w:cs="Arial" w:eastAsia="Arial" w:hAnsi="Arial"/>
          <w:sz w:val="18"/>
          <w:szCs w:val="18"/>
          <w:color w:val="0033A0"/>
        </w:rPr>
      </w:pPr>
      <w:r>
        <w:rPr>
          <w:rFonts w:ascii="Arial" w:cs="Arial" w:eastAsia="Arial" w:hAnsi="Arial"/>
          <w:sz w:val="18"/>
          <w:szCs w:val="18"/>
          <w:b w:val="1"/>
          <w:bCs w:val="1"/>
          <w:i w:val="1"/>
          <w:iCs w:val="1"/>
          <w:color w:val="auto"/>
        </w:rPr>
        <w:t xml:space="preserve">Accrued Obligation Payment </w:t>
      </w:r>
      <w:r>
        <w:rPr>
          <w:rFonts w:ascii="Arial" w:cs="Arial" w:eastAsia="Arial" w:hAnsi="Arial"/>
          <w:sz w:val="18"/>
          <w:szCs w:val="18"/>
          <w:color w:val="auto"/>
        </w:rPr>
        <w:t>(as defined on page 62).</w:t>
      </w:r>
    </w:p>
    <w:p>
      <w:pPr>
        <w:spacing w:after="0" w:line="117" w:lineRule="exact"/>
        <w:rPr>
          <w:rFonts w:ascii="Arial" w:cs="Arial" w:eastAsia="Arial" w:hAnsi="Arial"/>
          <w:sz w:val="18"/>
          <w:szCs w:val="18"/>
          <w:color w:val="0033A0"/>
        </w:rPr>
      </w:pPr>
    </w:p>
    <w:p>
      <w:pPr>
        <w:ind w:left="780" w:right="20" w:hanging="317"/>
        <w:spacing w:after="0" w:line="247" w:lineRule="auto"/>
        <w:tabs>
          <w:tab w:leader="none" w:pos="780" w:val="left"/>
        </w:tabs>
        <w:numPr>
          <w:ilvl w:val="0"/>
          <w:numId w:val="74"/>
        </w:numPr>
        <w:rPr>
          <w:rFonts w:ascii="Arial" w:cs="Arial" w:eastAsia="Arial" w:hAnsi="Arial"/>
          <w:sz w:val="18"/>
          <w:szCs w:val="18"/>
          <w:color w:val="0033A0"/>
        </w:rPr>
      </w:pPr>
      <w:r>
        <w:rPr>
          <w:rFonts w:ascii="Arial" w:cs="Arial" w:eastAsia="Arial" w:hAnsi="Arial"/>
          <w:sz w:val="18"/>
          <w:szCs w:val="18"/>
          <w:b w:val="1"/>
          <w:bCs w:val="1"/>
          <w:i w:val="1"/>
          <w:iCs w:val="1"/>
          <w:color w:val="auto"/>
        </w:rPr>
        <w:t xml:space="preserve">Base Salary and Annual Incentive. </w:t>
      </w:r>
      <w:r>
        <w:rPr>
          <w:rFonts w:ascii="Arial" w:cs="Arial" w:eastAsia="Arial" w:hAnsi="Arial"/>
          <w:sz w:val="18"/>
          <w:szCs w:val="18"/>
          <w:color w:val="auto"/>
        </w:rPr>
        <w:t>Includes a payment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equal to two times the executive’s annual base salary and average annual incentive awarded during the past three years.</w:t>
      </w:r>
    </w:p>
    <w:p>
      <w:pPr>
        <w:spacing w:after="0" w:line="79" w:lineRule="exact"/>
        <w:rPr>
          <w:rFonts w:ascii="Arial" w:cs="Arial" w:eastAsia="Arial" w:hAnsi="Arial"/>
          <w:sz w:val="18"/>
          <w:szCs w:val="18"/>
          <w:color w:val="0033A0"/>
        </w:rPr>
      </w:pPr>
    </w:p>
    <w:p>
      <w:pPr>
        <w:ind w:left="780" w:right="200" w:hanging="317"/>
        <w:spacing w:after="0" w:line="247" w:lineRule="auto"/>
        <w:tabs>
          <w:tab w:leader="none" w:pos="780" w:val="left"/>
        </w:tabs>
        <w:numPr>
          <w:ilvl w:val="0"/>
          <w:numId w:val="74"/>
        </w:numPr>
        <w:rPr>
          <w:rFonts w:ascii="Arial" w:cs="Arial" w:eastAsia="Arial" w:hAnsi="Arial"/>
          <w:sz w:val="18"/>
          <w:szCs w:val="18"/>
          <w:color w:val="0033A0"/>
        </w:rPr>
      </w:pPr>
      <w:r>
        <w:rPr>
          <w:rFonts w:ascii="Arial" w:cs="Arial" w:eastAsia="Arial" w:hAnsi="Arial"/>
          <w:sz w:val="18"/>
          <w:szCs w:val="18"/>
          <w:b w:val="1"/>
          <w:bCs w:val="1"/>
          <w:i w:val="1"/>
          <w:iCs w:val="1"/>
          <w:color w:val="auto"/>
        </w:rPr>
        <w:t xml:space="preserve">Long-Term Incentive. </w:t>
      </w:r>
      <w:r>
        <w:rPr>
          <w:rFonts w:ascii="Arial" w:cs="Arial" w:eastAsia="Arial" w:hAnsi="Arial"/>
          <w:sz w:val="18"/>
          <w:szCs w:val="18"/>
          <w:color w:val="auto"/>
        </w:rPr>
        <w:t>Includes the value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2018 of unvested options, Internal Metric PSUs, Relative TSR PSUs and RSUs that would be payable in accordance with their terms.</w:t>
      </w:r>
    </w:p>
    <w:p>
      <w:pPr>
        <w:spacing w:after="0" w:line="79" w:lineRule="exact"/>
        <w:rPr>
          <w:rFonts w:ascii="Arial" w:cs="Arial" w:eastAsia="Arial" w:hAnsi="Arial"/>
          <w:sz w:val="18"/>
          <w:szCs w:val="18"/>
          <w:color w:val="0033A0"/>
        </w:rPr>
      </w:pPr>
    </w:p>
    <w:p>
      <w:pPr>
        <w:ind w:left="780" w:right="80" w:hanging="317"/>
        <w:spacing w:after="0" w:line="247" w:lineRule="auto"/>
        <w:tabs>
          <w:tab w:leader="none" w:pos="780" w:val="left"/>
        </w:tabs>
        <w:numPr>
          <w:ilvl w:val="0"/>
          <w:numId w:val="74"/>
        </w:numPr>
        <w:rPr>
          <w:rFonts w:ascii="Arial" w:cs="Arial" w:eastAsia="Arial" w:hAnsi="Arial"/>
          <w:sz w:val="18"/>
          <w:szCs w:val="18"/>
          <w:color w:val="0033A0"/>
        </w:rPr>
      </w:pPr>
      <w:r>
        <w:rPr>
          <w:rFonts w:ascii="Arial" w:cs="Arial" w:eastAsia="Arial" w:hAnsi="Arial"/>
          <w:sz w:val="18"/>
          <w:szCs w:val="18"/>
          <w:b w:val="1"/>
          <w:bCs w:val="1"/>
          <w:i w:val="1"/>
          <w:iCs w:val="1"/>
          <w:color w:val="auto"/>
        </w:rPr>
        <w:t xml:space="preserve">Benefit Plans. </w:t>
      </w:r>
      <w:r>
        <w:rPr>
          <w:rFonts w:ascii="Arial" w:cs="Arial" w:eastAsia="Arial" w:hAnsi="Arial"/>
          <w:sz w:val="18"/>
          <w:szCs w:val="18"/>
          <w:color w:val="auto"/>
        </w:rPr>
        <w:t>Includes benefits under the Executive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Salary Continuation Plan, which is described on page 40 as well as the value of short-term and long-term disability payments.</w:t>
      </w:r>
    </w:p>
    <w:p>
      <w:pPr>
        <w:spacing w:after="0" w:line="79" w:lineRule="exact"/>
        <w:rPr>
          <w:rFonts w:ascii="Arial" w:cs="Arial" w:eastAsia="Arial" w:hAnsi="Arial"/>
          <w:sz w:val="18"/>
          <w:szCs w:val="18"/>
          <w:color w:val="0033A0"/>
        </w:rPr>
      </w:pPr>
    </w:p>
    <w:p>
      <w:pPr>
        <w:ind w:left="780" w:right="60" w:hanging="317"/>
        <w:spacing w:after="0" w:line="244" w:lineRule="auto"/>
        <w:tabs>
          <w:tab w:leader="none" w:pos="780" w:val="left"/>
        </w:tabs>
        <w:numPr>
          <w:ilvl w:val="0"/>
          <w:numId w:val="74"/>
        </w:numPr>
        <w:rPr>
          <w:rFonts w:ascii="Arial" w:cs="Arial" w:eastAsia="Arial" w:hAnsi="Arial"/>
          <w:sz w:val="18"/>
          <w:szCs w:val="18"/>
          <w:color w:val="0033A0"/>
        </w:rPr>
      </w:pPr>
      <w:r>
        <w:rPr>
          <w:rFonts w:ascii="Arial" w:cs="Arial" w:eastAsia="Arial" w:hAnsi="Arial"/>
          <w:sz w:val="18"/>
          <w:szCs w:val="18"/>
          <w:b w:val="1"/>
          <w:bCs w:val="1"/>
          <w:i w:val="1"/>
          <w:iCs w:val="1"/>
          <w:color w:val="auto"/>
        </w:rPr>
        <w:t xml:space="preserve">Outplacement Services and Other Benefits. </w:t>
      </w:r>
      <w:r>
        <w:rPr>
          <w:rFonts w:ascii="Arial" w:cs="Arial" w:eastAsia="Arial" w:hAnsi="Arial"/>
          <w:sz w:val="18"/>
          <w:szCs w:val="18"/>
          <w:color w:val="auto"/>
        </w:rPr>
        <w:t>Includes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estimated cost of outplacement services for up to one year and, for named executive officers who have elected medical benefit coverage, continued medical benefit coverage for up to 18 months.</w:t>
      </w:r>
    </w:p>
    <w:p>
      <w:pPr>
        <w:spacing w:after="0" w:line="82" w:lineRule="exact"/>
        <w:rPr>
          <w:rFonts w:ascii="Arial" w:cs="Arial" w:eastAsia="Arial" w:hAnsi="Arial"/>
          <w:sz w:val="18"/>
          <w:szCs w:val="18"/>
          <w:color w:val="0033A0"/>
        </w:rPr>
      </w:pPr>
    </w:p>
    <w:p>
      <w:pPr>
        <w:ind w:left="780" w:right="60" w:hanging="317"/>
        <w:spacing w:after="0" w:line="252" w:lineRule="auto"/>
        <w:tabs>
          <w:tab w:leader="none" w:pos="780" w:val="left"/>
        </w:tabs>
        <w:numPr>
          <w:ilvl w:val="0"/>
          <w:numId w:val="74"/>
        </w:numPr>
        <w:rPr>
          <w:rFonts w:ascii="Arial" w:cs="Arial" w:eastAsia="Arial" w:hAnsi="Arial"/>
          <w:sz w:val="17"/>
          <w:szCs w:val="17"/>
          <w:color w:val="0033A0"/>
        </w:rPr>
      </w:pPr>
      <w:r>
        <w:rPr>
          <w:rFonts w:ascii="Arial" w:cs="Arial" w:eastAsia="Arial" w:hAnsi="Arial"/>
          <w:sz w:val="17"/>
          <w:szCs w:val="17"/>
          <w:b w:val="1"/>
          <w:bCs w:val="1"/>
          <w:i w:val="1"/>
          <w:iCs w:val="1"/>
          <w:color w:val="auto"/>
        </w:rPr>
        <w:t xml:space="preserve">Notice Period Payments. </w:t>
      </w:r>
      <w:r>
        <w:rPr>
          <w:rFonts w:ascii="Arial" w:cs="Arial" w:eastAsia="Arial" w:hAnsi="Arial"/>
          <w:sz w:val="17"/>
          <w:szCs w:val="17"/>
          <w:color w:val="auto"/>
        </w:rPr>
        <w:t>Includes continuing salary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payments during a three month period that begins when the Company provides notice of termination under certain circumstances as well as a pro-rated annual incentive payment for the three month period and the value of any equity awards that would vest during the three month period. The notice period and related payments are required under Switzerland law and apply only to</w:t>
      </w:r>
    </w:p>
    <w:p>
      <w:pPr>
        <w:ind w:left="780"/>
        <w:spacing w:after="0"/>
        <w:rPr>
          <w:rFonts w:ascii="Arial" w:cs="Arial" w:eastAsia="Arial" w:hAnsi="Arial"/>
          <w:sz w:val="17"/>
          <w:szCs w:val="17"/>
          <w:color w:val="0033A0"/>
        </w:rPr>
      </w:pPr>
      <w:r>
        <w:rPr>
          <w:rFonts w:ascii="Arial" w:cs="Arial" w:eastAsia="Arial" w:hAnsi="Arial"/>
          <w:sz w:val="18"/>
          <w:szCs w:val="18"/>
          <w:color w:val="auto"/>
        </w:rPr>
        <w:t>Mr. Zukerman because he resides in Switzerland.</w:t>
      </w:r>
    </w:p>
    <w:p>
      <w:pPr>
        <w:spacing w:after="0" w:line="294" w:lineRule="exact"/>
        <w:rPr>
          <w:sz w:val="20"/>
          <w:szCs w:val="20"/>
          <w:color w:val="auto"/>
        </w:rPr>
      </w:pPr>
    </w:p>
    <w:tbl>
      <w:tblPr>
        <w:tblLayout w:type="fixed"/>
        <w:tblInd w:w="3000" w:type="dxa"/>
        <w:tblCellMar>
          <w:top w:w="0" w:type="dxa"/>
          <w:left w:w="0" w:type="dxa"/>
          <w:bottom w:w="0" w:type="dxa"/>
          <w:right w:w="0" w:type="dxa"/>
        </w:tblCellMar>
      </w:tblPr>
      <w:tr>
        <w:trPr>
          <w:trHeight w:val="297"/>
        </w:trPr>
        <w:tc>
          <w:tcPr>
            <w:tcW w:w="1900" w:type="dxa"/>
            <w:vAlign w:val="bottom"/>
            <w:tcBorders>
              <w:right w:val="single" w:sz="8" w:color="0033A0"/>
            </w:tcBorders>
          </w:tcPr>
          <w:p>
            <w:pPr>
              <w:spacing w:after="0"/>
              <w:rPr>
                <w:sz w:val="20"/>
                <w:szCs w:val="20"/>
                <w:color w:val="auto"/>
              </w:rPr>
            </w:pPr>
            <w:r>
              <w:rPr>
                <w:rFonts w:ascii="Arial" w:cs="Arial" w:eastAsia="Arial" w:hAnsi="Arial"/>
                <w:sz w:val="18"/>
                <w:szCs w:val="18"/>
                <w:i w:val="1"/>
                <w:iCs w:val="1"/>
                <w:color w:val="auto"/>
              </w:rPr>
              <w:t>2019 Proxy Statement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1026160</wp:posOffset>
            </wp:positionH>
            <wp:positionV relativeFrom="paragraph">
              <wp:posOffset>-170815</wp:posOffset>
            </wp:positionV>
            <wp:extent cx="720090" cy="12890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0090" cy="128905"/>
                    </a:xfrm>
                    <a:prstGeom prst="rect">
                      <a:avLst/>
                    </a:prstGeom>
                    <a:noFill/>
                  </pic:spPr>
                </pic:pic>
              </a:graphicData>
            </a:graphic>
          </wp:anchor>
        </w:drawing>
      </w:r>
    </w:p>
    <w:p>
      <w:pPr>
        <w:sectPr>
          <w:pgSz w:w="11900" w:h="16838" w:orient="portrait"/>
          <w:cols w:equalWidth="0" w:num="2">
            <w:col w:w="5500" w:space="320"/>
            <w:col w:w="5400"/>
          </w:cols>
          <w:pgMar w:left="240" w:top="459"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0033A0"/>
        </w:rPr>
        <w:t>The Brink’s Company</w:t>
      </w:r>
    </w:p>
    <w:p>
      <w:pPr>
        <w:spacing w:after="0" w:line="369" w:lineRule="exact"/>
        <w:rPr>
          <w:sz w:val="20"/>
          <w:szCs w:val="20"/>
          <w:color w:val="auto"/>
        </w:rPr>
      </w:pPr>
    </w:p>
    <w:tbl>
      <w:tblPr>
        <w:tblLayout w:type="fixed"/>
        <w:tblInd w:w="220" w:type="dxa"/>
        <w:tblCellMar>
          <w:top w:w="0" w:type="dxa"/>
          <w:left w:w="0" w:type="dxa"/>
          <w:bottom w:w="0" w:type="dxa"/>
          <w:right w:w="0" w:type="dxa"/>
        </w:tblCellMar>
      </w:tblPr>
      <w:tr>
        <w:trPr>
          <w:trHeight w:val="149"/>
        </w:trPr>
        <w:tc>
          <w:tcPr>
            <w:tcW w:w="198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Arial" w:cs="Arial" w:eastAsia="Arial" w:hAnsi="Arial"/>
                <w:sz w:val="13"/>
                <w:szCs w:val="13"/>
                <w:b w:val="1"/>
                <w:bCs w:val="1"/>
                <w:color w:val="0033A0"/>
                <w:w w:val="94"/>
              </w:rPr>
              <w:t>Termination</w:t>
            </w:r>
          </w:p>
        </w:tc>
        <w:tc>
          <w:tcPr>
            <w:tcW w:w="102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35"/>
        </w:trPr>
        <w:tc>
          <w:tcPr>
            <w:tcW w:w="198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40" w:type="dxa"/>
            <w:vAlign w:val="bottom"/>
          </w:tcPr>
          <w:p>
            <w:pPr>
              <w:jc w:val="center"/>
              <w:spacing w:after="0" w:line="135" w:lineRule="exact"/>
              <w:rPr>
                <w:sz w:val="20"/>
                <w:szCs w:val="20"/>
                <w:color w:val="auto"/>
              </w:rPr>
            </w:pPr>
            <w:r>
              <w:rPr>
                <w:rFonts w:ascii="Arial" w:cs="Arial" w:eastAsia="Arial" w:hAnsi="Arial"/>
                <w:sz w:val="13"/>
                <w:szCs w:val="13"/>
                <w:b w:val="1"/>
                <w:bCs w:val="1"/>
                <w:color w:val="0033A0"/>
                <w:w w:val="96"/>
              </w:rPr>
              <w:t>Without Cause</w:t>
            </w:r>
          </w:p>
        </w:tc>
        <w:tc>
          <w:tcPr>
            <w:tcW w:w="102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35"/>
        </w:trPr>
        <w:tc>
          <w:tcPr>
            <w:tcW w:w="198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1020" w:type="dxa"/>
            <w:vAlign w:val="bottom"/>
            <w:gridSpan w:val="2"/>
          </w:tcPr>
          <w:p>
            <w:pPr>
              <w:jc w:val="right"/>
              <w:ind w:right="52"/>
              <w:spacing w:after="0" w:line="135" w:lineRule="exact"/>
              <w:rPr>
                <w:sz w:val="20"/>
                <w:szCs w:val="20"/>
                <w:color w:val="auto"/>
              </w:rPr>
            </w:pPr>
            <w:r>
              <w:rPr>
                <w:rFonts w:ascii="Arial" w:cs="Arial" w:eastAsia="Arial" w:hAnsi="Arial"/>
                <w:sz w:val="13"/>
                <w:szCs w:val="13"/>
                <w:b w:val="1"/>
                <w:bCs w:val="1"/>
                <w:color w:val="0033A0"/>
              </w:rPr>
              <w:t>Termination</w:t>
            </w:r>
          </w:p>
        </w:tc>
        <w:tc>
          <w:tcPr>
            <w:tcW w:w="960" w:type="dxa"/>
            <w:vAlign w:val="bottom"/>
            <w:gridSpan w:val="2"/>
          </w:tcPr>
          <w:p>
            <w:pPr>
              <w:jc w:val="right"/>
              <w:ind w:right="112"/>
              <w:spacing w:after="0" w:line="135" w:lineRule="exact"/>
              <w:rPr>
                <w:sz w:val="20"/>
                <w:szCs w:val="20"/>
                <w:color w:val="auto"/>
              </w:rPr>
            </w:pPr>
            <w:r>
              <w:rPr>
                <w:rFonts w:ascii="Arial" w:cs="Arial" w:eastAsia="Arial" w:hAnsi="Arial"/>
                <w:sz w:val="13"/>
                <w:szCs w:val="13"/>
                <w:b w:val="1"/>
                <w:bCs w:val="1"/>
                <w:color w:val="0033A0"/>
              </w:rPr>
              <w:t>Voluntary</w:t>
            </w:r>
          </w:p>
        </w:tc>
        <w:tc>
          <w:tcPr>
            <w:tcW w:w="1140" w:type="dxa"/>
            <w:vAlign w:val="bottom"/>
          </w:tcPr>
          <w:p>
            <w:pPr>
              <w:jc w:val="center"/>
              <w:spacing w:after="0" w:line="135" w:lineRule="exact"/>
              <w:rPr>
                <w:sz w:val="20"/>
                <w:szCs w:val="20"/>
                <w:color w:val="auto"/>
              </w:rPr>
            </w:pPr>
            <w:r>
              <w:rPr>
                <w:rFonts w:ascii="Arial" w:cs="Arial" w:eastAsia="Arial" w:hAnsi="Arial"/>
                <w:sz w:val="13"/>
                <w:szCs w:val="13"/>
                <w:b w:val="1"/>
                <w:bCs w:val="1"/>
                <w:color w:val="0033A0"/>
                <w:w w:val="97"/>
              </w:rPr>
              <w:t>or for Good</w:t>
            </w:r>
          </w:p>
        </w:tc>
        <w:tc>
          <w:tcPr>
            <w:tcW w:w="102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57"/>
        </w:trPr>
        <w:tc>
          <w:tcPr>
            <w:tcW w:w="1980" w:type="dxa"/>
            <w:vAlign w:val="bottom"/>
            <w:tcBorders>
              <w:bottom w:val="single" w:sz="8" w:color="0033A0"/>
            </w:tcBorders>
          </w:tcPr>
          <w:p>
            <w:pPr>
              <w:spacing w:after="0"/>
              <w:rPr>
                <w:sz w:val="13"/>
                <w:szCs w:val="13"/>
                <w:color w:val="auto"/>
              </w:rPr>
            </w:pPr>
          </w:p>
        </w:tc>
        <w:tc>
          <w:tcPr>
            <w:tcW w:w="3960" w:type="dxa"/>
            <w:vAlign w:val="bottom"/>
            <w:tcBorders>
              <w:bottom w:val="single" w:sz="8" w:color="0033A0"/>
            </w:tcBorders>
          </w:tcPr>
          <w:p>
            <w:pPr>
              <w:spacing w:after="0"/>
              <w:rPr>
                <w:sz w:val="13"/>
                <w:szCs w:val="13"/>
                <w:color w:val="auto"/>
              </w:rPr>
            </w:pPr>
          </w:p>
        </w:tc>
        <w:tc>
          <w:tcPr>
            <w:tcW w:w="1020" w:type="dxa"/>
            <w:vAlign w:val="bottom"/>
            <w:tcBorders>
              <w:bottom w:val="single" w:sz="8" w:color="0033A0"/>
            </w:tcBorders>
            <w:gridSpan w:val="2"/>
          </w:tcPr>
          <w:p>
            <w:pPr>
              <w:jc w:val="right"/>
              <w:ind w:right="112"/>
              <w:spacing w:after="0"/>
              <w:rPr>
                <w:sz w:val="20"/>
                <w:szCs w:val="20"/>
                <w:color w:val="auto"/>
              </w:rPr>
            </w:pPr>
            <w:r>
              <w:rPr>
                <w:rFonts w:ascii="Arial" w:cs="Arial" w:eastAsia="Arial" w:hAnsi="Arial"/>
                <w:sz w:val="13"/>
                <w:szCs w:val="13"/>
                <w:b w:val="1"/>
                <w:bCs w:val="1"/>
                <w:color w:val="0033A0"/>
              </w:rPr>
              <w:t>for Cause</w:t>
            </w:r>
          </w:p>
        </w:tc>
        <w:tc>
          <w:tcPr>
            <w:tcW w:w="960" w:type="dxa"/>
            <w:vAlign w:val="bottom"/>
            <w:tcBorders>
              <w:bottom w:val="single" w:sz="8" w:color="0033A0"/>
            </w:tcBorders>
            <w:gridSpan w:val="2"/>
          </w:tcPr>
          <w:p>
            <w:pPr>
              <w:jc w:val="right"/>
              <w:ind w:right="52"/>
              <w:spacing w:after="0"/>
              <w:rPr>
                <w:sz w:val="20"/>
                <w:szCs w:val="20"/>
                <w:color w:val="auto"/>
              </w:rPr>
            </w:pPr>
            <w:r>
              <w:rPr>
                <w:rFonts w:ascii="Arial" w:cs="Arial" w:eastAsia="Arial" w:hAnsi="Arial"/>
                <w:sz w:val="13"/>
                <w:szCs w:val="13"/>
                <w:b w:val="1"/>
                <w:bCs w:val="1"/>
                <w:color w:val="0033A0"/>
              </w:rPr>
              <w:t>Termination</w:t>
            </w:r>
          </w:p>
        </w:tc>
        <w:tc>
          <w:tcPr>
            <w:tcW w:w="1140" w:type="dxa"/>
            <w:vAlign w:val="bottom"/>
            <w:tcBorders>
              <w:bottom w:val="single" w:sz="8" w:color="0033A0"/>
            </w:tcBorders>
          </w:tcPr>
          <w:p>
            <w:pPr>
              <w:jc w:val="center"/>
              <w:spacing w:after="0"/>
              <w:rPr>
                <w:sz w:val="20"/>
                <w:szCs w:val="20"/>
                <w:color w:val="auto"/>
              </w:rPr>
            </w:pPr>
            <w:r>
              <w:rPr>
                <w:rFonts w:ascii="Arial" w:cs="Arial" w:eastAsia="Arial" w:hAnsi="Arial"/>
                <w:sz w:val="13"/>
                <w:szCs w:val="13"/>
                <w:b w:val="1"/>
                <w:bCs w:val="1"/>
                <w:color w:val="0033A0"/>
                <w:w w:val="97"/>
              </w:rPr>
              <w:t>Reason</w:t>
            </w:r>
          </w:p>
        </w:tc>
        <w:tc>
          <w:tcPr>
            <w:tcW w:w="1020" w:type="dxa"/>
            <w:vAlign w:val="bottom"/>
            <w:tcBorders>
              <w:bottom w:val="single" w:sz="8" w:color="0033A0"/>
            </w:tcBorders>
          </w:tcPr>
          <w:p>
            <w:pPr>
              <w:jc w:val="right"/>
              <w:ind w:right="73"/>
              <w:spacing w:after="0"/>
              <w:rPr>
                <w:sz w:val="20"/>
                <w:szCs w:val="20"/>
                <w:color w:val="auto"/>
              </w:rPr>
            </w:pPr>
            <w:r>
              <w:rPr>
                <w:rFonts w:ascii="Arial" w:cs="Arial" w:eastAsia="Arial" w:hAnsi="Arial"/>
                <w:sz w:val="13"/>
                <w:szCs w:val="13"/>
                <w:b w:val="1"/>
                <w:bCs w:val="1"/>
                <w:color w:val="0033A0"/>
              </w:rPr>
              <w:t>Incapacity</w:t>
            </w:r>
            <w:r>
              <w:rPr>
                <w:rFonts w:ascii="Arial" w:cs="Arial" w:eastAsia="Arial" w:hAnsi="Arial"/>
                <w:sz w:val="10"/>
                <w:szCs w:val="10"/>
                <w:b w:val="1"/>
                <w:bCs w:val="1"/>
                <w:color w:val="0033A0"/>
              </w:rPr>
              <w:t>(2)</w:t>
            </w:r>
          </w:p>
        </w:tc>
        <w:tc>
          <w:tcPr>
            <w:tcW w:w="940" w:type="dxa"/>
            <w:vAlign w:val="bottom"/>
            <w:tcBorders>
              <w:bottom w:val="single" w:sz="8" w:color="0033A0"/>
            </w:tcBorders>
          </w:tcPr>
          <w:p>
            <w:pPr>
              <w:jc w:val="right"/>
              <w:ind w:right="133"/>
              <w:spacing w:after="0"/>
              <w:rPr>
                <w:sz w:val="20"/>
                <w:szCs w:val="20"/>
                <w:color w:val="auto"/>
              </w:rPr>
            </w:pPr>
            <w:r>
              <w:rPr>
                <w:rFonts w:ascii="Arial" w:cs="Arial" w:eastAsia="Arial" w:hAnsi="Arial"/>
                <w:sz w:val="13"/>
                <w:szCs w:val="13"/>
                <w:b w:val="1"/>
                <w:bCs w:val="1"/>
                <w:color w:val="0033A0"/>
              </w:rPr>
              <w:t>Death</w:t>
            </w:r>
            <w:r>
              <w:rPr>
                <w:rFonts w:ascii="Arial" w:cs="Arial" w:eastAsia="Arial" w:hAnsi="Arial"/>
                <w:sz w:val="10"/>
                <w:szCs w:val="10"/>
                <w:b w:val="1"/>
                <w:bCs w:val="1"/>
                <w:color w:val="0033A0"/>
              </w:rPr>
              <w:t>(3)</w:t>
            </w:r>
          </w:p>
        </w:tc>
      </w:tr>
      <w:tr>
        <w:trPr>
          <w:trHeight w:val="21"/>
        </w:trPr>
        <w:tc>
          <w:tcPr>
            <w:tcW w:w="198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49"/>
        </w:trPr>
        <w:tc>
          <w:tcPr>
            <w:tcW w:w="1980" w:type="dxa"/>
            <w:vAlign w:val="bottom"/>
            <w:shd w:val="clear" w:color="auto" w:fill="E5EAF5"/>
          </w:tcPr>
          <w:p>
            <w:pPr>
              <w:ind w:left="60"/>
              <w:spacing w:after="0" w:line="149" w:lineRule="exact"/>
              <w:rPr>
                <w:sz w:val="20"/>
                <w:szCs w:val="20"/>
                <w:color w:val="auto"/>
              </w:rPr>
            </w:pPr>
            <w:r>
              <w:rPr>
                <w:rFonts w:ascii="Arial" w:cs="Arial" w:eastAsia="Arial" w:hAnsi="Arial"/>
                <w:sz w:val="14"/>
                <w:szCs w:val="14"/>
                <w:color w:val="auto"/>
              </w:rPr>
              <w:t>Douglas A. Pertz</w:t>
            </w:r>
          </w:p>
        </w:tc>
        <w:tc>
          <w:tcPr>
            <w:tcW w:w="3960" w:type="dxa"/>
            <w:vAlign w:val="bottom"/>
            <w:shd w:val="clear" w:color="auto" w:fill="E5EAF5"/>
          </w:tcPr>
          <w:p>
            <w:pPr>
              <w:ind w:left="200"/>
              <w:spacing w:after="0" w:line="149" w:lineRule="exact"/>
              <w:rPr>
                <w:sz w:val="20"/>
                <w:szCs w:val="20"/>
                <w:color w:val="auto"/>
              </w:rPr>
            </w:pPr>
            <w:r>
              <w:rPr>
                <w:rFonts w:ascii="Arial" w:cs="Arial" w:eastAsia="Arial" w:hAnsi="Arial"/>
                <w:sz w:val="14"/>
                <w:szCs w:val="14"/>
                <w:color w:val="auto"/>
              </w:rPr>
              <w:t>Accrued Obligation Payment</w:t>
            </w:r>
          </w:p>
        </w:tc>
        <w:tc>
          <w:tcPr>
            <w:tcW w:w="520" w:type="dxa"/>
            <w:vAlign w:val="bottom"/>
            <w:shd w:val="clear" w:color="auto" w:fill="E5EAF5"/>
          </w:tcPr>
          <w:p>
            <w:pPr>
              <w:jc w:val="right"/>
              <w:ind w:right="195"/>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E5EAF5"/>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E5EAF5"/>
          </w:tcPr>
          <w:p>
            <w:pPr>
              <w:jc w:val="right"/>
              <w:ind w:right="195"/>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E5EAF5"/>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140" w:type="dxa"/>
            <w:vAlign w:val="bottom"/>
            <w:shd w:val="clear" w:color="auto" w:fill="E5EAF5"/>
          </w:tcPr>
          <w:p>
            <w:pPr>
              <w:jc w:val="right"/>
              <w:ind w:right="53"/>
              <w:spacing w:after="0" w:line="149" w:lineRule="exact"/>
              <w:rPr>
                <w:sz w:val="20"/>
                <w:szCs w:val="20"/>
                <w:color w:val="auto"/>
              </w:rPr>
            </w:pPr>
            <w:r>
              <w:rPr>
                <w:rFonts w:ascii="Arial" w:cs="Arial" w:eastAsia="Arial" w:hAnsi="Arial"/>
                <w:sz w:val="14"/>
                <w:szCs w:val="14"/>
                <w:color w:val="auto"/>
              </w:rPr>
              <w:t>$   1,567,167</w:t>
            </w:r>
          </w:p>
        </w:tc>
        <w:tc>
          <w:tcPr>
            <w:tcW w:w="1020" w:type="dxa"/>
            <w:vAlign w:val="bottom"/>
            <w:shd w:val="clear" w:color="auto" w:fill="E5EAF5"/>
          </w:tcPr>
          <w:p>
            <w:pPr>
              <w:jc w:val="right"/>
              <w:ind w:right="53"/>
              <w:spacing w:after="0" w:line="149" w:lineRule="exact"/>
              <w:rPr>
                <w:sz w:val="20"/>
                <w:szCs w:val="20"/>
                <w:color w:val="auto"/>
              </w:rPr>
            </w:pPr>
            <w:r>
              <w:rPr>
                <w:rFonts w:ascii="Arial" w:cs="Arial" w:eastAsia="Arial" w:hAnsi="Arial"/>
                <w:sz w:val="14"/>
                <w:szCs w:val="14"/>
                <w:color w:val="auto"/>
              </w:rPr>
              <w:t>$  1,567,167</w:t>
            </w:r>
          </w:p>
        </w:tc>
        <w:tc>
          <w:tcPr>
            <w:tcW w:w="940" w:type="dxa"/>
            <w:vAlign w:val="bottom"/>
            <w:shd w:val="clear" w:color="auto" w:fill="E5EAF5"/>
          </w:tcPr>
          <w:p>
            <w:pPr>
              <w:jc w:val="right"/>
              <w:spacing w:after="0" w:line="149" w:lineRule="exact"/>
              <w:rPr>
                <w:sz w:val="20"/>
                <w:szCs w:val="20"/>
                <w:color w:val="auto"/>
              </w:rPr>
            </w:pPr>
            <w:r>
              <w:rPr>
                <w:rFonts w:ascii="Arial" w:cs="Arial" w:eastAsia="Arial" w:hAnsi="Arial"/>
                <w:sz w:val="14"/>
                <w:szCs w:val="14"/>
                <w:color w:val="auto"/>
              </w:rPr>
              <w:t>$  1,567,167</w:t>
            </w:r>
          </w:p>
        </w:tc>
      </w:tr>
      <w:tr>
        <w:trPr>
          <w:trHeight w:val="176"/>
        </w:trPr>
        <w:tc>
          <w:tcPr>
            <w:tcW w:w="1980" w:type="dxa"/>
            <w:vAlign w:val="bottom"/>
            <w:shd w:val="clear" w:color="auto" w:fill="E5EAF5"/>
          </w:tcPr>
          <w:p>
            <w:pPr>
              <w:spacing w:after="0"/>
              <w:rPr>
                <w:sz w:val="15"/>
                <w:szCs w:val="15"/>
                <w:color w:val="auto"/>
              </w:rPr>
            </w:pPr>
          </w:p>
        </w:tc>
        <w:tc>
          <w:tcPr>
            <w:tcW w:w="3960" w:type="dxa"/>
            <w:vAlign w:val="bottom"/>
            <w:shd w:val="clear" w:color="auto" w:fill="E5EAF5"/>
          </w:tcPr>
          <w:p>
            <w:pPr>
              <w:ind w:left="200"/>
              <w:spacing w:after="0"/>
              <w:rPr>
                <w:sz w:val="20"/>
                <w:szCs w:val="20"/>
                <w:color w:val="auto"/>
              </w:rPr>
            </w:pPr>
            <w:r>
              <w:rPr>
                <w:rFonts w:ascii="Arial" w:cs="Arial" w:eastAsia="Arial" w:hAnsi="Arial"/>
                <w:sz w:val="14"/>
                <w:szCs w:val="14"/>
                <w:color w:val="auto"/>
              </w:rPr>
              <w:t>Base Salary and Bonus</w:t>
            </w:r>
          </w:p>
        </w:tc>
        <w:tc>
          <w:tcPr>
            <w:tcW w:w="520" w:type="dxa"/>
            <w:vAlign w:val="bottom"/>
            <w:shd w:val="clear" w:color="auto" w:fill="E5EAF5"/>
          </w:tcPr>
          <w:p>
            <w:pPr>
              <w:spacing w:after="0"/>
              <w:rPr>
                <w:sz w:val="15"/>
                <w:szCs w:val="15"/>
                <w:color w:val="auto"/>
              </w:rPr>
            </w:pPr>
          </w:p>
        </w:tc>
        <w:tc>
          <w:tcPr>
            <w:tcW w:w="500" w:type="dxa"/>
            <w:vAlign w:val="bottom"/>
            <w:shd w:val="clear" w:color="auto" w:fill="E5EAF5"/>
          </w:tcPr>
          <w:p>
            <w:pPr>
              <w:jc w:val="right"/>
              <w:ind w:right="52"/>
              <w:spacing w:after="0"/>
              <w:rPr>
                <w:sz w:val="20"/>
                <w:szCs w:val="20"/>
                <w:color w:val="auto"/>
              </w:rPr>
            </w:pPr>
            <w:r>
              <w:rPr>
                <w:rFonts w:ascii="Arial" w:cs="Arial" w:eastAsia="Arial" w:hAnsi="Arial"/>
                <w:sz w:val="14"/>
                <w:szCs w:val="14"/>
                <w:color w:val="auto"/>
              </w:rPr>
              <w:t>—</w:t>
            </w:r>
          </w:p>
        </w:tc>
        <w:tc>
          <w:tcPr>
            <w:tcW w:w="460" w:type="dxa"/>
            <w:vAlign w:val="bottom"/>
            <w:shd w:val="clear" w:color="auto" w:fill="E5EAF5"/>
          </w:tcPr>
          <w:p>
            <w:pPr>
              <w:spacing w:after="0"/>
              <w:rPr>
                <w:sz w:val="15"/>
                <w:szCs w:val="15"/>
                <w:color w:val="auto"/>
              </w:rPr>
            </w:pPr>
          </w:p>
        </w:tc>
        <w:tc>
          <w:tcPr>
            <w:tcW w:w="500" w:type="dxa"/>
            <w:vAlign w:val="bottom"/>
            <w:shd w:val="clear" w:color="auto" w:fill="E5EAF5"/>
          </w:tcPr>
          <w:p>
            <w:pPr>
              <w:jc w:val="right"/>
              <w:ind w:right="52"/>
              <w:spacing w:after="0"/>
              <w:rPr>
                <w:sz w:val="20"/>
                <w:szCs w:val="20"/>
                <w:color w:val="auto"/>
              </w:rPr>
            </w:pPr>
            <w:r>
              <w:rPr>
                <w:rFonts w:ascii="Arial" w:cs="Arial" w:eastAsia="Arial" w:hAnsi="Arial"/>
                <w:sz w:val="14"/>
                <w:szCs w:val="14"/>
                <w:color w:val="auto"/>
              </w:rPr>
              <w:t>—</w:t>
            </w:r>
          </w:p>
        </w:tc>
        <w:tc>
          <w:tcPr>
            <w:tcW w:w="1140" w:type="dxa"/>
            <w:vAlign w:val="bottom"/>
            <w:shd w:val="clear" w:color="auto" w:fill="E5EAF5"/>
          </w:tcPr>
          <w:p>
            <w:pPr>
              <w:jc w:val="right"/>
              <w:ind w:right="53"/>
              <w:spacing w:after="0"/>
              <w:rPr>
                <w:sz w:val="20"/>
                <w:szCs w:val="20"/>
                <w:color w:val="auto"/>
              </w:rPr>
            </w:pPr>
            <w:r>
              <w:rPr>
                <w:rFonts w:ascii="Arial" w:cs="Arial" w:eastAsia="Arial" w:hAnsi="Arial"/>
                <w:sz w:val="14"/>
                <w:szCs w:val="14"/>
                <w:color w:val="auto"/>
              </w:rPr>
              <w:t>5,094,334</w:t>
            </w:r>
          </w:p>
        </w:tc>
        <w:tc>
          <w:tcPr>
            <w:tcW w:w="1020" w:type="dxa"/>
            <w:vAlign w:val="bottom"/>
            <w:shd w:val="clear" w:color="auto" w:fill="E5EAF5"/>
          </w:tcPr>
          <w:p>
            <w:pPr>
              <w:jc w:val="right"/>
              <w:ind w:right="53"/>
              <w:spacing w:after="0"/>
              <w:rPr>
                <w:sz w:val="20"/>
                <w:szCs w:val="20"/>
                <w:color w:val="auto"/>
              </w:rPr>
            </w:pPr>
            <w:r>
              <w:rPr>
                <w:rFonts w:ascii="Arial" w:cs="Arial" w:eastAsia="Arial" w:hAnsi="Arial"/>
                <w:sz w:val="14"/>
                <w:szCs w:val="14"/>
                <w:color w:val="auto"/>
              </w:rPr>
              <w:t>—</w:t>
            </w:r>
          </w:p>
        </w:tc>
        <w:tc>
          <w:tcPr>
            <w:tcW w:w="940" w:type="dxa"/>
            <w:vAlign w:val="bottom"/>
            <w:shd w:val="clear" w:color="auto" w:fill="E5EAF5"/>
          </w:tcPr>
          <w:p>
            <w:pPr>
              <w:jc w:val="right"/>
              <w:spacing w:after="0"/>
              <w:rPr>
                <w:sz w:val="20"/>
                <w:szCs w:val="20"/>
                <w:color w:val="auto"/>
              </w:rPr>
            </w:pPr>
            <w:r>
              <w:rPr>
                <w:rFonts w:ascii="Arial" w:cs="Arial" w:eastAsia="Arial" w:hAnsi="Arial"/>
                <w:sz w:val="14"/>
                <w:szCs w:val="14"/>
                <w:color w:val="auto"/>
              </w:rPr>
              <w:t>—</w:t>
            </w:r>
          </w:p>
        </w:tc>
      </w:tr>
      <w:tr>
        <w:trPr>
          <w:trHeight w:val="176"/>
        </w:trPr>
        <w:tc>
          <w:tcPr>
            <w:tcW w:w="1980" w:type="dxa"/>
            <w:vAlign w:val="bottom"/>
            <w:shd w:val="clear" w:color="auto" w:fill="E5EAF5"/>
          </w:tcPr>
          <w:p>
            <w:pPr>
              <w:spacing w:after="0"/>
              <w:rPr>
                <w:sz w:val="15"/>
                <w:szCs w:val="15"/>
                <w:color w:val="auto"/>
              </w:rPr>
            </w:pPr>
          </w:p>
        </w:tc>
        <w:tc>
          <w:tcPr>
            <w:tcW w:w="3960" w:type="dxa"/>
            <w:vAlign w:val="bottom"/>
            <w:shd w:val="clear" w:color="auto" w:fill="E5EAF5"/>
          </w:tcPr>
          <w:p>
            <w:pPr>
              <w:ind w:left="200"/>
              <w:spacing w:after="0"/>
              <w:rPr>
                <w:sz w:val="20"/>
                <w:szCs w:val="20"/>
                <w:color w:val="auto"/>
              </w:rPr>
            </w:pPr>
            <w:r>
              <w:rPr>
                <w:rFonts w:ascii="Arial" w:cs="Arial" w:eastAsia="Arial" w:hAnsi="Arial"/>
                <w:sz w:val="14"/>
                <w:szCs w:val="14"/>
                <w:color w:val="auto"/>
              </w:rPr>
              <w:t>Long Term Incentive</w:t>
            </w:r>
            <w:r>
              <w:rPr>
                <w:rFonts w:ascii="Arial" w:cs="Arial" w:eastAsia="Arial" w:hAnsi="Arial"/>
                <w:sz w:val="11"/>
                <w:szCs w:val="11"/>
                <w:color w:val="auto"/>
              </w:rPr>
              <w:t>(4)</w:t>
            </w:r>
          </w:p>
        </w:tc>
        <w:tc>
          <w:tcPr>
            <w:tcW w:w="520" w:type="dxa"/>
            <w:vAlign w:val="bottom"/>
            <w:shd w:val="clear" w:color="auto" w:fill="E5EAF5"/>
          </w:tcPr>
          <w:p>
            <w:pPr>
              <w:spacing w:after="0"/>
              <w:rPr>
                <w:sz w:val="15"/>
                <w:szCs w:val="15"/>
                <w:color w:val="auto"/>
              </w:rPr>
            </w:pPr>
          </w:p>
        </w:tc>
        <w:tc>
          <w:tcPr>
            <w:tcW w:w="500" w:type="dxa"/>
            <w:vAlign w:val="bottom"/>
            <w:shd w:val="clear" w:color="auto" w:fill="E5EAF5"/>
          </w:tcPr>
          <w:p>
            <w:pPr>
              <w:jc w:val="right"/>
              <w:ind w:right="52"/>
              <w:spacing w:after="0"/>
              <w:rPr>
                <w:sz w:val="20"/>
                <w:szCs w:val="20"/>
                <w:color w:val="auto"/>
              </w:rPr>
            </w:pPr>
            <w:r>
              <w:rPr>
                <w:rFonts w:ascii="Arial" w:cs="Arial" w:eastAsia="Arial" w:hAnsi="Arial"/>
                <w:sz w:val="14"/>
                <w:szCs w:val="14"/>
                <w:color w:val="auto"/>
              </w:rPr>
              <w:t>—</w:t>
            </w:r>
          </w:p>
        </w:tc>
        <w:tc>
          <w:tcPr>
            <w:tcW w:w="460" w:type="dxa"/>
            <w:vAlign w:val="bottom"/>
            <w:shd w:val="clear" w:color="auto" w:fill="E5EAF5"/>
          </w:tcPr>
          <w:p>
            <w:pPr>
              <w:spacing w:after="0"/>
              <w:rPr>
                <w:sz w:val="15"/>
                <w:szCs w:val="15"/>
                <w:color w:val="auto"/>
              </w:rPr>
            </w:pPr>
          </w:p>
        </w:tc>
        <w:tc>
          <w:tcPr>
            <w:tcW w:w="500" w:type="dxa"/>
            <w:vAlign w:val="bottom"/>
            <w:shd w:val="clear" w:color="auto" w:fill="E5EAF5"/>
          </w:tcPr>
          <w:p>
            <w:pPr>
              <w:jc w:val="right"/>
              <w:ind w:right="52"/>
              <w:spacing w:after="0"/>
              <w:rPr>
                <w:sz w:val="20"/>
                <w:szCs w:val="20"/>
                <w:color w:val="auto"/>
              </w:rPr>
            </w:pPr>
            <w:r>
              <w:rPr>
                <w:rFonts w:ascii="Arial" w:cs="Arial" w:eastAsia="Arial" w:hAnsi="Arial"/>
                <w:sz w:val="14"/>
                <w:szCs w:val="14"/>
                <w:color w:val="auto"/>
              </w:rPr>
              <w:t>—</w:t>
            </w:r>
          </w:p>
        </w:tc>
        <w:tc>
          <w:tcPr>
            <w:tcW w:w="1140" w:type="dxa"/>
            <w:vAlign w:val="bottom"/>
            <w:shd w:val="clear" w:color="auto" w:fill="E5EAF5"/>
          </w:tcPr>
          <w:p>
            <w:pPr>
              <w:jc w:val="right"/>
              <w:ind w:right="53"/>
              <w:spacing w:after="0"/>
              <w:rPr>
                <w:sz w:val="20"/>
                <w:szCs w:val="20"/>
                <w:color w:val="auto"/>
              </w:rPr>
            </w:pPr>
            <w:r>
              <w:rPr>
                <w:rFonts w:ascii="Arial" w:cs="Arial" w:eastAsia="Arial" w:hAnsi="Arial"/>
                <w:sz w:val="14"/>
                <w:szCs w:val="14"/>
                <w:color w:val="auto"/>
              </w:rPr>
              <w:t>31,768,973</w:t>
            </w:r>
          </w:p>
        </w:tc>
        <w:tc>
          <w:tcPr>
            <w:tcW w:w="1020" w:type="dxa"/>
            <w:vAlign w:val="bottom"/>
            <w:shd w:val="clear" w:color="auto" w:fill="E5EAF5"/>
          </w:tcPr>
          <w:p>
            <w:pPr>
              <w:jc w:val="right"/>
              <w:ind w:right="53"/>
              <w:spacing w:after="0"/>
              <w:rPr>
                <w:sz w:val="20"/>
                <w:szCs w:val="20"/>
                <w:color w:val="auto"/>
              </w:rPr>
            </w:pPr>
            <w:r>
              <w:rPr>
                <w:rFonts w:ascii="Arial" w:cs="Arial" w:eastAsia="Arial" w:hAnsi="Arial"/>
                <w:sz w:val="14"/>
                <w:szCs w:val="14"/>
                <w:color w:val="auto"/>
              </w:rPr>
              <w:t>31,768,973</w:t>
            </w:r>
          </w:p>
        </w:tc>
        <w:tc>
          <w:tcPr>
            <w:tcW w:w="940" w:type="dxa"/>
            <w:vAlign w:val="bottom"/>
            <w:shd w:val="clear" w:color="auto" w:fill="E5EAF5"/>
          </w:tcPr>
          <w:p>
            <w:pPr>
              <w:jc w:val="right"/>
              <w:spacing w:after="0"/>
              <w:rPr>
                <w:sz w:val="20"/>
                <w:szCs w:val="20"/>
                <w:color w:val="auto"/>
              </w:rPr>
            </w:pPr>
            <w:r>
              <w:rPr>
                <w:rFonts w:ascii="Arial" w:cs="Arial" w:eastAsia="Arial" w:hAnsi="Arial"/>
                <w:sz w:val="14"/>
                <w:szCs w:val="14"/>
                <w:color w:val="auto"/>
              </w:rPr>
              <w:t>31,768,973</w:t>
            </w:r>
          </w:p>
        </w:tc>
      </w:tr>
      <w:tr>
        <w:trPr>
          <w:trHeight w:val="176"/>
        </w:trPr>
        <w:tc>
          <w:tcPr>
            <w:tcW w:w="1980" w:type="dxa"/>
            <w:vAlign w:val="bottom"/>
            <w:shd w:val="clear" w:color="auto" w:fill="E5EAF5"/>
          </w:tcPr>
          <w:p>
            <w:pPr>
              <w:spacing w:after="0"/>
              <w:rPr>
                <w:sz w:val="15"/>
                <w:szCs w:val="15"/>
                <w:color w:val="auto"/>
              </w:rPr>
            </w:pPr>
          </w:p>
        </w:tc>
        <w:tc>
          <w:tcPr>
            <w:tcW w:w="3960" w:type="dxa"/>
            <w:vAlign w:val="bottom"/>
            <w:shd w:val="clear" w:color="auto" w:fill="E5EAF5"/>
          </w:tcPr>
          <w:p>
            <w:pPr>
              <w:ind w:left="200"/>
              <w:spacing w:after="0"/>
              <w:rPr>
                <w:sz w:val="20"/>
                <w:szCs w:val="20"/>
                <w:color w:val="auto"/>
              </w:rPr>
            </w:pPr>
            <w:r>
              <w:rPr>
                <w:rFonts w:ascii="Arial" w:cs="Arial" w:eastAsia="Arial" w:hAnsi="Arial"/>
                <w:sz w:val="14"/>
                <w:szCs w:val="14"/>
                <w:color w:val="auto"/>
              </w:rPr>
              <w:t>Benefit Plans</w:t>
            </w:r>
          </w:p>
        </w:tc>
        <w:tc>
          <w:tcPr>
            <w:tcW w:w="520" w:type="dxa"/>
            <w:vAlign w:val="bottom"/>
            <w:shd w:val="clear" w:color="auto" w:fill="E5EAF5"/>
          </w:tcPr>
          <w:p>
            <w:pPr>
              <w:spacing w:after="0"/>
              <w:rPr>
                <w:sz w:val="15"/>
                <w:szCs w:val="15"/>
                <w:color w:val="auto"/>
              </w:rPr>
            </w:pPr>
          </w:p>
        </w:tc>
        <w:tc>
          <w:tcPr>
            <w:tcW w:w="500" w:type="dxa"/>
            <w:vAlign w:val="bottom"/>
            <w:shd w:val="clear" w:color="auto" w:fill="E5EAF5"/>
          </w:tcPr>
          <w:p>
            <w:pPr>
              <w:jc w:val="right"/>
              <w:ind w:right="52"/>
              <w:spacing w:after="0"/>
              <w:rPr>
                <w:sz w:val="20"/>
                <w:szCs w:val="20"/>
                <w:color w:val="auto"/>
              </w:rPr>
            </w:pPr>
            <w:r>
              <w:rPr>
                <w:rFonts w:ascii="Arial" w:cs="Arial" w:eastAsia="Arial" w:hAnsi="Arial"/>
                <w:sz w:val="14"/>
                <w:szCs w:val="14"/>
                <w:color w:val="auto"/>
              </w:rPr>
              <w:t>—</w:t>
            </w:r>
          </w:p>
        </w:tc>
        <w:tc>
          <w:tcPr>
            <w:tcW w:w="460" w:type="dxa"/>
            <w:vAlign w:val="bottom"/>
            <w:shd w:val="clear" w:color="auto" w:fill="E5EAF5"/>
          </w:tcPr>
          <w:p>
            <w:pPr>
              <w:spacing w:after="0"/>
              <w:rPr>
                <w:sz w:val="15"/>
                <w:szCs w:val="15"/>
                <w:color w:val="auto"/>
              </w:rPr>
            </w:pPr>
          </w:p>
        </w:tc>
        <w:tc>
          <w:tcPr>
            <w:tcW w:w="500" w:type="dxa"/>
            <w:vAlign w:val="bottom"/>
            <w:shd w:val="clear" w:color="auto" w:fill="E5EAF5"/>
          </w:tcPr>
          <w:p>
            <w:pPr>
              <w:jc w:val="right"/>
              <w:ind w:right="52"/>
              <w:spacing w:after="0"/>
              <w:rPr>
                <w:sz w:val="20"/>
                <w:szCs w:val="20"/>
                <w:color w:val="auto"/>
              </w:rPr>
            </w:pPr>
            <w:r>
              <w:rPr>
                <w:rFonts w:ascii="Arial" w:cs="Arial" w:eastAsia="Arial" w:hAnsi="Arial"/>
                <w:sz w:val="14"/>
                <w:szCs w:val="14"/>
                <w:color w:val="auto"/>
              </w:rPr>
              <w:t>—</w:t>
            </w:r>
          </w:p>
        </w:tc>
        <w:tc>
          <w:tcPr>
            <w:tcW w:w="1140" w:type="dxa"/>
            <w:vAlign w:val="bottom"/>
            <w:shd w:val="clear" w:color="auto" w:fill="E5EAF5"/>
          </w:tcPr>
          <w:p>
            <w:pPr>
              <w:jc w:val="right"/>
              <w:ind w:right="53"/>
              <w:spacing w:after="0"/>
              <w:rPr>
                <w:sz w:val="20"/>
                <w:szCs w:val="20"/>
                <w:color w:val="auto"/>
              </w:rPr>
            </w:pPr>
            <w:r>
              <w:rPr>
                <w:rFonts w:ascii="Arial" w:cs="Arial" w:eastAsia="Arial" w:hAnsi="Arial"/>
                <w:sz w:val="14"/>
                <w:szCs w:val="14"/>
                <w:color w:val="auto"/>
              </w:rPr>
              <w:t>—</w:t>
            </w:r>
          </w:p>
        </w:tc>
        <w:tc>
          <w:tcPr>
            <w:tcW w:w="1020" w:type="dxa"/>
            <w:vAlign w:val="bottom"/>
            <w:shd w:val="clear" w:color="auto" w:fill="E5EAF5"/>
          </w:tcPr>
          <w:p>
            <w:pPr>
              <w:jc w:val="right"/>
              <w:ind w:right="53"/>
              <w:spacing w:after="0"/>
              <w:rPr>
                <w:sz w:val="20"/>
                <w:szCs w:val="20"/>
                <w:color w:val="auto"/>
              </w:rPr>
            </w:pPr>
            <w:r>
              <w:rPr>
                <w:rFonts w:ascii="Arial" w:cs="Arial" w:eastAsia="Arial" w:hAnsi="Arial"/>
                <w:sz w:val="14"/>
                <w:szCs w:val="14"/>
                <w:color w:val="auto"/>
              </w:rPr>
              <w:t>485,558</w:t>
            </w:r>
          </w:p>
        </w:tc>
        <w:tc>
          <w:tcPr>
            <w:tcW w:w="940" w:type="dxa"/>
            <w:vAlign w:val="bottom"/>
            <w:shd w:val="clear" w:color="auto" w:fill="E5EAF5"/>
          </w:tcPr>
          <w:p>
            <w:pPr>
              <w:jc w:val="right"/>
              <w:spacing w:after="0"/>
              <w:rPr>
                <w:sz w:val="20"/>
                <w:szCs w:val="20"/>
                <w:color w:val="auto"/>
              </w:rPr>
            </w:pPr>
            <w:r>
              <w:rPr>
                <w:rFonts w:ascii="Arial" w:cs="Arial" w:eastAsia="Arial" w:hAnsi="Arial"/>
                <w:sz w:val="14"/>
                <w:szCs w:val="14"/>
                <w:color w:val="auto"/>
              </w:rPr>
              <w:t>2,450,903</w:t>
            </w:r>
          </w:p>
        </w:tc>
      </w:tr>
      <w:tr>
        <w:trPr>
          <w:trHeight w:val="176"/>
        </w:trPr>
        <w:tc>
          <w:tcPr>
            <w:tcW w:w="1980" w:type="dxa"/>
            <w:vAlign w:val="bottom"/>
            <w:tcBorders>
              <w:bottom w:val="single" w:sz="8" w:color="0033A0"/>
            </w:tcBorders>
            <w:shd w:val="clear" w:color="auto" w:fill="E5EAF5"/>
          </w:tcPr>
          <w:p>
            <w:pPr>
              <w:spacing w:after="0"/>
              <w:rPr>
                <w:sz w:val="15"/>
                <w:szCs w:val="15"/>
                <w:color w:val="auto"/>
              </w:rPr>
            </w:pPr>
          </w:p>
        </w:tc>
        <w:tc>
          <w:tcPr>
            <w:tcW w:w="3960" w:type="dxa"/>
            <w:vAlign w:val="bottom"/>
            <w:tcBorders>
              <w:bottom w:val="single" w:sz="8" w:color="0033A0"/>
            </w:tcBorders>
            <w:shd w:val="clear" w:color="auto" w:fill="E5EAF5"/>
          </w:tcPr>
          <w:p>
            <w:pPr>
              <w:ind w:left="200"/>
              <w:spacing w:after="0"/>
              <w:rPr>
                <w:sz w:val="20"/>
                <w:szCs w:val="20"/>
                <w:color w:val="auto"/>
              </w:rPr>
            </w:pPr>
            <w:r>
              <w:rPr>
                <w:rFonts w:ascii="Arial" w:cs="Arial" w:eastAsia="Arial" w:hAnsi="Arial"/>
                <w:sz w:val="14"/>
                <w:szCs w:val="14"/>
                <w:color w:val="auto"/>
              </w:rPr>
              <w:t>Outplacement Services and Other Benefits</w:t>
            </w:r>
          </w:p>
        </w:tc>
        <w:tc>
          <w:tcPr>
            <w:tcW w:w="520" w:type="dxa"/>
            <w:vAlign w:val="bottom"/>
            <w:tcBorders>
              <w:bottom w:val="single" w:sz="8" w:color="0033A0"/>
            </w:tcBorders>
            <w:shd w:val="clear" w:color="auto" w:fill="E5EAF5"/>
          </w:tcPr>
          <w:p>
            <w:pPr>
              <w:spacing w:after="0"/>
              <w:rPr>
                <w:sz w:val="15"/>
                <w:szCs w:val="15"/>
                <w:color w:val="auto"/>
              </w:rPr>
            </w:pPr>
          </w:p>
        </w:tc>
        <w:tc>
          <w:tcPr>
            <w:tcW w:w="500" w:type="dxa"/>
            <w:vAlign w:val="bottom"/>
            <w:tcBorders>
              <w:bottom w:val="single" w:sz="8" w:color="0033A0"/>
            </w:tcBorders>
            <w:shd w:val="clear" w:color="auto" w:fill="E5EAF5"/>
          </w:tcPr>
          <w:p>
            <w:pPr>
              <w:jc w:val="right"/>
              <w:ind w:right="52"/>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0033A0"/>
            </w:tcBorders>
            <w:shd w:val="clear" w:color="auto" w:fill="E5EAF5"/>
          </w:tcPr>
          <w:p>
            <w:pPr>
              <w:spacing w:after="0"/>
              <w:rPr>
                <w:sz w:val="15"/>
                <w:szCs w:val="15"/>
                <w:color w:val="auto"/>
              </w:rPr>
            </w:pPr>
          </w:p>
        </w:tc>
        <w:tc>
          <w:tcPr>
            <w:tcW w:w="500" w:type="dxa"/>
            <w:vAlign w:val="bottom"/>
            <w:tcBorders>
              <w:bottom w:val="single" w:sz="8" w:color="0033A0"/>
            </w:tcBorders>
            <w:shd w:val="clear" w:color="auto" w:fill="E5EAF5"/>
          </w:tcPr>
          <w:p>
            <w:pPr>
              <w:jc w:val="right"/>
              <w:ind w:right="52"/>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0033A0"/>
            </w:tcBorders>
            <w:shd w:val="clear" w:color="auto" w:fill="E5EAF5"/>
          </w:tcPr>
          <w:p>
            <w:pPr>
              <w:jc w:val="right"/>
              <w:ind w:right="53"/>
              <w:spacing w:after="0"/>
              <w:rPr>
                <w:sz w:val="20"/>
                <w:szCs w:val="20"/>
                <w:color w:val="auto"/>
              </w:rPr>
            </w:pPr>
            <w:r>
              <w:rPr>
                <w:rFonts w:ascii="Arial" w:cs="Arial" w:eastAsia="Arial" w:hAnsi="Arial"/>
                <w:sz w:val="14"/>
                <w:szCs w:val="14"/>
                <w:color w:val="auto"/>
              </w:rPr>
              <w:t>26,040</w:t>
            </w:r>
          </w:p>
        </w:tc>
        <w:tc>
          <w:tcPr>
            <w:tcW w:w="1020" w:type="dxa"/>
            <w:vAlign w:val="bottom"/>
            <w:tcBorders>
              <w:bottom w:val="single" w:sz="8" w:color="0033A0"/>
            </w:tcBorders>
            <w:shd w:val="clear" w:color="auto" w:fill="E5EAF5"/>
          </w:tcPr>
          <w:p>
            <w:pPr>
              <w:jc w:val="right"/>
              <w:ind w:right="53"/>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0033A0"/>
            </w:tcBorders>
            <w:shd w:val="clear" w:color="auto" w:fill="E5EAF5"/>
          </w:tcPr>
          <w:p>
            <w:pPr>
              <w:jc w:val="right"/>
              <w:spacing w:after="0"/>
              <w:rPr>
                <w:sz w:val="20"/>
                <w:szCs w:val="20"/>
                <w:color w:val="auto"/>
              </w:rPr>
            </w:pPr>
            <w:r>
              <w:rPr>
                <w:rFonts w:ascii="Arial" w:cs="Arial" w:eastAsia="Arial" w:hAnsi="Arial"/>
                <w:sz w:val="14"/>
                <w:szCs w:val="14"/>
                <w:color w:val="auto"/>
              </w:rPr>
              <w:t>—</w:t>
            </w:r>
          </w:p>
        </w:tc>
      </w:tr>
      <w:tr>
        <w:trPr>
          <w:trHeight w:val="163"/>
        </w:trPr>
        <w:tc>
          <w:tcPr>
            <w:tcW w:w="1980" w:type="dxa"/>
            <w:vAlign w:val="bottom"/>
            <w:tcBorders>
              <w:bottom w:val="single" w:sz="8" w:color="0033A0"/>
            </w:tcBorders>
            <w:shd w:val="clear" w:color="auto" w:fill="E5EAF5"/>
          </w:tcPr>
          <w:p>
            <w:pPr>
              <w:spacing w:after="0"/>
              <w:rPr>
                <w:sz w:val="14"/>
                <w:szCs w:val="14"/>
                <w:color w:val="auto"/>
              </w:rPr>
            </w:pPr>
          </w:p>
        </w:tc>
        <w:tc>
          <w:tcPr>
            <w:tcW w:w="3960" w:type="dxa"/>
            <w:vAlign w:val="bottom"/>
            <w:tcBorders>
              <w:bottom w:val="single" w:sz="8" w:color="0033A0"/>
            </w:tcBorders>
            <w:shd w:val="clear" w:color="auto" w:fill="E5EAF5"/>
          </w:tcPr>
          <w:p>
            <w:pPr>
              <w:ind w:left="200"/>
              <w:spacing w:after="0" w:line="155" w:lineRule="exact"/>
              <w:rPr>
                <w:sz w:val="20"/>
                <w:szCs w:val="20"/>
                <w:color w:val="auto"/>
              </w:rPr>
            </w:pPr>
            <w:r>
              <w:rPr>
                <w:rFonts w:ascii="Arial" w:cs="Arial" w:eastAsia="Arial" w:hAnsi="Arial"/>
                <w:sz w:val="14"/>
                <w:szCs w:val="14"/>
                <w:color w:val="auto"/>
              </w:rPr>
              <w:t>Total</w:t>
            </w:r>
          </w:p>
        </w:tc>
        <w:tc>
          <w:tcPr>
            <w:tcW w:w="520" w:type="dxa"/>
            <w:vAlign w:val="bottom"/>
            <w:tcBorders>
              <w:bottom w:val="single" w:sz="8" w:color="0033A0"/>
            </w:tcBorders>
            <w:shd w:val="clear" w:color="auto" w:fill="E5EAF5"/>
          </w:tcPr>
          <w:p>
            <w:pPr>
              <w:spacing w:after="0"/>
              <w:rPr>
                <w:sz w:val="14"/>
                <w:szCs w:val="14"/>
                <w:color w:val="auto"/>
              </w:rPr>
            </w:pPr>
          </w:p>
        </w:tc>
        <w:tc>
          <w:tcPr>
            <w:tcW w:w="500" w:type="dxa"/>
            <w:vAlign w:val="bottom"/>
            <w:tcBorders>
              <w:bottom w:val="single" w:sz="8" w:color="0033A0"/>
            </w:tcBorders>
            <w:shd w:val="clear" w:color="auto" w:fill="E5EAF5"/>
          </w:tcPr>
          <w:p>
            <w:pPr>
              <w:jc w:val="right"/>
              <w:ind w:right="52"/>
              <w:spacing w:after="0" w:line="155" w:lineRule="exact"/>
              <w:rPr>
                <w:sz w:val="20"/>
                <w:szCs w:val="20"/>
                <w:color w:val="auto"/>
              </w:rPr>
            </w:pPr>
            <w:r>
              <w:rPr>
                <w:rFonts w:ascii="Arial" w:cs="Arial" w:eastAsia="Arial" w:hAnsi="Arial"/>
                <w:sz w:val="14"/>
                <w:szCs w:val="14"/>
                <w:color w:val="auto"/>
              </w:rPr>
              <w:t>—</w:t>
            </w:r>
          </w:p>
        </w:tc>
        <w:tc>
          <w:tcPr>
            <w:tcW w:w="460" w:type="dxa"/>
            <w:vAlign w:val="bottom"/>
            <w:tcBorders>
              <w:bottom w:val="single" w:sz="8" w:color="0033A0"/>
            </w:tcBorders>
            <w:shd w:val="clear" w:color="auto" w:fill="E5EAF5"/>
          </w:tcPr>
          <w:p>
            <w:pPr>
              <w:spacing w:after="0"/>
              <w:rPr>
                <w:sz w:val="14"/>
                <w:szCs w:val="14"/>
                <w:color w:val="auto"/>
              </w:rPr>
            </w:pPr>
          </w:p>
        </w:tc>
        <w:tc>
          <w:tcPr>
            <w:tcW w:w="500" w:type="dxa"/>
            <w:vAlign w:val="bottom"/>
            <w:tcBorders>
              <w:bottom w:val="single" w:sz="8" w:color="0033A0"/>
            </w:tcBorders>
            <w:shd w:val="clear" w:color="auto" w:fill="E5EAF5"/>
          </w:tcPr>
          <w:p>
            <w:pPr>
              <w:jc w:val="right"/>
              <w:ind w:right="52"/>
              <w:spacing w:after="0" w:line="155" w:lineRule="exact"/>
              <w:rPr>
                <w:sz w:val="20"/>
                <w:szCs w:val="20"/>
                <w:color w:val="auto"/>
              </w:rPr>
            </w:pPr>
            <w:r>
              <w:rPr>
                <w:rFonts w:ascii="Arial" w:cs="Arial" w:eastAsia="Arial" w:hAnsi="Arial"/>
                <w:sz w:val="14"/>
                <w:szCs w:val="14"/>
                <w:color w:val="auto"/>
              </w:rPr>
              <w:t>—</w:t>
            </w:r>
          </w:p>
        </w:tc>
        <w:tc>
          <w:tcPr>
            <w:tcW w:w="1140" w:type="dxa"/>
            <w:vAlign w:val="bottom"/>
            <w:tcBorders>
              <w:bottom w:val="single" w:sz="8" w:color="0033A0"/>
            </w:tcBorders>
            <w:shd w:val="clear" w:color="auto" w:fill="E5EAF5"/>
          </w:tcPr>
          <w:p>
            <w:pPr>
              <w:jc w:val="right"/>
              <w:ind w:right="53"/>
              <w:spacing w:after="0" w:line="155" w:lineRule="exact"/>
              <w:rPr>
                <w:sz w:val="20"/>
                <w:szCs w:val="20"/>
                <w:color w:val="auto"/>
              </w:rPr>
            </w:pPr>
            <w:r>
              <w:rPr>
                <w:rFonts w:ascii="Arial" w:cs="Arial" w:eastAsia="Arial" w:hAnsi="Arial"/>
                <w:sz w:val="14"/>
                <w:szCs w:val="14"/>
                <w:color w:val="auto"/>
              </w:rPr>
              <w:t>38,456,514</w:t>
            </w:r>
          </w:p>
        </w:tc>
        <w:tc>
          <w:tcPr>
            <w:tcW w:w="1020" w:type="dxa"/>
            <w:vAlign w:val="bottom"/>
            <w:tcBorders>
              <w:bottom w:val="single" w:sz="8" w:color="0033A0"/>
            </w:tcBorders>
            <w:shd w:val="clear" w:color="auto" w:fill="E5EAF5"/>
          </w:tcPr>
          <w:p>
            <w:pPr>
              <w:jc w:val="right"/>
              <w:ind w:right="53"/>
              <w:spacing w:after="0" w:line="155" w:lineRule="exact"/>
              <w:rPr>
                <w:sz w:val="20"/>
                <w:szCs w:val="20"/>
                <w:color w:val="auto"/>
              </w:rPr>
            </w:pPr>
            <w:r>
              <w:rPr>
                <w:rFonts w:ascii="Arial" w:cs="Arial" w:eastAsia="Arial" w:hAnsi="Arial"/>
                <w:sz w:val="14"/>
                <w:szCs w:val="14"/>
                <w:color w:val="auto"/>
              </w:rPr>
              <w:t>33,821,698</w:t>
            </w:r>
          </w:p>
        </w:tc>
        <w:tc>
          <w:tcPr>
            <w:tcW w:w="940" w:type="dxa"/>
            <w:vAlign w:val="bottom"/>
            <w:tcBorders>
              <w:bottom w:val="single" w:sz="8" w:color="0033A0"/>
            </w:tcBorders>
            <w:shd w:val="clear" w:color="auto" w:fill="E5EAF5"/>
          </w:tcPr>
          <w:p>
            <w:pPr>
              <w:jc w:val="right"/>
              <w:spacing w:after="0" w:line="155" w:lineRule="exact"/>
              <w:rPr>
                <w:sz w:val="20"/>
                <w:szCs w:val="20"/>
                <w:color w:val="auto"/>
              </w:rPr>
            </w:pPr>
            <w:r>
              <w:rPr>
                <w:rFonts w:ascii="Arial" w:cs="Arial" w:eastAsia="Arial" w:hAnsi="Arial"/>
                <w:sz w:val="14"/>
                <w:szCs w:val="14"/>
                <w:color w:val="auto"/>
              </w:rPr>
              <w:t>35,787,043</w:t>
            </w:r>
          </w:p>
        </w:tc>
      </w:tr>
      <w:tr>
        <w:trPr>
          <w:trHeight w:val="162"/>
        </w:trPr>
        <w:tc>
          <w:tcPr>
            <w:tcW w:w="1980" w:type="dxa"/>
            <w:vAlign w:val="bottom"/>
          </w:tcPr>
          <w:p>
            <w:pPr>
              <w:ind w:left="60"/>
              <w:spacing w:after="0"/>
              <w:rPr>
                <w:sz w:val="20"/>
                <w:szCs w:val="20"/>
                <w:color w:val="auto"/>
              </w:rPr>
            </w:pPr>
            <w:r>
              <w:rPr>
                <w:rFonts w:ascii="Arial" w:cs="Arial" w:eastAsia="Arial" w:hAnsi="Arial"/>
                <w:sz w:val="14"/>
                <w:szCs w:val="14"/>
                <w:color w:val="auto"/>
              </w:rPr>
              <w:t>Michael F. Beech</w:t>
            </w:r>
          </w:p>
        </w:tc>
        <w:tc>
          <w:tcPr>
            <w:tcW w:w="3960" w:type="dxa"/>
            <w:vAlign w:val="bottom"/>
          </w:tcPr>
          <w:p>
            <w:pPr>
              <w:ind w:left="200"/>
              <w:spacing w:after="0"/>
              <w:rPr>
                <w:sz w:val="20"/>
                <w:szCs w:val="20"/>
                <w:color w:val="auto"/>
              </w:rPr>
            </w:pPr>
            <w:r>
              <w:rPr>
                <w:rFonts w:ascii="Arial" w:cs="Arial" w:eastAsia="Arial" w:hAnsi="Arial"/>
                <w:sz w:val="14"/>
                <w:szCs w:val="14"/>
                <w:color w:val="auto"/>
              </w:rPr>
              <w:t>Accrued Obligation Payment</w:t>
            </w:r>
          </w:p>
        </w:tc>
        <w:tc>
          <w:tcPr>
            <w:tcW w:w="520" w:type="dxa"/>
            <w:vAlign w:val="bottom"/>
          </w:tcPr>
          <w:p>
            <w:pPr>
              <w:spacing w:after="0"/>
              <w:rPr>
                <w:sz w:val="14"/>
                <w:szCs w:val="14"/>
                <w:color w:val="auto"/>
              </w:rPr>
            </w:pPr>
          </w:p>
        </w:tc>
        <w:tc>
          <w:tcPr>
            <w:tcW w:w="50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50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53"/>
              <w:spacing w:after="0"/>
              <w:rPr>
                <w:sz w:val="20"/>
                <w:szCs w:val="20"/>
                <w:color w:val="auto"/>
              </w:rPr>
            </w:pPr>
            <w:r>
              <w:rPr>
                <w:rFonts w:ascii="Arial" w:cs="Arial" w:eastAsia="Arial" w:hAnsi="Arial"/>
                <w:sz w:val="14"/>
                <w:szCs w:val="14"/>
                <w:color w:val="auto"/>
              </w:rPr>
              <w:t>390,728</w:t>
            </w:r>
          </w:p>
        </w:tc>
        <w:tc>
          <w:tcPr>
            <w:tcW w:w="1020" w:type="dxa"/>
            <w:vAlign w:val="bottom"/>
          </w:tcPr>
          <w:p>
            <w:pPr>
              <w:jc w:val="right"/>
              <w:ind w:right="53"/>
              <w:spacing w:after="0"/>
              <w:rPr>
                <w:sz w:val="20"/>
                <w:szCs w:val="20"/>
                <w:color w:val="auto"/>
              </w:rPr>
            </w:pPr>
            <w:r>
              <w:rPr>
                <w:rFonts w:ascii="Arial" w:cs="Arial" w:eastAsia="Arial" w:hAnsi="Arial"/>
                <w:sz w:val="14"/>
                <w:szCs w:val="14"/>
                <w:color w:val="auto"/>
              </w:rPr>
              <w:t>390,728</w:t>
            </w:r>
          </w:p>
        </w:tc>
        <w:tc>
          <w:tcPr>
            <w:tcW w:w="940" w:type="dxa"/>
            <w:vAlign w:val="bottom"/>
          </w:tcPr>
          <w:p>
            <w:pPr>
              <w:jc w:val="right"/>
              <w:spacing w:after="0"/>
              <w:rPr>
                <w:sz w:val="20"/>
                <w:szCs w:val="20"/>
                <w:color w:val="auto"/>
              </w:rPr>
            </w:pPr>
            <w:r>
              <w:rPr>
                <w:rFonts w:ascii="Arial" w:cs="Arial" w:eastAsia="Arial" w:hAnsi="Arial"/>
                <w:sz w:val="14"/>
                <w:szCs w:val="14"/>
                <w:color w:val="auto"/>
              </w:rPr>
              <w:t>390,728</w:t>
            </w:r>
          </w:p>
        </w:tc>
      </w:tr>
      <w:tr>
        <w:trPr>
          <w:trHeight w:val="175"/>
        </w:trPr>
        <w:tc>
          <w:tcPr>
            <w:tcW w:w="1980" w:type="dxa"/>
            <w:vAlign w:val="bottom"/>
          </w:tcPr>
          <w:p>
            <w:pPr>
              <w:spacing w:after="0"/>
              <w:rPr>
                <w:sz w:val="15"/>
                <w:szCs w:val="15"/>
                <w:color w:val="auto"/>
              </w:rPr>
            </w:pPr>
          </w:p>
        </w:tc>
        <w:tc>
          <w:tcPr>
            <w:tcW w:w="3960" w:type="dxa"/>
            <w:vAlign w:val="bottom"/>
          </w:tcPr>
          <w:p>
            <w:pPr>
              <w:ind w:left="200"/>
              <w:spacing w:after="0"/>
              <w:rPr>
                <w:sz w:val="20"/>
                <w:szCs w:val="20"/>
                <w:color w:val="auto"/>
              </w:rPr>
            </w:pPr>
            <w:r>
              <w:rPr>
                <w:rFonts w:ascii="Arial" w:cs="Arial" w:eastAsia="Arial" w:hAnsi="Arial"/>
                <w:sz w:val="14"/>
                <w:szCs w:val="14"/>
                <w:color w:val="auto"/>
              </w:rPr>
              <w:t>Base Salary and Bonus</w:t>
            </w:r>
          </w:p>
        </w:tc>
        <w:tc>
          <w:tcPr>
            <w:tcW w:w="520" w:type="dxa"/>
            <w:vAlign w:val="bottom"/>
          </w:tcPr>
          <w:p>
            <w:pPr>
              <w:spacing w:after="0"/>
              <w:rPr>
                <w:sz w:val="15"/>
                <w:szCs w:val="15"/>
                <w:color w:val="auto"/>
              </w:rPr>
            </w:pPr>
          </w:p>
        </w:tc>
        <w:tc>
          <w:tcPr>
            <w:tcW w:w="50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5"/>
                <w:szCs w:val="15"/>
                <w:color w:val="auto"/>
              </w:rPr>
            </w:pPr>
          </w:p>
        </w:tc>
        <w:tc>
          <w:tcPr>
            <w:tcW w:w="50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53"/>
              <w:spacing w:after="0"/>
              <w:rPr>
                <w:sz w:val="20"/>
                <w:szCs w:val="20"/>
                <w:color w:val="auto"/>
              </w:rPr>
            </w:pPr>
            <w:r>
              <w:rPr>
                <w:rFonts w:ascii="Arial" w:cs="Arial" w:eastAsia="Arial" w:hAnsi="Arial"/>
                <w:sz w:val="14"/>
                <w:szCs w:val="14"/>
                <w:color w:val="auto"/>
              </w:rPr>
              <w:t>1,769,456</w:t>
            </w:r>
          </w:p>
        </w:tc>
        <w:tc>
          <w:tcPr>
            <w:tcW w:w="1020" w:type="dxa"/>
            <w:vAlign w:val="bottom"/>
          </w:tcPr>
          <w:p>
            <w:pPr>
              <w:jc w:val="right"/>
              <w:ind w:right="53"/>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6"/>
        </w:trPr>
        <w:tc>
          <w:tcPr>
            <w:tcW w:w="1980" w:type="dxa"/>
            <w:vAlign w:val="bottom"/>
          </w:tcPr>
          <w:p>
            <w:pPr>
              <w:spacing w:after="0"/>
              <w:rPr>
                <w:sz w:val="15"/>
                <w:szCs w:val="15"/>
                <w:color w:val="auto"/>
              </w:rPr>
            </w:pPr>
          </w:p>
        </w:tc>
        <w:tc>
          <w:tcPr>
            <w:tcW w:w="3960" w:type="dxa"/>
            <w:vAlign w:val="bottom"/>
          </w:tcPr>
          <w:p>
            <w:pPr>
              <w:ind w:left="200"/>
              <w:spacing w:after="0"/>
              <w:rPr>
                <w:sz w:val="20"/>
                <w:szCs w:val="20"/>
                <w:color w:val="auto"/>
              </w:rPr>
            </w:pPr>
            <w:r>
              <w:rPr>
                <w:rFonts w:ascii="Arial" w:cs="Arial" w:eastAsia="Arial" w:hAnsi="Arial"/>
                <w:sz w:val="14"/>
                <w:szCs w:val="14"/>
                <w:color w:val="auto"/>
              </w:rPr>
              <w:t>Long Term Incentive</w:t>
            </w:r>
            <w:r>
              <w:rPr>
                <w:rFonts w:ascii="Arial" w:cs="Arial" w:eastAsia="Arial" w:hAnsi="Arial"/>
                <w:sz w:val="11"/>
                <w:szCs w:val="11"/>
                <w:color w:val="auto"/>
              </w:rPr>
              <w:t>(4)</w:t>
            </w:r>
          </w:p>
        </w:tc>
        <w:tc>
          <w:tcPr>
            <w:tcW w:w="520" w:type="dxa"/>
            <w:vAlign w:val="bottom"/>
          </w:tcPr>
          <w:p>
            <w:pPr>
              <w:spacing w:after="0"/>
              <w:rPr>
                <w:sz w:val="15"/>
                <w:szCs w:val="15"/>
                <w:color w:val="auto"/>
              </w:rPr>
            </w:pPr>
          </w:p>
        </w:tc>
        <w:tc>
          <w:tcPr>
            <w:tcW w:w="50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5"/>
                <w:szCs w:val="15"/>
                <w:color w:val="auto"/>
              </w:rPr>
            </w:pPr>
          </w:p>
        </w:tc>
        <w:tc>
          <w:tcPr>
            <w:tcW w:w="50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53"/>
              <w:spacing w:after="0"/>
              <w:rPr>
                <w:sz w:val="20"/>
                <w:szCs w:val="20"/>
                <w:color w:val="auto"/>
              </w:rPr>
            </w:pPr>
            <w:r>
              <w:rPr>
                <w:rFonts w:ascii="Arial" w:cs="Arial" w:eastAsia="Arial" w:hAnsi="Arial"/>
                <w:sz w:val="14"/>
                <w:szCs w:val="14"/>
                <w:color w:val="auto"/>
              </w:rPr>
              <w:t>2,317,728</w:t>
            </w:r>
          </w:p>
        </w:tc>
        <w:tc>
          <w:tcPr>
            <w:tcW w:w="1020" w:type="dxa"/>
            <w:vAlign w:val="bottom"/>
          </w:tcPr>
          <w:p>
            <w:pPr>
              <w:jc w:val="right"/>
              <w:ind w:right="53"/>
              <w:spacing w:after="0"/>
              <w:rPr>
                <w:sz w:val="20"/>
                <w:szCs w:val="20"/>
                <w:color w:val="auto"/>
              </w:rPr>
            </w:pPr>
            <w:r>
              <w:rPr>
                <w:rFonts w:ascii="Arial" w:cs="Arial" w:eastAsia="Arial" w:hAnsi="Arial"/>
                <w:sz w:val="14"/>
                <w:szCs w:val="14"/>
                <w:color w:val="auto"/>
              </w:rPr>
              <w:t>2,317,728</w:t>
            </w:r>
          </w:p>
        </w:tc>
        <w:tc>
          <w:tcPr>
            <w:tcW w:w="940" w:type="dxa"/>
            <w:vAlign w:val="bottom"/>
          </w:tcPr>
          <w:p>
            <w:pPr>
              <w:jc w:val="right"/>
              <w:spacing w:after="0"/>
              <w:rPr>
                <w:sz w:val="20"/>
                <w:szCs w:val="20"/>
                <w:color w:val="auto"/>
              </w:rPr>
            </w:pPr>
            <w:r>
              <w:rPr>
                <w:rFonts w:ascii="Arial" w:cs="Arial" w:eastAsia="Arial" w:hAnsi="Arial"/>
                <w:sz w:val="14"/>
                <w:szCs w:val="14"/>
                <w:color w:val="auto"/>
              </w:rPr>
              <w:t>2,317,728</w:t>
            </w:r>
          </w:p>
        </w:tc>
      </w:tr>
      <w:tr>
        <w:trPr>
          <w:trHeight w:val="176"/>
        </w:trPr>
        <w:tc>
          <w:tcPr>
            <w:tcW w:w="1980" w:type="dxa"/>
            <w:vAlign w:val="bottom"/>
          </w:tcPr>
          <w:p>
            <w:pPr>
              <w:spacing w:after="0"/>
              <w:rPr>
                <w:sz w:val="15"/>
                <w:szCs w:val="15"/>
                <w:color w:val="auto"/>
              </w:rPr>
            </w:pPr>
          </w:p>
        </w:tc>
        <w:tc>
          <w:tcPr>
            <w:tcW w:w="3960" w:type="dxa"/>
            <w:vAlign w:val="bottom"/>
          </w:tcPr>
          <w:p>
            <w:pPr>
              <w:ind w:left="200"/>
              <w:spacing w:after="0"/>
              <w:rPr>
                <w:sz w:val="20"/>
                <w:szCs w:val="20"/>
                <w:color w:val="auto"/>
              </w:rPr>
            </w:pPr>
            <w:r>
              <w:rPr>
                <w:rFonts w:ascii="Arial" w:cs="Arial" w:eastAsia="Arial" w:hAnsi="Arial"/>
                <w:sz w:val="14"/>
                <w:szCs w:val="14"/>
                <w:color w:val="auto"/>
              </w:rPr>
              <w:t>Benefit Plans</w:t>
            </w:r>
          </w:p>
        </w:tc>
        <w:tc>
          <w:tcPr>
            <w:tcW w:w="520" w:type="dxa"/>
            <w:vAlign w:val="bottom"/>
          </w:tcPr>
          <w:p>
            <w:pPr>
              <w:spacing w:after="0"/>
              <w:rPr>
                <w:sz w:val="15"/>
                <w:szCs w:val="15"/>
                <w:color w:val="auto"/>
              </w:rPr>
            </w:pPr>
          </w:p>
        </w:tc>
        <w:tc>
          <w:tcPr>
            <w:tcW w:w="50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5"/>
                <w:szCs w:val="15"/>
                <w:color w:val="auto"/>
              </w:rPr>
            </w:pPr>
          </w:p>
        </w:tc>
        <w:tc>
          <w:tcPr>
            <w:tcW w:w="50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53"/>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53"/>
              <w:spacing w:after="0"/>
              <w:rPr>
                <w:sz w:val="20"/>
                <w:szCs w:val="20"/>
                <w:color w:val="auto"/>
              </w:rPr>
            </w:pPr>
            <w:r>
              <w:rPr>
                <w:rFonts w:ascii="Arial" w:cs="Arial" w:eastAsia="Arial" w:hAnsi="Arial"/>
                <w:sz w:val="14"/>
                <w:szCs w:val="14"/>
                <w:color w:val="auto"/>
              </w:rPr>
              <w:t>244,761</w:t>
            </w:r>
          </w:p>
        </w:tc>
        <w:tc>
          <w:tcPr>
            <w:tcW w:w="940" w:type="dxa"/>
            <w:vAlign w:val="bottom"/>
          </w:tcPr>
          <w:p>
            <w:pPr>
              <w:jc w:val="right"/>
              <w:spacing w:after="0"/>
              <w:rPr>
                <w:sz w:val="20"/>
                <w:szCs w:val="20"/>
                <w:color w:val="auto"/>
              </w:rPr>
            </w:pPr>
            <w:r>
              <w:rPr>
                <w:rFonts w:ascii="Arial" w:cs="Arial" w:eastAsia="Arial" w:hAnsi="Arial"/>
                <w:sz w:val="14"/>
                <w:szCs w:val="14"/>
                <w:color w:val="auto"/>
              </w:rPr>
              <w:t>1,238,351</w:t>
            </w:r>
          </w:p>
        </w:tc>
      </w:tr>
      <w:tr>
        <w:trPr>
          <w:trHeight w:val="163"/>
        </w:trPr>
        <w:tc>
          <w:tcPr>
            <w:tcW w:w="1980" w:type="dxa"/>
            <w:vAlign w:val="bottom"/>
            <w:tcBorders>
              <w:bottom w:val="single" w:sz="8" w:color="0033A0"/>
            </w:tcBorders>
          </w:tcPr>
          <w:p>
            <w:pPr>
              <w:spacing w:after="0"/>
              <w:rPr>
                <w:sz w:val="14"/>
                <w:szCs w:val="14"/>
                <w:color w:val="auto"/>
              </w:rPr>
            </w:pPr>
          </w:p>
        </w:tc>
        <w:tc>
          <w:tcPr>
            <w:tcW w:w="3960" w:type="dxa"/>
            <w:vAlign w:val="bottom"/>
            <w:tcBorders>
              <w:bottom w:val="single" w:sz="8" w:color="0033A0"/>
            </w:tcBorders>
          </w:tcPr>
          <w:p>
            <w:pPr>
              <w:ind w:left="200"/>
              <w:spacing w:after="0"/>
              <w:rPr>
                <w:sz w:val="20"/>
                <w:szCs w:val="20"/>
                <w:color w:val="auto"/>
              </w:rPr>
            </w:pPr>
            <w:r>
              <w:rPr>
                <w:rFonts w:ascii="Arial" w:cs="Arial" w:eastAsia="Arial" w:hAnsi="Arial"/>
                <w:sz w:val="14"/>
                <w:szCs w:val="14"/>
                <w:color w:val="auto"/>
              </w:rPr>
              <w:t>Outplacement Services and Other Benefits</w:t>
            </w:r>
          </w:p>
        </w:tc>
        <w:tc>
          <w:tcPr>
            <w:tcW w:w="520" w:type="dxa"/>
            <w:vAlign w:val="bottom"/>
            <w:tcBorders>
              <w:bottom w:val="single" w:sz="8" w:color="0033A0"/>
            </w:tcBorders>
          </w:tcPr>
          <w:p>
            <w:pPr>
              <w:spacing w:after="0"/>
              <w:rPr>
                <w:sz w:val="14"/>
                <w:szCs w:val="14"/>
                <w:color w:val="auto"/>
              </w:rPr>
            </w:pPr>
          </w:p>
        </w:tc>
        <w:tc>
          <w:tcPr>
            <w:tcW w:w="500" w:type="dxa"/>
            <w:vAlign w:val="bottom"/>
            <w:tcBorders>
              <w:bottom w:val="single" w:sz="8" w:color="0033A0"/>
            </w:tcBorders>
          </w:tcPr>
          <w:p>
            <w:pPr>
              <w:jc w:val="right"/>
              <w:ind w:right="52"/>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0033A0"/>
            </w:tcBorders>
          </w:tcPr>
          <w:p>
            <w:pPr>
              <w:spacing w:after="0"/>
              <w:rPr>
                <w:sz w:val="14"/>
                <w:szCs w:val="14"/>
                <w:color w:val="auto"/>
              </w:rPr>
            </w:pPr>
          </w:p>
        </w:tc>
        <w:tc>
          <w:tcPr>
            <w:tcW w:w="500" w:type="dxa"/>
            <w:vAlign w:val="bottom"/>
            <w:tcBorders>
              <w:bottom w:val="single" w:sz="8" w:color="0033A0"/>
            </w:tcBorders>
          </w:tcPr>
          <w:p>
            <w:pPr>
              <w:jc w:val="right"/>
              <w:ind w:right="52"/>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0033A0"/>
            </w:tcBorders>
          </w:tcPr>
          <w:p>
            <w:pPr>
              <w:jc w:val="right"/>
              <w:ind w:right="53"/>
              <w:spacing w:after="0"/>
              <w:rPr>
                <w:sz w:val="20"/>
                <w:szCs w:val="20"/>
                <w:color w:val="auto"/>
              </w:rPr>
            </w:pPr>
            <w:r>
              <w:rPr>
                <w:rFonts w:ascii="Arial" w:cs="Arial" w:eastAsia="Arial" w:hAnsi="Arial"/>
                <w:sz w:val="14"/>
                <w:szCs w:val="14"/>
                <w:color w:val="auto"/>
              </w:rPr>
              <w:t>27,702</w:t>
            </w:r>
          </w:p>
        </w:tc>
        <w:tc>
          <w:tcPr>
            <w:tcW w:w="1020" w:type="dxa"/>
            <w:vAlign w:val="bottom"/>
            <w:tcBorders>
              <w:bottom w:val="single" w:sz="8" w:color="0033A0"/>
            </w:tcBorders>
          </w:tcPr>
          <w:p>
            <w:pPr>
              <w:jc w:val="right"/>
              <w:ind w:right="53"/>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0033A0"/>
            </w:tcBorders>
          </w:tcPr>
          <w:p>
            <w:pPr>
              <w:jc w:val="right"/>
              <w:spacing w:after="0"/>
              <w:rPr>
                <w:sz w:val="20"/>
                <w:szCs w:val="20"/>
                <w:color w:val="auto"/>
              </w:rPr>
            </w:pPr>
            <w:r>
              <w:rPr>
                <w:rFonts w:ascii="Arial" w:cs="Arial" w:eastAsia="Arial" w:hAnsi="Arial"/>
                <w:sz w:val="14"/>
                <w:szCs w:val="14"/>
                <w:color w:val="auto"/>
              </w:rPr>
              <w:t>—</w:t>
            </w:r>
          </w:p>
        </w:tc>
      </w:tr>
      <w:tr>
        <w:trPr>
          <w:trHeight w:val="163"/>
        </w:trPr>
        <w:tc>
          <w:tcPr>
            <w:tcW w:w="1980" w:type="dxa"/>
            <w:vAlign w:val="bottom"/>
            <w:tcBorders>
              <w:bottom w:val="single" w:sz="8" w:color="0033A0"/>
            </w:tcBorders>
          </w:tcPr>
          <w:p>
            <w:pPr>
              <w:spacing w:after="0"/>
              <w:rPr>
                <w:sz w:val="14"/>
                <w:szCs w:val="14"/>
                <w:color w:val="auto"/>
              </w:rPr>
            </w:pPr>
          </w:p>
        </w:tc>
        <w:tc>
          <w:tcPr>
            <w:tcW w:w="3960" w:type="dxa"/>
            <w:vAlign w:val="bottom"/>
            <w:tcBorders>
              <w:bottom w:val="single" w:sz="8" w:color="0033A0"/>
            </w:tcBorders>
          </w:tcPr>
          <w:p>
            <w:pPr>
              <w:ind w:left="200"/>
              <w:spacing w:after="0" w:line="155" w:lineRule="exact"/>
              <w:rPr>
                <w:sz w:val="20"/>
                <w:szCs w:val="20"/>
                <w:color w:val="auto"/>
              </w:rPr>
            </w:pPr>
            <w:r>
              <w:rPr>
                <w:rFonts w:ascii="Arial" w:cs="Arial" w:eastAsia="Arial" w:hAnsi="Arial"/>
                <w:sz w:val="14"/>
                <w:szCs w:val="14"/>
                <w:color w:val="auto"/>
              </w:rPr>
              <w:t>Total</w:t>
            </w:r>
          </w:p>
        </w:tc>
        <w:tc>
          <w:tcPr>
            <w:tcW w:w="520" w:type="dxa"/>
            <w:vAlign w:val="bottom"/>
            <w:tcBorders>
              <w:bottom w:val="single" w:sz="8" w:color="0033A0"/>
            </w:tcBorders>
          </w:tcPr>
          <w:p>
            <w:pPr>
              <w:spacing w:after="0"/>
              <w:rPr>
                <w:sz w:val="14"/>
                <w:szCs w:val="14"/>
                <w:color w:val="auto"/>
              </w:rPr>
            </w:pPr>
          </w:p>
        </w:tc>
        <w:tc>
          <w:tcPr>
            <w:tcW w:w="500" w:type="dxa"/>
            <w:vAlign w:val="bottom"/>
            <w:tcBorders>
              <w:bottom w:val="single" w:sz="8" w:color="0033A0"/>
            </w:tcBorders>
          </w:tcPr>
          <w:p>
            <w:pPr>
              <w:jc w:val="right"/>
              <w:ind w:right="52"/>
              <w:spacing w:after="0" w:line="155" w:lineRule="exact"/>
              <w:rPr>
                <w:sz w:val="20"/>
                <w:szCs w:val="20"/>
                <w:color w:val="auto"/>
              </w:rPr>
            </w:pPr>
            <w:r>
              <w:rPr>
                <w:rFonts w:ascii="Arial" w:cs="Arial" w:eastAsia="Arial" w:hAnsi="Arial"/>
                <w:sz w:val="14"/>
                <w:szCs w:val="14"/>
                <w:color w:val="auto"/>
              </w:rPr>
              <w:t>—</w:t>
            </w:r>
          </w:p>
        </w:tc>
        <w:tc>
          <w:tcPr>
            <w:tcW w:w="460" w:type="dxa"/>
            <w:vAlign w:val="bottom"/>
            <w:tcBorders>
              <w:bottom w:val="single" w:sz="8" w:color="0033A0"/>
            </w:tcBorders>
          </w:tcPr>
          <w:p>
            <w:pPr>
              <w:spacing w:after="0"/>
              <w:rPr>
                <w:sz w:val="14"/>
                <w:szCs w:val="14"/>
                <w:color w:val="auto"/>
              </w:rPr>
            </w:pPr>
          </w:p>
        </w:tc>
        <w:tc>
          <w:tcPr>
            <w:tcW w:w="500" w:type="dxa"/>
            <w:vAlign w:val="bottom"/>
            <w:tcBorders>
              <w:bottom w:val="single" w:sz="8" w:color="0033A0"/>
            </w:tcBorders>
          </w:tcPr>
          <w:p>
            <w:pPr>
              <w:jc w:val="right"/>
              <w:ind w:right="52"/>
              <w:spacing w:after="0" w:line="155" w:lineRule="exact"/>
              <w:rPr>
                <w:sz w:val="20"/>
                <w:szCs w:val="20"/>
                <w:color w:val="auto"/>
              </w:rPr>
            </w:pPr>
            <w:r>
              <w:rPr>
                <w:rFonts w:ascii="Arial" w:cs="Arial" w:eastAsia="Arial" w:hAnsi="Arial"/>
                <w:sz w:val="14"/>
                <w:szCs w:val="14"/>
                <w:color w:val="auto"/>
              </w:rPr>
              <w:t>—</w:t>
            </w:r>
          </w:p>
        </w:tc>
        <w:tc>
          <w:tcPr>
            <w:tcW w:w="1140" w:type="dxa"/>
            <w:vAlign w:val="bottom"/>
            <w:tcBorders>
              <w:bottom w:val="single" w:sz="8" w:color="0033A0"/>
            </w:tcBorders>
          </w:tcPr>
          <w:p>
            <w:pPr>
              <w:jc w:val="right"/>
              <w:ind w:right="53"/>
              <w:spacing w:after="0" w:line="155" w:lineRule="exact"/>
              <w:rPr>
                <w:sz w:val="20"/>
                <w:szCs w:val="20"/>
                <w:color w:val="auto"/>
              </w:rPr>
            </w:pPr>
            <w:r>
              <w:rPr>
                <w:rFonts w:ascii="Arial" w:cs="Arial" w:eastAsia="Arial" w:hAnsi="Arial"/>
                <w:sz w:val="14"/>
                <w:szCs w:val="14"/>
                <w:color w:val="auto"/>
              </w:rPr>
              <w:t>4,505,614</w:t>
            </w:r>
          </w:p>
        </w:tc>
        <w:tc>
          <w:tcPr>
            <w:tcW w:w="1020" w:type="dxa"/>
            <w:vAlign w:val="bottom"/>
            <w:tcBorders>
              <w:bottom w:val="single" w:sz="8" w:color="0033A0"/>
            </w:tcBorders>
          </w:tcPr>
          <w:p>
            <w:pPr>
              <w:jc w:val="right"/>
              <w:ind w:right="53"/>
              <w:spacing w:after="0" w:line="155" w:lineRule="exact"/>
              <w:rPr>
                <w:sz w:val="20"/>
                <w:szCs w:val="20"/>
                <w:color w:val="auto"/>
              </w:rPr>
            </w:pPr>
            <w:r>
              <w:rPr>
                <w:rFonts w:ascii="Arial" w:cs="Arial" w:eastAsia="Arial" w:hAnsi="Arial"/>
                <w:sz w:val="14"/>
                <w:szCs w:val="14"/>
                <w:color w:val="auto"/>
              </w:rPr>
              <w:t>2,953,217</w:t>
            </w:r>
          </w:p>
        </w:tc>
        <w:tc>
          <w:tcPr>
            <w:tcW w:w="940" w:type="dxa"/>
            <w:vAlign w:val="bottom"/>
            <w:tcBorders>
              <w:bottom w:val="single" w:sz="8" w:color="0033A0"/>
            </w:tcBorders>
          </w:tcPr>
          <w:p>
            <w:pPr>
              <w:jc w:val="right"/>
              <w:spacing w:after="0" w:line="155" w:lineRule="exact"/>
              <w:rPr>
                <w:sz w:val="20"/>
                <w:szCs w:val="20"/>
                <w:color w:val="auto"/>
              </w:rPr>
            </w:pPr>
            <w:r>
              <w:rPr>
                <w:rFonts w:ascii="Arial" w:cs="Arial" w:eastAsia="Arial" w:hAnsi="Arial"/>
                <w:sz w:val="14"/>
                <w:szCs w:val="14"/>
                <w:color w:val="auto"/>
              </w:rPr>
              <w:t>3,946,807</w:t>
            </w:r>
          </w:p>
        </w:tc>
      </w:tr>
      <w:tr>
        <w:trPr>
          <w:trHeight w:val="149"/>
        </w:trPr>
        <w:tc>
          <w:tcPr>
            <w:tcW w:w="1980" w:type="dxa"/>
            <w:vAlign w:val="bottom"/>
            <w:shd w:val="clear" w:color="auto" w:fill="E5EAF5"/>
          </w:tcPr>
          <w:p>
            <w:pPr>
              <w:ind w:left="60"/>
              <w:spacing w:after="0" w:line="149" w:lineRule="exact"/>
              <w:rPr>
                <w:sz w:val="20"/>
                <w:szCs w:val="20"/>
                <w:color w:val="auto"/>
              </w:rPr>
            </w:pPr>
            <w:r>
              <w:rPr>
                <w:rFonts w:ascii="Arial" w:cs="Arial" w:eastAsia="Arial" w:hAnsi="Arial"/>
                <w:sz w:val="14"/>
                <w:szCs w:val="14"/>
                <w:color w:val="auto"/>
              </w:rPr>
              <w:t>Ronald J. Domanico</w:t>
            </w:r>
          </w:p>
        </w:tc>
        <w:tc>
          <w:tcPr>
            <w:tcW w:w="3960" w:type="dxa"/>
            <w:vAlign w:val="bottom"/>
            <w:shd w:val="clear" w:color="auto" w:fill="E5EAF5"/>
          </w:tcPr>
          <w:p>
            <w:pPr>
              <w:ind w:left="200"/>
              <w:spacing w:after="0" w:line="149" w:lineRule="exact"/>
              <w:rPr>
                <w:sz w:val="20"/>
                <w:szCs w:val="20"/>
                <w:color w:val="auto"/>
              </w:rPr>
            </w:pPr>
            <w:r>
              <w:rPr>
                <w:rFonts w:ascii="Arial" w:cs="Arial" w:eastAsia="Arial" w:hAnsi="Arial"/>
                <w:sz w:val="14"/>
                <w:szCs w:val="14"/>
                <w:color w:val="auto"/>
              </w:rPr>
              <w:t>Accrued Obligation Payment</w:t>
            </w:r>
          </w:p>
        </w:tc>
        <w:tc>
          <w:tcPr>
            <w:tcW w:w="520" w:type="dxa"/>
            <w:vAlign w:val="bottom"/>
            <w:shd w:val="clear" w:color="auto" w:fill="E5EAF5"/>
          </w:tcPr>
          <w:p>
            <w:pPr>
              <w:spacing w:after="0"/>
              <w:rPr>
                <w:sz w:val="12"/>
                <w:szCs w:val="12"/>
                <w:color w:val="auto"/>
              </w:rPr>
            </w:pPr>
          </w:p>
        </w:tc>
        <w:tc>
          <w:tcPr>
            <w:tcW w:w="500" w:type="dxa"/>
            <w:vAlign w:val="bottom"/>
            <w:shd w:val="clear" w:color="auto" w:fill="E5EAF5"/>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E5EAF5"/>
          </w:tcPr>
          <w:p>
            <w:pPr>
              <w:spacing w:after="0"/>
              <w:rPr>
                <w:sz w:val="12"/>
                <w:szCs w:val="12"/>
                <w:color w:val="auto"/>
              </w:rPr>
            </w:pPr>
          </w:p>
        </w:tc>
        <w:tc>
          <w:tcPr>
            <w:tcW w:w="500" w:type="dxa"/>
            <w:vAlign w:val="bottom"/>
            <w:shd w:val="clear" w:color="auto" w:fill="E5EAF5"/>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140" w:type="dxa"/>
            <w:vAlign w:val="bottom"/>
            <w:shd w:val="clear" w:color="auto" w:fill="E5EAF5"/>
          </w:tcPr>
          <w:p>
            <w:pPr>
              <w:jc w:val="right"/>
              <w:ind w:right="53"/>
              <w:spacing w:after="0" w:line="149" w:lineRule="exact"/>
              <w:rPr>
                <w:sz w:val="20"/>
                <w:szCs w:val="20"/>
                <w:color w:val="auto"/>
              </w:rPr>
            </w:pPr>
            <w:r>
              <w:rPr>
                <w:rFonts w:ascii="Arial" w:cs="Arial" w:eastAsia="Arial" w:hAnsi="Arial"/>
                <w:sz w:val="14"/>
                <w:szCs w:val="14"/>
                <w:color w:val="auto"/>
              </w:rPr>
              <w:t>611,339</w:t>
            </w:r>
          </w:p>
        </w:tc>
        <w:tc>
          <w:tcPr>
            <w:tcW w:w="1020" w:type="dxa"/>
            <w:vAlign w:val="bottom"/>
            <w:shd w:val="clear" w:color="auto" w:fill="E5EAF5"/>
          </w:tcPr>
          <w:p>
            <w:pPr>
              <w:jc w:val="right"/>
              <w:ind w:right="53"/>
              <w:spacing w:after="0" w:line="149" w:lineRule="exact"/>
              <w:rPr>
                <w:sz w:val="20"/>
                <w:szCs w:val="20"/>
                <w:color w:val="auto"/>
              </w:rPr>
            </w:pPr>
            <w:r>
              <w:rPr>
                <w:rFonts w:ascii="Arial" w:cs="Arial" w:eastAsia="Arial" w:hAnsi="Arial"/>
                <w:sz w:val="14"/>
                <w:szCs w:val="14"/>
                <w:color w:val="auto"/>
              </w:rPr>
              <w:t>611,339</w:t>
            </w:r>
          </w:p>
        </w:tc>
        <w:tc>
          <w:tcPr>
            <w:tcW w:w="940" w:type="dxa"/>
            <w:vAlign w:val="bottom"/>
            <w:shd w:val="clear" w:color="auto" w:fill="E5EAF5"/>
          </w:tcPr>
          <w:p>
            <w:pPr>
              <w:jc w:val="right"/>
              <w:spacing w:after="0" w:line="149" w:lineRule="exact"/>
              <w:rPr>
                <w:sz w:val="20"/>
                <w:szCs w:val="20"/>
                <w:color w:val="auto"/>
              </w:rPr>
            </w:pPr>
            <w:r>
              <w:rPr>
                <w:rFonts w:ascii="Arial" w:cs="Arial" w:eastAsia="Arial" w:hAnsi="Arial"/>
                <w:sz w:val="14"/>
                <w:szCs w:val="14"/>
                <w:color w:val="auto"/>
              </w:rPr>
              <w:t>611,339</w:t>
            </w:r>
          </w:p>
        </w:tc>
      </w:tr>
      <w:tr>
        <w:trPr>
          <w:trHeight w:val="176"/>
        </w:trPr>
        <w:tc>
          <w:tcPr>
            <w:tcW w:w="1980" w:type="dxa"/>
            <w:vAlign w:val="bottom"/>
            <w:shd w:val="clear" w:color="auto" w:fill="E5EAF5"/>
          </w:tcPr>
          <w:p>
            <w:pPr>
              <w:spacing w:after="0"/>
              <w:rPr>
                <w:sz w:val="15"/>
                <w:szCs w:val="15"/>
                <w:color w:val="auto"/>
              </w:rPr>
            </w:pPr>
          </w:p>
        </w:tc>
        <w:tc>
          <w:tcPr>
            <w:tcW w:w="3960" w:type="dxa"/>
            <w:vAlign w:val="bottom"/>
            <w:shd w:val="clear" w:color="auto" w:fill="E5EAF5"/>
          </w:tcPr>
          <w:p>
            <w:pPr>
              <w:ind w:left="200"/>
              <w:spacing w:after="0"/>
              <w:rPr>
                <w:sz w:val="20"/>
                <w:szCs w:val="20"/>
                <w:color w:val="auto"/>
              </w:rPr>
            </w:pPr>
            <w:r>
              <w:rPr>
                <w:rFonts w:ascii="Arial" w:cs="Arial" w:eastAsia="Arial" w:hAnsi="Arial"/>
                <w:sz w:val="14"/>
                <w:szCs w:val="14"/>
                <w:color w:val="auto"/>
              </w:rPr>
              <w:t>Base Salary and Bonus</w:t>
            </w:r>
          </w:p>
        </w:tc>
        <w:tc>
          <w:tcPr>
            <w:tcW w:w="520" w:type="dxa"/>
            <w:vAlign w:val="bottom"/>
            <w:shd w:val="clear" w:color="auto" w:fill="E5EAF5"/>
          </w:tcPr>
          <w:p>
            <w:pPr>
              <w:spacing w:after="0"/>
              <w:rPr>
                <w:sz w:val="15"/>
                <w:szCs w:val="15"/>
                <w:color w:val="auto"/>
              </w:rPr>
            </w:pPr>
          </w:p>
        </w:tc>
        <w:tc>
          <w:tcPr>
            <w:tcW w:w="500" w:type="dxa"/>
            <w:vAlign w:val="bottom"/>
            <w:shd w:val="clear" w:color="auto" w:fill="E5EAF5"/>
          </w:tcPr>
          <w:p>
            <w:pPr>
              <w:jc w:val="right"/>
              <w:ind w:right="52"/>
              <w:spacing w:after="0"/>
              <w:rPr>
                <w:sz w:val="20"/>
                <w:szCs w:val="20"/>
                <w:color w:val="auto"/>
              </w:rPr>
            </w:pPr>
            <w:r>
              <w:rPr>
                <w:rFonts w:ascii="Arial" w:cs="Arial" w:eastAsia="Arial" w:hAnsi="Arial"/>
                <w:sz w:val="14"/>
                <w:szCs w:val="14"/>
                <w:color w:val="auto"/>
              </w:rPr>
              <w:t>—</w:t>
            </w:r>
          </w:p>
        </w:tc>
        <w:tc>
          <w:tcPr>
            <w:tcW w:w="460" w:type="dxa"/>
            <w:vAlign w:val="bottom"/>
            <w:shd w:val="clear" w:color="auto" w:fill="E5EAF5"/>
          </w:tcPr>
          <w:p>
            <w:pPr>
              <w:spacing w:after="0"/>
              <w:rPr>
                <w:sz w:val="15"/>
                <w:szCs w:val="15"/>
                <w:color w:val="auto"/>
              </w:rPr>
            </w:pPr>
          </w:p>
        </w:tc>
        <w:tc>
          <w:tcPr>
            <w:tcW w:w="500" w:type="dxa"/>
            <w:vAlign w:val="bottom"/>
            <w:shd w:val="clear" w:color="auto" w:fill="E5EAF5"/>
          </w:tcPr>
          <w:p>
            <w:pPr>
              <w:jc w:val="right"/>
              <w:ind w:right="52"/>
              <w:spacing w:after="0"/>
              <w:rPr>
                <w:sz w:val="20"/>
                <w:szCs w:val="20"/>
                <w:color w:val="auto"/>
              </w:rPr>
            </w:pPr>
            <w:r>
              <w:rPr>
                <w:rFonts w:ascii="Arial" w:cs="Arial" w:eastAsia="Arial" w:hAnsi="Arial"/>
                <w:sz w:val="14"/>
                <w:szCs w:val="14"/>
                <w:color w:val="auto"/>
              </w:rPr>
              <w:t>—</w:t>
            </w:r>
          </w:p>
        </w:tc>
        <w:tc>
          <w:tcPr>
            <w:tcW w:w="1140" w:type="dxa"/>
            <w:vAlign w:val="bottom"/>
            <w:shd w:val="clear" w:color="auto" w:fill="E5EAF5"/>
          </w:tcPr>
          <w:p>
            <w:pPr>
              <w:jc w:val="right"/>
              <w:ind w:right="53"/>
              <w:spacing w:after="0"/>
              <w:rPr>
                <w:sz w:val="20"/>
                <w:szCs w:val="20"/>
                <w:color w:val="auto"/>
              </w:rPr>
            </w:pPr>
            <w:r>
              <w:rPr>
                <w:rFonts w:ascii="Arial" w:cs="Arial" w:eastAsia="Arial" w:hAnsi="Arial"/>
                <w:sz w:val="14"/>
                <w:szCs w:val="14"/>
                <w:color w:val="auto"/>
              </w:rPr>
              <w:t>2,422,678</w:t>
            </w:r>
          </w:p>
        </w:tc>
        <w:tc>
          <w:tcPr>
            <w:tcW w:w="1020" w:type="dxa"/>
            <w:vAlign w:val="bottom"/>
            <w:shd w:val="clear" w:color="auto" w:fill="E5EAF5"/>
          </w:tcPr>
          <w:p>
            <w:pPr>
              <w:jc w:val="right"/>
              <w:ind w:right="53"/>
              <w:spacing w:after="0"/>
              <w:rPr>
                <w:sz w:val="20"/>
                <w:szCs w:val="20"/>
                <w:color w:val="auto"/>
              </w:rPr>
            </w:pPr>
            <w:r>
              <w:rPr>
                <w:rFonts w:ascii="Arial" w:cs="Arial" w:eastAsia="Arial" w:hAnsi="Arial"/>
                <w:sz w:val="14"/>
                <w:szCs w:val="14"/>
                <w:color w:val="auto"/>
              </w:rPr>
              <w:t>—</w:t>
            </w:r>
          </w:p>
        </w:tc>
        <w:tc>
          <w:tcPr>
            <w:tcW w:w="940" w:type="dxa"/>
            <w:vAlign w:val="bottom"/>
            <w:shd w:val="clear" w:color="auto" w:fill="E5EAF5"/>
          </w:tcPr>
          <w:p>
            <w:pPr>
              <w:jc w:val="right"/>
              <w:spacing w:after="0"/>
              <w:rPr>
                <w:sz w:val="20"/>
                <w:szCs w:val="20"/>
                <w:color w:val="auto"/>
              </w:rPr>
            </w:pPr>
            <w:r>
              <w:rPr>
                <w:rFonts w:ascii="Arial" w:cs="Arial" w:eastAsia="Arial" w:hAnsi="Arial"/>
                <w:sz w:val="14"/>
                <w:szCs w:val="14"/>
                <w:color w:val="auto"/>
              </w:rPr>
              <w:t>—</w:t>
            </w:r>
          </w:p>
        </w:tc>
      </w:tr>
      <w:tr>
        <w:trPr>
          <w:trHeight w:val="176"/>
        </w:trPr>
        <w:tc>
          <w:tcPr>
            <w:tcW w:w="1980" w:type="dxa"/>
            <w:vAlign w:val="bottom"/>
            <w:shd w:val="clear" w:color="auto" w:fill="E5EAF5"/>
          </w:tcPr>
          <w:p>
            <w:pPr>
              <w:spacing w:after="0"/>
              <w:rPr>
                <w:sz w:val="15"/>
                <w:szCs w:val="15"/>
                <w:color w:val="auto"/>
              </w:rPr>
            </w:pPr>
          </w:p>
        </w:tc>
        <w:tc>
          <w:tcPr>
            <w:tcW w:w="3960" w:type="dxa"/>
            <w:vAlign w:val="bottom"/>
            <w:shd w:val="clear" w:color="auto" w:fill="E5EAF5"/>
          </w:tcPr>
          <w:p>
            <w:pPr>
              <w:ind w:left="200"/>
              <w:spacing w:after="0"/>
              <w:rPr>
                <w:sz w:val="20"/>
                <w:szCs w:val="20"/>
                <w:color w:val="auto"/>
              </w:rPr>
            </w:pPr>
            <w:r>
              <w:rPr>
                <w:rFonts w:ascii="Arial" w:cs="Arial" w:eastAsia="Arial" w:hAnsi="Arial"/>
                <w:sz w:val="14"/>
                <w:szCs w:val="14"/>
                <w:color w:val="auto"/>
              </w:rPr>
              <w:t>Long Term Incentive</w:t>
            </w:r>
            <w:r>
              <w:rPr>
                <w:rFonts w:ascii="Arial" w:cs="Arial" w:eastAsia="Arial" w:hAnsi="Arial"/>
                <w:sz w:val="11"/>
                <w:szCs w:val="11"/>
                <w:color w:val="auto"/>
              </w:rPr>
              <w:t>(4)</w:t>
            </w:r>
          </w:p>
        </w:tc>
        <w:tc>
          <w:tcPr>
            <w:tcW w:w="520" w:type="dxa"/>
            <w:vAlign w:val="bottom"/>
            <w:shd w:val="clear" w:color="auto" w:fill="E5EAF5"/>
          </w:tcPr>
          <w:p>
            <w:pPr>
              <w:spacing w:after="0"/>
              <w:rPr>
                <w:sz w:val="15"/>
                <w:szCs w:val="15"/>
                <w:color w:val="auto"/>
              </w:rPr>
            </w:pPr>
          </w:p>
        </w:tc>
        <w:tc>
          <w:tcPr>
            <w:tcW w:w="500" w:type="dxa"/>
            <w:vAlign w:val="bottom"/>
            <w:shd w:val="clear" w:color="auto" w:fill="E5EAF5"/>
          </w:tcPr>
          <w:p>
            <w:pPr>
              <w:jc w:val="right"/>
              <w:ind w:right="52"/>
              <w:spacing w:after="0"/>
              <w:rPr>
                <w:sz w:val="20"/>
                <w:szCs w:val="20"/>
                <w:color w:val="auto"/>
              </w:rPr>
            </w:pPr>
            <w:r>
              <w:rPr>
                <w:rFonts w:ascii="Arial" w:cs="Arial" w:eastAsia="Arial" w:hAnsi="Arial"/>
                <w:sz w:val="14"/>
                <w:szCs w:val="14"/>
                <w:color w:val="auto"/>
              </w:rPr>
              <w:t>—</w:t>
            </w:r>
          </w:p>
        </w:tc>
        <w:tc>
          <w:tcPr>
            <w:tcW w:w="460" w:type="dxa"/>
            <w:vAlign w:val="bottom"/>
            <w:shd w:val="clear" w:color="auto" w:fill="E5EAF5"/>
          </w:tcPr>
          <w:p>
            <w:pPr>
              <w:spacing w:after="0"/>
              <w:rPr>
                <w:sz w:val="15"/>
                <w:szCs w:val="15"/>
                <w:color w:val="auto"/>
              </w:rPr>
            </w:pPr>
          </w:p>
        </w:tc>
        <w:tc>
          <w:tcPr>
            <w:tcW w:w="500" w:type="dxa"/>
            <w:vAlign w:val="bottom"/>
            <w:shd w:val="clear" w:color="auto" w:fill="E5EAF5"/>
          </w:tcPr>
          <w:p>
            <w:pPr>
              <w:jc w:val="right"/>
              <w:ind w:right="52"/>
              <w:spacing w:after="0"/>
              <w:rPr>
                <w:sz w:val="20"/>
                <w:szCs w:val="20"/>
                <w:color w:val="auto"/>
              </w:rPr>
            </w:pPr>
            <w:r>
              <w:rPr>
                <w:rFonts w:ascii="Arial" w:cs="Arial" w:eastAsia="Arial" w:hAnsi="Arial"/>
                <w:sz w:val="14"/>
                <w:szCs w:val="14"/>
                <w:color w:val="auto"/>
              </w:rPr>
              <w:t>—</w:t>
            </w:r>
          </w:p>
        </w:tc>
        <w:tc>
          <w:tcPr>
            <w:tcW w:w="1140" w:type="dxa"/>
            <w:vAlign w:val="bottom"/>
            <w:shd w:val="clear" w:color="auto" w:fill="E5EAF5"/>
          </w:tcPr>
          <w:p>
            <w:pPr>
              <w:jc w:val="right"/>
              <w:ind w:right="53"/>
              <w:spacing w:after="0"/>
              <w:rPr>
                <w:sz w:val="20"/>
                <w:szCs w:val="20"/>
                <w:color w:val="auto"/>
              </w:rPr>
            </w:pPr>
            <w:r>
              <w:rPr>
                <w:rFonts w:ascii="Arial" w:cs="Arial" w:eastAsia="Arial" w:hAnsi="Arial"/>
                <w:sz w:val="14"/>
                <w:szCs w:val="14"/>
                <w:color w:val="auto"/>
              </w:rPr>
              <w:t>7,592,342</w:t>
            </w:r>
          </w:p>
        </w:tc>
        <w:tc>
          <w:tcPr>
            <w:tcW w:w="1020" w:type="dxa"/>
            <w:vAlign w:val="bottom"/>
            <w:shd w:val="clear" w:color="auto" w:fill="E5EAF5"/>
          </w:tcPr>
          <w:p>
            <w:pPr>
              <w:jc w:val="right"/>
              <w:ind w:right="53"/>
              <w:spacing w:after="0"/>
              <w:rPr>
                <w:sz w:val="20"/>
                <w:szCs w:val="20"/>
                <w:color w:val="auto"/>
              </w:rPr>
            </w:pPr>
            <w:r>
              <w:rPr>
                <w:rFonts w:ascii="Arial" w:cs="Arial" w:eastAsia="Arial" w:hAnsi="Arial"/>
                <w:sz w:val="14"/>
                <w:szCs w:val="14"/>
                <w:color w:val="auto"/>
              </w:rPr>
              <w:t>7,592,342</w:t>
            </w:r>
          </w:p>
        </w:tc>
        <w:tc>
          <w:tcPr>
            <w:tcW w:w="940" w:type="dxa"/>
            <w:vAlign w:val="bottom"/>
            <w:shd w:val="clear" w:color="auto" w:fill="E5EAF5"/>
          </w:tcPr>
          <w:p>
            <w:pPr>
              <w:jc w:val="right"/>
              <w:spacing w:after="0"/>
              <w:rPr>
                <w:sz w:val="20"/>
                <w:szCs w:val="20"/>
                <w:color w:val="auto"/>
              </w:rPr>
            </w:pPr>
            <w:r>
              <w:rPr>
                <w:rFonts w:ascii="Arial" w:cs="Arial" w:eastAsia="Arial" w:hAnsi="Arial"/>
                <w:sz w:val="14"/>
                <w:szCs w:val="14"/>
                <w:color w:val="auto"/>
              </w:rPr>
              <w:t>7,592,342</w:t>
            </w:r>
          </w:p>
        </w:tc>
      </w:tr>
      <w:tr>
        <w:trPr>
          <w:trHeight w:val="176"/>
        </w:trPr>
        <w:tc>
          <w:tcPr>
            <w:tcW w:w="1980" w:type="dxa"/>
            <w:vAlign w:val="bottom"/>
            <w:shd w:val="clear" w:color="auto" w:fill="E5EAF5"/>
          </w:tcPr>
          <w:p>
            <w:pPr>
              <w:spacing w:after="0"/>
              <w:rPr>
                <w:sz w:val="15"/>
                <w:szCs w:val="15"/>
                <w:color w:val="auto"/>
              </w:rPr>
            </w:pPr>
          </w:p>
        </w:tc>
        <w:tc>
          <w:tcPr>
            <w:tcW w:w="3960" w:type="dxa"/>
            <w:vAlign w:val="bottom"/>
            <w:shd w:val="clear" w:color="auto" w:fill="E5EAF5"/>
          </w:tcPr>
          <w:p>
            <w:pPr>
              <w:ind w:left="200"/>
              <w:spacing w:after="0"/>
              <w:rPr>
                <w:sz w:val="20"/>
                <w:szCs w:val="20"/>
                <w:color w:val="auto"/>
              </w:rPr>
            </w:pPr>
            <w:r>
              <w:rPr>
                <w:rFonts w:ascii="Arial" w:cs="Arial" w:eastAsia="Arial" w:hAnsi="Arial"/>
                <w:sz w:val="14"/>
                <w:szCs w:val="14"/>
                <w:color w:val="auto"/>
              </w:rPr>
              <w:t>Benefit Plans</w:t>
            </w:r>
          </w:p>
        </w:tc>
        <w:tc>
          <w:tcPr>
            <w:tcW w:w="520" w:type="dxa"/>
            <w:vAlign w:val="bottom"/>
            <w:shd w:val="clear" w:color="auto" w:fill="E5EAF5"/>
          </w:tcPr>
          <w:p>
            <w:pPr>
              <w:spacing w:after="0"/>
              <w:rPr>
                <w:sz w:val="15"/>
                <w:szCs w:val="15"/>
                <w:color w:val="auto"/>
              </w:rPr>
            </w:pPr>
          </w:p>
        </w:tc>
        <w:tc>
          <w:tcPr>
            <w:tcW w:w="500" w:type="dxa"/>
            <w:vAlign w:val="bottom"/>
            <w:shd w:val="clear" w:color="auto" w:fill="E5EAF5"/>
          </w:tcPr>
          <w:p>
            <w:pPr>
              <w:jc w:val="right"/>
              <w:ind w:right="52"/>
              <w:spacing w:after="0"/>
              <w:rPr>
                <w:sz w:val="20"/>
                <w:szCs w:val="20"/>
                <w:color w:val="auto"/>
              </w:rPr>
            </w:pPr>
            <w:r>
              <w:rPr>
                <w:rFonts w:ascii="Arial" w:cs="Arial" w:eastAsia="Arial" w:hAnsi="Arial"/>
                <w:sz w:val="14"/>
                <w:szCs w:val="14"/>
                <w:color w:val="auto"/>
              </w:rPr>
              <w:t>—</w:t>
            </w:r>
          </w:p>
        </w:tc>
        <w:tc>
          <w:tcPr>
            <w:tcW w:w="460" w:type="dxa"/>
            <w:vAlign w:val="bottom"/>
            <w:shd w:val="clear" w:color="auto" w:fill="E5EAF5"/>
          </w:tcPr>
          <w:p>
            <w:pPr>
              <w:spacing w:after="0"/>
              <w:rPr>
                <w:sz w:val="15"/>
                <w:szCs w:val="15"/>
                <w:color w:val="auto"/>
              </w:rPr>
            </w:pPr>
          </w:p>
        </w:tc>
        <w:tc>
          <w:tcPr>
            <w:tcW w:w="500" w:type="dxa"/>
            <w:vAlign w:val="bottom"/>
            <w:shd w:val="clear" w:color="auto" w:fill="E5EAF5"/>
          </w:tcPr>
          <w:p>
            <w:pPr>
              <w:jc w:val="right"/>
              <w:ind w:right="52"/>
              <w:spacing w:after="0"/>
              <w:rPr>
                <w:sz w:val="20"/>
                <w:szCs w:val="20"/>
                <w:color w:val="auto"/>
              </w:rPr>
            </w:pPr>
            <w:r>
              <w:rPr>
                <w:rFonts w:ascii="Arial" w:cs="Arial" w:eastAsia="Arial" w:hAnsi="Arial"/>
                <w:sz w:val="14"/>
                <w:szCs w:val="14"/>
                <w:color w:val="auto"/>
              </w:rPr>
              <w:t>—</w:t>
            </w:r>
          </w:p>
        </w:tc>
        <w:tc>
          <w:tcPr>
            <w:tcW w:w="1140" w:type="dxa"/>
            <w:vAlign w:val="bottom"/>
            <w:shd w:val="clear" w:color="auto" w:fill="E5EAF5"/>
          </w:tcPr>
          <w:p>
            <w:pPr>
              <w:jc w:val="right"/>
              <w:ind w:right="53"/>
              <w:spacing w:after="0"/>
              <w:rPr>
                <w:sz w:val="20"/>
                <w:szCs w:val="20"/>
                <w:color w:val="auto"/>
              </w:rPr>
            </w:pPr>
            <w:r>
              <w:rPr>
                <w:rFonts w:ascii="Arial" w:cs="Arial" w:eastAsia="Arial" w:hAnsi="Arial"/>
                <w:sz w:val="14"/>
                <w:szCs w:val="14"/>
                <w:color w:val="auto"/>
              </w:rPr>
              <w:t>—</w:t>
            </w:r>
          </w:p>
        </w:tc>
        <w:tc>
          <w:tcPr>
            <w:tcW w:w="1020" w:type="dxa"/>
            <w:vAlign w:val="bottom"/>
            <w:shd w:val="clear" w:color="auto" w:fill="E5EAF5"/>
          </w:tcPr>
          <w:p>
            <w:pPr>
              <w:jc w:val="right"/>
              <w:ind w:right="53"/>
              <w:spacing w:after="0"/>
              <w:rPr>
                <w:sz w:val="20"/>
                <w:szCs w:val="20"/>
                <w:color w:val="auto"/>
              </w:rPr>
            </w:pPr>
            <w:r>
              <w:rPr>
                <w:rFonts w:ascii="Arial" w:cs="Arial" w:eastAsia="Arial" w:hAnsi="Arial"/>
                <w:sz w:val="14"/>
                <w:szCs w:val="14"/>
                <w:color w:val="auto"/>
              </w:rPr>
              <w:t>297,280</w:t>
            </w:r>
          </w:p>
        </w:tc>
        <w:tc>
          <w:tcPr>
            <w:tcW w:w="940" w:type="dxa"/>
            <w:vAlign w:val="bottom"/>
            <w:shd w:val="clear" w:color="auto" w:fill="E5EAF5"/>
          </w:tcPr>
          <w:p>
            <w:pPr>
              <w:jc w:val="right"/>
              <w:spacing w:after="0"/>
              <w:rPr>
                <w:sz w:val="20"/>
                <w:szCs w:val="20"/>
                <w:color w:val="auto"/>
              </w:rPr>
            </w:pPr>
            <w:r>
              <w:rPr>
                <w:rFonts w:ascii="Arial" w:cs="Arial" w:eastAsia="Arial" w:hAnsi="Arial"/>
                <w:sz w:val="14"/>
                <w:szCs w:val="14"/>
                <w:color w:val="auto"/>
              </w:rPr>
              <w:t>1,483,441</w:t>
            </w:r>
          </w:p>
        </w:tc>
      </w:tr>
      <w:tr>
        <w:trPr>
          <w:trHeight w:val="176"/>
        </w:trPr>
        <w:tc>
          <w:tcPr>
            <w:tcW w:w="1980" w:type="dxa"/>
            <w:vAlign w:val="bottom"/>
            <w:tcBorders>
              <w:bottom w:val="single" w:sz="8" w:color="0033A0"/>
            </w:tcBorders>
            <w:shd w:val="clear" w:color="auto" w:fill="E5EAF5"/>
          </w:tcPr>
          <w:p>
            <w:pPr>
              <w:spacing w:after="0"/>
              <w:rPr>
                <w:sz w:val="15"/>
                <w:szCs w:val="15"/>
                <w:color w:val="auto"/>
              </w:rPr>
            </w:pPr>
          </w:p>
        </w:tc>
        <w:tc>
          <w:tcPr>
            <w:tcW w:w="3960" w:type="dxa"/>
            <w:vAlign w:val="bottom"/>
            <w:tcBorders>
              <w:bottom w:val="single" w:sz="8" w:color="0033A0"/>
            </w:tcBorders>
            <w:shd w:val="clear" w:color="auto" w:fill="E5EAF5"/>
          </w:tcPr>
          <w:p>
            <w:pPr>
              <w:ind w:left="200"/>
              <w:spacing w:after="0"/>
              <w:rPr>
                <w:sz w:val="20"/>
                <w:szCs w:val="20"/>
                <w:color w:val="auto"/>
              </w:rPr>
            </w:pPr>
            <w:r>
              <w:rPr>
                <w:rFonts w:ascii="Arial" w:cs="Arial" w:eastAsia="Arial" w:hAnsi="Arial"/>
                <w:sz w:val="14"/>
                <w:szCs w:val="14"/>
                <w:color w:val="auto"/>
              </w:rPr>
              <w:t>Outplacement Services and Other Benefits</w:t>
            </w:r>
          </w:p>
        </w:tc>
        <w:tc>
          <w:tcPr>
            <w:tcW w:w="520" w:type="dxa"/>
            <w:vAlign w:val="bottom"/>
            <w:tcBorders>
              <w:bottom w:val="single" w:sz="8" w:color="0033A0"/>
            </w:tcBorders>
            <w:shd w:val="clear" w:color="auto" w:fill="E5EAF5"/>
          </w:tcPr>
          <w:p>
            <w:pPr>
              <w:spacing w:after="0"/>
              <w:rPr>
                <w:sz w:val="15"/>
                <w:szCs w:val="15"/>
                <w:color w:val="auto"/>
              </w:rPr>
            </w:pPr>
          </w:p>
        </w:tc>
        <w:tc>
          <w:tcPr>
            <w:tcW w:w="500" w:type="dxa"/>
            <w:vAlign w:val="bottom"/>
            <w:tcBorders>
              <w:bottom w:val="single" w:sz="8" w:color="0033A0"/>
            </w:tcBorders>
            <w:shd w:val="clear" w:color="auto" w:fill="E5EAF5"/>
          </w:tcPr>
          <w:p>
            <w:pPr>
              <w:jc w:val="right"/>
              <w:ind w:right="52"/>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0033A0"/>
            </w:tcBorders>
            <w:shd w:val="clear" w:color="auto" w:fill="E5EAF5"/>
          </w:tcPr>
          <w:p>
            <w:pPr>
              <w:spacing w:after="0"/>
              <w:rPr>
                <w:sz w:val="15"/>
                <w:szCs w:val="15"/>
                <w:color w:val="auto"/>
              </w:rPr>
            </w:pPr>
          </w:p>
        </w:tc>
        <w:tc>
          <w:tcPr>
            <w:tcW w:w="500" w:type="dxa"/>
            <w:vAlign w:val="bottom"/>
            <w:tcBorders>
              <w:bottom w:val="single" w:sz="8" w:color="0033A0"/>
            </w:tcBorders>
            <w:shd w:val="clear" w:color="auto" w:fill="E5EAF5"/>
          </w:tcPr>
          <w:p>
            <w:pPr>
              <w:jc w:val="right"/>
              <w:ind w:right="52"/>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0033A0"/>
            </w:tcBorders>
            <w:shd w:val="clear" w:color="auto" w:fill="E5EAF5"/>
          </w:tcPr>
          <w:p>
            <w:pPr>
              <w:jc w:val="right"/>
              <w:ind w:right="53"/>
              <w:spacing w:after="0"/>
              <w:rPr>
                <w:sz w:val="20"/>
                <w:szCs w:val="20"/>
                <w:color w:val="auto"/>
              </w:rPr>
            </w:pPr>
            <w:r>
              <w:rPr>
                <w:rFonts w:ascii="Arial" w:cs="Arial" w:eastAsia="Arial" w:hAnsi="Arial"/>
                <w:sz w:val="14"/>
                <w:szCs w:val="14"/>
                <w:color w:val="auto"/>
              </w:rPr>
              <w:t>28,406</w:t>
            </w:r>
          </w:p>
        </w:tc>
        <w:tc>
          <w:tcPr>
            <w:tcW w:w="1020" w:type="dxa"/>
            <w:vAlign w:val="bottom"/>
            <w:tcBorders>
              <w:bottom w:val="single" w:sz="8" w:color="0033A0"/>
            </w:tcBorders>
            <w:shd w:val="clear" w:color="auto" w:fill="E5EAF5"/>
          </w:tcPr>
          <w:p>
            <w:pPr>
              <w:jc w:val="right"/>
              <w:ind w:right="53"/>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0033A0"/>
            </w:tcBorders>
            <w:shd w:val="clear" w:color="auto" w:fill="E5EAF5"/>
          </w:tcPr>
          <w:p>
            <w:pPr>
              <w:jc w:val="right"/>
              <w:spacing w:after="0"/>
              <w:rPr>
                <w:sz w:val="20"/>
                <w:szCs w:val="20"/>
                <w:color w:val="auto"/>
              </w:rPr>
            </w:pPr>
            <w:r>
              <w:rPr>
                <w:rFonts w:ascii="Arial" w:cs="Arial" w:eastAsia="Arial" w:hAnsi="Arial"/>
                <w:sz w:val="14"/>
                <w:szCs w:val="14"/>
                <w:color w:val="auto"/>
              </w:rPr>
              <w:t>—</w:t>
            </w:r>
          </w:p>
        </w:tc>
      </w:tr>
      <w:tr>
        <w:trPr>
          <w:trHeight w:val="163"/>
        </w:trPr>
        <w:tc>
          <w:tcPr>
            <w:tcW w:w="1980" w:type="dxa"/>
            <w:vAlign w:val="bottom"/>
            <w:tcBorders>
              <w:bottom w:val="single" w:sz="8" w:color="0033A0"/>
            </w:tcBorders>
            <w:shd w:val="clear" w:color="auto" w:fill="E5EAF5"/>
          </w:tcPr>
          <w:p>
            <w:pPr>
              <w:spacing w:after="0"/>
              <w:rPr>
                <w:sz w:val="14"/>
                <w:szCs w:val="14"/>
                <w:color w:val="auto"/>
              </w:rPr>
            </w:pPr>
          </w:p>
        </w:tc>
        <w:tc>
          <w:tcPr>
            <w:tcW w:w="3960" w:type="dxa"/>
            <w:vAlign w:val="bottom"/>
            <w:tcBorders>
              <w:bottom w:val="single" w:sz="8" w:color="0033A0"/>
            </w:tcBorders>
            <w:shd w:val="clear" w:color="auto" w:fill="E5EAF5"/>
          </w:tcPr>
          <w:p>
            <w:pPr>
              <w:ind w:left="200"/>
              <w:spacing w:after="0" w:line="155" w:lineRule="exact"/>
              <w:rPr>
                <w:sz w:val="20"/>
                <w:szCs w:val="20"/>
                <w:color w:val="auto"/>
              </w:rPr>
            </w:pPr>
            <w:r>
              <w:rPr>
                <w:rFonts w:ascii="Arial" w:cs="Arial" w:eastAsia="Arial" w:hAnsi="Arial"/>
                <w:sz w:val="14"/>
                <w:szCs w:val="14"/>
                <w:color w:val="auto"/>
              </w:rPr>
              <w:t>Total</w:t>
            </w:r>
          </w:p>
        </w:tc>
        <w:tc>
          <w:tcPr>
            <w:tcW w:w="520" w:type="dxa"/>
            <w:vAlign w:val="bottom"/>
            <w:tcBorders>
              <w:bottom w:val="single" w:sz="8" w:color="0033A0"/>
            </w:tcBorders>
            <w:shd w:val="clear" w:color="auto" w:fill="E5EAF5"/>
          </w:tcPr>
          <w:p>
            <w:pPr>
              <w:spacing w:after="0"/>
              <w:rPr>
                <w:sz w:val="14"/>
                <w:szCs w:val="14"/>
                <w:color w:val="auto"/>
              </w:rPr>
            </w:pPr>
          </w:p>
        </w:tc>
        <w:tc>
          <w:tcPr>
            <w:tcW w:w="500" w:type="dxa"/>
            <w:vAlign w:val="bottom"/>
            <w:tcBorders>
              <w:bottom w:val="single" w:sz="8" w:color="0033A0"/>
            </w:tcBorders>
            <w:shd w:val="clear" w:color="auto" w:fill="E5EAF5"/>
          </w:tcPr>
          <w:p>
            <w:pPr>
              <w:jc w:val="right"/>
              <w:ind w:right="52"/>
              <w:spacing w:after="0" w:line="155" w:lineRule="exact"/>
              <w:rPr>
                <w:sz w:val="20"/>
                <w:szCs w:val="20"/>
                <w:color w:val="auto"/>
              </w:rPr>
            </w:pPr>
            <w:r>
              <w:rPr>
                <w:rFonts w:ascii="Arial" w:cs="Arial" w:eastAsia="Arial" w:hAnsi="Arial"/>
                <w:sz w:val="14"/>
                <w:szCs w:val="14"/>
                <w:color w:val="auto"/>
              </w:rPr>
              <w:t>—</w:t>
            </w:r>
          </w:p>
        </w:tc>
        <w:tc>
          <w:tcPr>
            <w:tcW w:w="460" w:type="dxa"/>
            <w:vAlign w:val="bottom"/>
            <w:tcBorders>
              <w:bottom w:val="single" w:sz="8" w:color="0033A0"/>
            </w:tcBorders>
            <w:shd w:val="clear" w:color="auto" w:fill="E5EAF5"/>
          </w:tcPr>
          <w:p>
            <w:pPr>
              <w:spacing w:after="0"/>
              <w:rPr>
                <w:sz w:val="14"/>
                <w:szCs w:val="14"/>
                <w:color w:val="auto"/>
              </w:rPr>
            </w:pPr>
          </w:p>
        </w:tc>
        <w:tc>
          <w:tcPr>
            <w:tcW w:w="500" w:type="dxa"/>
            <w:vAlign w:val="bottom"/>
            <w:tcBorders>
              <w:bottom w:val="single" w:sz="8" w:color="0033A0"/>
            </w:tcBorders>
            <w:shd w:val="clear" w:color="auto" w:fill="E5EAF5"/>
          </w:tcPr>
          <w:p>
            <w:pPr>
              <w:jc w:val="right"/>
              <w:ind w:right="52"/>
              <w:spacing w:after="0" w:line="155" w:lineRule="exact"/>
              <w:rPr>
                <w:sz w:val="20"/>
                <w:szCs w:val="20"/>
                <w:color w:val="auto"/>
              </w:rPr>
            </w:pPr>
            <w:r>
              <w:rPr>
                <w:rFonts w:ascii="Arial" w:cs="Arial" w:eastAsia="Arial" w:hAnsi="Arial"/>
                <w:sz w:val="14"/>
                <w:szCs w:val="14"/>
                <w:color w:val="auto"/>
              </w:rPr>
              <w:t>—</w:t>
            </w:r>
          </w:p>
        </w:tc>
        <w:tc>
          <w:tcPr>
            <w:tcW w:w="1140" w:type="dxa"/>
            <w:vAlign w:val="bottom"/>
            <w:tcBorders>
              <w:bottom w:val="single" w:sz="8" w:color="0033A0"/>
            </w:tcBorders>
            <w:shd w:val="clear" w:color="auto" w:fill="E5EAF5"/>
          </w:tcPr>
          <w:p>
            <w:pPr>
              <w:jc w:val="right"/>
              <w:ind w:right="53"/>
              <w:spacing w:after="0" w:line="155" w:lineRule="exact"/>
              <w:rPr>
                <w:sz w:val="20"/>
                <w:szCs w:val="20"/>
                <w:color w:val="auto"/>
              </w:rPr>
            </w:pPr>
            <w:r>
              <w:rPr>
                <w:rFonts w:ascii="Arial" w:cs="Arial" w:eastAsia="Arial" w:hAnsi="Arial"/>
                <w:sz w:val="14"/>
                <w:szCs w:val="14"/>
                <w:color w:val="auto"/>
              </w:rPr>
              <w:t>10,654,765</w:t>
            </w:r>
          </w:p>
        </w:tc>
        <w:tc>
          <w:tcPr>
            <w:tcW w:w="1020" w:type="dxa"/>
            <w:vAlign w:val="bottom"/>
            <w:tcBorders>
              <w:bottom w:val="single" w:sz="8" w:color="0033A0"/>
            </w:tcBorders>
            <w:shd w:val="clear" w:color="auto" w:fill="E5EAF5"/>
          </w:tcPr>
          <w:p>
            <w:pPr>
              <w:jc w:val="right"/>
              <w:ind w:right="53"/>
              <w:spacing w:after="0" w:line="155" w:lineRule="exact"/>
              <w:rPr>
                <w:sz w:val="20"/>
                <w:szCs w:val="20"/>
                <w:color w:val="auto"/>
              </w:rPr>
            </w:pPr>
            <w:r>
              <w:rPr>
                <w:rFonts w:ascii="Arial" w:cs="Arial" w:eastAsia="Arial" w:hAnsi="Arial"/>
                <w:sz w:val="14"/>
                <w:szCs w:val="14"/>
                <w:color w:val="auto"/>
              </w:rPr>
              <w:t>8,500,961</w:t>
            </w:r>
          </w:p>
        </w:tc>
        <w:tc>
          <w:tcPr>
            <w:tcW w:w="940" w:type="dxa"/>
            <w:vAlign w:val="bottom"/>
            <w:tcBorders>
              <w:bottom w:val="single" w:sz="8" w:color="0033A0"/>
            </w:tcBorders>
            <w:shd w:val="clear" w:color="auto" w:fill="E5EAF5"/>
          </w:tcPr>
          <w:p>
            <w:pPr>
              <w:jc w:val="right"/>
              <w:spacing w:after="0" w:line="155" w:lineRule="exact"/>
              <w:rPr>
                <w:sz w:val="20"/>
                <w:szCs w:val="20"/>
                <w:color w:val="auto"/>
              </w:rPr>
            </w:pPr>
            <w:r>
              <w:rPr>
                <w:rFonts w:ascii="Arial" w:cs="Arial" w:eastAsia="Arial" w:hAnsi="Arial"/>
                <w:sz w:val="14"/>
                <w:szCs w:val="14"/>
                <w:color w:val="auto"/>
              </w:rPr>
              <w:t>9,687,122</w:t>
            </w:r>
          </w:p>
        </w:tc>
      </w:tr>
      <w:tr>
        <w:trPr>
          <w:trHeight w:val="162"/>
        </w:trPr>
        <w:tc>
          <w:tcPr>
            <w:tcW w:w="1980" w:type="dxa"/>
            <w:vAlign w:val="bottom"/>
          </w:tcPr>
          <w:p>
            <w:pPr>
              <w:ind w:left="60"/>
              <w:spacing w:after="0"/>
              <w:rPr>
                <w:sz w:val="20"/>
                <w:szCs w:val="20"/>
                <w:color w:val="auto"/>
              </w:rPr>
            </w:pPr>
            <w:r>
              <w:rPr>
                <w:rFonts w:ascii="Arial" w:cs="Arial" w:eastAsia="Arial" w:hAnsi="Arial"/>
                <w:sz w:val="14"/>
                <w:szCs w:val="14"/>
                <w:color w:val="auto"/>
              </w:rPr>
              <w:t>McAlister C. Marshall, II</w:t>
            </w:r>
            <w:r>
              <w:rPr>
                <w:rFonts w:ascii="Arial" w:cs="Arial" w:eastAsia="Arial" w:hAnsi="Arial"/>
                <w:sz w:val="11"/>
                <w:szCs w:val="11"/>
                <w:color w:val="auto"/>
              </w:rPr>
              <w:t>(1)</w:t>
            </w:r>
          </w:p>
        </w:tc>
        <w:tc>
          <w:tcPr>
            <w:tcW w:w="3960" w:type="dxa"/>
            <w:vAlign w:val="bottom"/>
          </w:tcPr>
          <w:p>
            <w:pPr>
              <w:ind w:left="200"/>
              <w:spacing w:after="0"/>
              <w:rPr>
                <w:sz w:val="20"/>
                <w:szCs w:val="20"/>
                <w:color w:val="auto"/>
              </w:rPr>
            </w:pPr>
            <w:r>
              <w:rPr>
                <w:rFonts w:ascii="Arial" w:cs="Arial" w:eastAsia="Arial" w:hAnsi="Arial"/>
                <w:sz w:val="14"/>
                <w:szCs w:val="14"/>
                <w:color w:val="auto"/>
              </w:rPr>
              <w:t>Accrued Obligation Payment</w:t>
            </w:r>
          </w:p>
        </w:tc>
        <w:tc>
          <w:tcPr>
            <w:tcW w:w="520" w:type="dxa"/>
            <w:vAlign w:val="bottom"/>
          </w:tcPr>
          <w:p>
            <w:pPr>
              <w:spacing w:after="0"/>
              <w:rPr>
                <w:sz w:val="14"/>
                <w:szCs w:val="14"/>
                <w:color w:val="auto"/>
              </w:rPr>
            </w:pPr>
          </w:p>
        </w:tc>
        <w:tc>
          <w:tcPr>
            <w:tcW w:w="50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50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53"/>
              <w:spacing w:after="0"/>
              <w:rPr>
                <w:sz w:val="20"/>
                <w:szCs w:val="20"/>
                <w:color w:val="auto"/>
              </w:rPr>
            </w:pPr>
            <w:r>
              <w:rPr>
                <w:rFonts w:ascii="Arial" w:cs="Arial" w:eastAsia="Arial" w:hAnsi="Arial"/>
                <w:sz w:val="14"/>
                <w:szCs w:val="14"/>
                <w:color w:val="auto"/>
              </w:rPr>
              <w:t>416,977</w:t>
            </w:r>
          </w:p>
        </w:tc>
        <w:tc>
          <w:tcPr>
            <w:tcW w:w="1020" w:type="dxa"/>
            <w:vAlign w:val="bottom"/>
          </w:tcPr>
          <w:p>
            <w:pPr>
              <w:jc w:val="right"/>
              <w:ind w:right="53"/>
              <w:spacing w:after="0"/>
              <w:rPr>
                <w:sz w:val="20"/>
                <w:szCs w:val="20"/>
                <w:color w:val="auto"/>
              </w:rPr>
            </w:pPr>
            <w:r>
              <w:rPr>
                <w:rFonts w:ascii="Arial" w:cs="Arial" w:eastAsia="Arial" w:hAnsi="Arial"/>
                <w:sz w:val="14"/>
                <w:szCs w:val="14"/>
                <w:color w:val="auto"/>
              </w:rPr>
              <w:t>416,977</w:t>
            </w:r>
          </w:p>
        </w:tc>
        <w:tc>
          <w:tcPr>
            <w:tcW w:w="940" w:type="dxa"/>
            <w:vAlign w:val="bottom"/>
          </w:tcPr>
          <w:p>
            <w:pPr>
              <w:jc w:val="right"/>
              <w:spacing w:after="0"/>
              <w:rPr>
                <w:sz w:val="20"/>
                <w:szCs w:val="20"/>
                <w:color w:val="auto"/>
              </w:rPr>
            </w:pPr>
            <w:r>
              <w:rPr>
                <w:rFonts w:ascii="Arial" w:cs="Arial" w:eastAsia="Arial" w:hAnsi="Arial"/>
                <w:sz w:val="14"/>
                <w:szCs w:val="14"/>
                <w:color w:val="auto"/>
              </w:rPr>
              <w:t>416,977</w:t>
            </w:r>
          </w:p>
        </w:tc>
      </w:tr>
      <w:tr>
        <w:trPr>
          <w:trHeight w:val="175"/>
        </w:trPr>
        <w:tc>
          <w:tcPr>
            <w:tcW w:w="1980" w:type="dxa"/>
            <w:vAlign w:val="bottom"/>
          </w:tcPr>
          <w:p>
            <w:pPr>
              <w:spacing w:after="0"/>
              <w:rPr>
                <w:sz w:val="15"/>
                <w:szCs w:val="15"/>
                <w:color w:val="auto"/>
              </w:rPr>
            </w:pPr>
          </w:p>
        </w:tc>
        <w:tc>
          <w:tcPr>
            <w:tcW w:w="3960" w:type="dxa"/>
            <w:vAlign w:val="bottom"/>
          </w:tcPr>
          <w:p>
            <w:pPr>
              <w:ind w:left="200"/>
              <w:spacing w:after="0"/>
              <w:rPr>
                <w:sz w:val="20"/>
                <w:szCs w:val="20"/>
                <w:color w:val="auto"/>
              </w:rPr>
            </w:pPr>
            <w:r>
              <w:rPr>
                <w:rFonts w:ascii="Arial" w:cs="Arial" w:eastAsia="Arial" w:hAnsi="Arial"/>
                <w:sz w:val="14"/>
                <w:szCs w:val="14"/>
                <w:color w:val="auto"/>
              </w:rPr>
              <w:t>Base Salary and Bonus</w:t>
            </w:r>
          </w:p>
        </w:tc>
        <w:tc>
          <w:tcPr>
            <w:tcW w:w="520" w:type="dxa"/>
            <w:vAlign w:val="bottom"/>
          </w:tcPr>
          <w:p>
            <w:pPr>
              <w:spacing w:after="0"/>
              <w:rPr>
                <w:sz w:val="15"/>
                <w:szCs w:val="15"/>
                <w:color w:val="auto"/>
              </w:rPr>
            </w:pPr>
          </w:p>
        </w:tc>
        <w:tc>
          <w:tcPr>
            <w:tcW w:w="50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5"/>
                <w:szCs w:val="15"/>
                <w:color w:val="auto"/>
              </w:rPr>
            </w:pPr>
          </w:p>
        </w:tc>
        <w:tc>
          <w:tcPr>
            <w:tcW w:w="50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53"/>
              <w:spacing w:after="0"/>
              <w:rPr>
                <w:sz w:val="20"/>
                <w:szCs w:val="20"/>
                <w:color w:val="auto"/>
              </w:rPr>
            </w:pPr>
            <w:r>
              <w:rPr>
                <w:rFonts w:ascii="Arial" w:cs="Arial" w:eastAsia="Arial" w:hAnsi="Arial"/>
                <w:sz w:val="14"/>
                <w:szCs w:val="14"/>
                <w:color w:val="auto"/>
              </w:rPr>
              <w:t>1,853,954</w:t>
            </w:r>
          </w:p>
        </w:tc>
        <w:tc>
          <w:tcPr>
            <w:tcW w:w="1020" w:type="dxa"/>
            <w:vAlign w:val="bottom"/>
          </w:tcPr>
          <w:p>
            <w:pPr>
              <w:jc w:val="right"/>
              <w:ind w:right="53"/>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6"/>
        </w:trPr>
        <w:tc>
          <w:tcPr>
            <w:tcW w:w="1980" w:type="dxa"/>
            <w:vAlign w:val="bottom"/>
          </w:tcPr>
          <w:p>
            <w:pPr>
              <w:spacing w:after="0"/>
              <w:rPr>
                <w:sz w:val="15"/>
                <w:szCs w:val="15"/>
                <w:color w:val="auto"/>
              </w:rPr>
            </w:pPr>
          </w:p>
        </w:tc>
        <w:tc>
          <w:tcPr>
            <w:tcW w:w="3960" w:type="dxa"/>
            <w:vAlign w:val="bottom"/>
          </w:tcPr>
          <w:p>
            <w:pPr>
              <w:ind w:left="200"/>
              <w:spacing w:after="0"/>
              <w:rPr>
                <w:sz w:val="20"/>
                <w:szCs w:val="20"/>
                <w:color w:val="auto"/>
              </w:rPr>
            </w:pPr>
            <w:r>
              <w:rPr>
                <w:rFonts w:ascii="Arial" w:cs="Arial" w:eastAsia="Arial" w:hAnsi="Arial"/>
                <w:sz w:val="14"/>
                <w:szCs w:val="14"/>
                <w:color w:val="auto"/>
              </w:rPr>
              <w:t>Long Term Incentive</w:t>
            </w:r>
            <w:r>
              <w:rPr>
                <w:rFonts w:ascii="Arial" w:cs="Arial" w:eastAsia="Arial" w:hAnsi="Arial"/>
                <w:sz w:val="11"/>
                <w:szCs w:val="11"/>
                <w:color w:val="auto"/>
              </w:rPr>
              <w:t>(4)</w:t>
            </w:r>
          </w:p>
        </w:tc>
        <w:tc>
          <w:tcPr>
            <w:tcW w:w="520" w:type="dxa"/>
            <w:vAlign w:val="bottom"/>
          </w:tcPr>
          <w:p>
            <w:pPr>
              <w:spacing w:after="0"/>
              <w:rPr>
                <w:sz w:val="15"/>
                <w:szCs w:val="15"/>
                <w:color w:val="auto"/>
              </w:rPr>
            </w:pPr>
          </w:p>
        </w:tc>
        <w:tc>
          <w:tcPr>
            <w:tcW w:w="50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5"/>
                <w:szCs w:val="15"/>
                <w:color w:val="auto"/>
              </w:rPr>
            </w:pPr>
          </w:p>
        </w:tc>
        <w:tc>
          <w:tcPr>
            <w:tcW w:w="50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53"/>
              <w:spacing w:after="0"/>
              <w:rPr>
                <w:sz w:val="20"/>
                <w:szCs w:val="20"/>
                <w:color w:val="auto"/>
              </w:rPr>
            </w:pPr>
            <w:r>
              <w:rPr>
                <w:rFonts w:ascii="Arial" w:cs="Arial" w:eastAsia="Arial" w:hAnsi="Arial"/>
                <w:sz w:val="14"/>
                <w:szCs w:val="14"/>
                <w:color w:val="auto"/>
              </w:rPr>
              <w:t>2,887,445</w:t>
            </w:r>
          </w:p>
        </w:tc>
        <w:tc>
          <w:tcPr>
            <w:tcW w:w="1020" w:type="dxa"/>
            <w:vAlign w:val="bottom"/>
          </w:tcPr>
          <w:p>
            <w:pPr>
              <w:jc w:val="right"/>
              <w:ind w:right="53"/>
              <w:spacing w:after="0"/>
              <w:rPr>
                <w:sz w:val="20"/>
                <w:szCs w:val="20"/>
                <w:color w:val="auto"/>
              </w:rPr>
            </w:pPr>
            <w:r>
              <w:rPr>
                <w:rFonts w:ascii="Arial" w:cs="Arial" w:eastAsia="Arial" w:hAnsi="Arial"/>
                <w:sz w:val="14"/>
                <w:szCs w:val="14"/>
                <w:color w:val="auto"/>
              </w:rPr>
              <w:t>2,887,445</w:t>
            </w:r>
          </w:p>
        </w:tc>
        <w:tc>
          <w:tcPr>
            <w:tcW w:w="940" w:type="dxa"/>
            <w:vAlign w:val="bottom"/>
          </w:tcPr>
          <w:p>
            <w:pPr>
              <w:jc w:val="right"/>
              <w:spacing w:after="0"/>
              <w:rPr>
                <w:sz w:val="20"/>
                <w:szCs w:val="20"/>
                <w:color w:val="auto"/>
              </w:rPr>
            </w:pPr>
            <w:r>
              <w:rPr>
                <w:rFonts w:ascii="Arial" w:cs="Arial" w:eastAsia="Arial" w:hAnsi="Arial"/>
                <w:sz w:val="14"/>
                <w:szCs w:val="14"/>
                <w:color w:val="auto"/>
              </w:rPr>
              <w:t>2,887,445</w:t>
            </w:r>
          </w:p>
        </w:tc>
      </w:tr>
      <w:tr>
        <w:trPr>
          <w:trHeight w:val="176"/>
        </w:trPr>
        <w:tc>
          <w:tcPr>
            <w:tcW w:w="1980" w:type="dxa"/>
            <w:vAlign w:val="bottom"/>
          </w:tcPr>
          <w:p>
            <w:pPr>
              <w:spacing w:after="0"/>
              <w:rPr>
                <w:sz w:val="15"/>
                <w:szCs w:val="15"/>
                <w:color w:val="auto"/>
              </w:rPr>
            </w:pPr>
          </w:p>
        </w:tc>
        <w:tc>
          <w:tcPr>
            <w:tcW w:w="3960" w:type="dxa"/>
            <w:vAlign w:val="bottom"/>
          </w:tcPr>
          <w:p>
            <w:pPr>
              <w:ind w:left="200"/>
              <w:spacing w:after="0"/>
              <w:rPr>
                <w:sz w:val="20"/>
                <w:szCs w:val="20"/>
                <w:color w:val="auto"/>
              </w:rPr>
            </w:pPr>
            <w:r>
              <w:rPr>
                <w:rFonts w:ascii="Arial" w:cs="Arial" w:eastAsia="Arial" w:hAnsi="Arial"/>
                <w:sz w:val="14"/>
                <w:szCs w:val="14"/>
                <w:color w:val="auto"/>
              </w:rPr>
              <w:t>Benefit Plans</w:t>
            </w:r>
          </w:p>
        </w:tc>
        <w:tc>
          <w:tcPr>
            <w:tcW w:w="520" w:type="dxa"/>
            <w:vAlign w:val="bottom"/>
          </w:tcPr>
          <w:p>
            <w:pPr>
              <w:spacing w:after="0"/>
              <w:rPr>
                <w:sz w:val="15"/>
                <w:szCs w:val="15"/>
                <w:color w:val="auto"/>
              </w:rPr>
            </w:pPr>
          </w:p>
        </w:tc>
        <w:tc>
          <w:tcPr>
            <w:tcW w:w="50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5"/>
                <w:szCs w:val="15"/>
                <w:color w:val="auto"/>
              </w:rPr>
            </w:pPr>
          </w:p>
        </w:tc>
        <w:tc>
          <w:tcPr>
            <w:tcW w:w="50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53"/>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53"/>
              <w:spacing w:after="0"/>
              <w:rPr>
                <w:sz w:val="20"/>
                <w:szCs w:val="20"/>
                <w:color w:val="auto"/>
              </w:rPr>
            </w:pPr>
            <w:r>
              <w:rPr>
                <w:rFonts w:ascii="Arial" w:cs="Arial" w:eastAsia="Arial" w:hAnsi="Arial"/>
                <w:sz w:val="14"/>
                <w:szCs w:val="14"/>
                <w:color w:val="auto"/>
              </w:rPr>
              <w:t>252,688</w:t>
            </w:r>
          </w:p>
        </w:tc>
        <w:tc>
          <w:tcPr>
            <w:tcW w:w="940" w:type="dxa"/>
            <w:vAlign w:val="bottom"/>
          </w:tcPr>
          <w:p>
            <w:pPr>
              <w:jc w:val="right"/>
              <w:spacing w:after="0"/>
              <w:rPr>
                <w:sz w:val="20"/>
                <w:szCs w:val="20"/>
                <w:color w:val="auto"/>
              </w:rPr>
            </w:pPr>
            <w:r>
              <w:rPr>
                <w:rFonts w:ascii="Arial" w:cs="Arial" w:eastAsia="Arial" w:hAnsi="Arial"/>
                <w:sz w:val="14"/>
                <w:szCs w:val="14"/>
                <w:color w:val="auto"/>
              </w:rPr>
              <w:t>1,194,951</w:t>
            </w:r>
          </w:p>
        </w:tc>
      </w:tr>
      <w:tr>
        <w:trPr>
          <w:trHeight w:val="163"/>
        </w:trPr>
        <w:tc>
          <w:tcPr>
            <w:tcW w:w="1980" w:type="dxa"/>
            <w:vAlign w:val="bottom"/>
            <w:tcBorders>
              <w:bottom w:val="single" w:sz="8" w:color="0033A0"/>
            </w:tcBorders>
          </w:tcPr>
          <w:p>
            <w:pPr>
              <w:spacing w:after="0"/>
              <w:rPr>
                <w:sz w:val="14"/>
                <w:szCs w:val="14"/>
                <w:color w:val="auto"/>
              </w:rPr>
            </w:pPr>
          </w:p>
        </w:tc>
        <w:tc>
          <w:tcPr>
            <w:tcW w:w="3960" w:type="dxa"/>
            <w:vAlign w:val="bottom"/>
            <w:tcBorders>
              <w:bottom w:val="single" w:sz="8" w:color="0033A0"/>
            </w:tcBorders>
          </w:tcPr>
          <w:p>
            <w:pPr>
              <w:ind w:left="200"/>
              <w:spacing w:after="0"/>
              <w:rPr>
                <w:sz w:val="20"/>
                <w:szCs w:val="20"/>
                <w:color w:val="auto"/>
              </w:rPr>
            </w:pPr>
            <w:r>
              <w:rPr>
                <w:rFonts w:ascii="Arial" w:cs="Arial" w:eastAsia="Arial" w:hAnsi="Arial"/>
                <w:sz w:val="14"/>
                <w:szCs w:val="14"/>
                <w:color w:val="auto"/>
              </w:rPr>
              <w:t>Outplacement Services and Other Benefits</w:t>
            </w:r>
          </w:p>
        </w:tc>
        <w:tc>
          <w:tcPr>
            <w:tcW w:w="520" w:type="dxa"/>
            <w:vAlign w:val="bottom"/>
            <w:tcBorders>
              <w:bottom w:val="single" w:sz="8" w:color="0033A0"/>
            </w:tcBorders>
          </w:tcPr>
          <w:p>
            <w:pPr>
              <w:spacing w:after="0"/>
              <w:rPr>
                <w:sz w:val="14"/>
                <w:szCs w:val="14"/>
                <w:color w:val="auto"/>
              </w:rPr>
            </w:pPr>
          </w:p>
        </w:tc>
        <w:tc>
          <w:tcPr>
            <w:tcW w:w="500" w:type="dxa"/>
            <w:vAlign w:val="bottom"/>
            <w:tcBorders>
              <w:bottom w:val="single" w:sz="8" w:color="0033A0"/>
            </w:tcBorders>
          </w:tcPr>
          <w:p>
            <w:pPr>
              <w:jc w:val="right"/>
              <w:ind w:right="52"/>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0033A0"/>
            </w:tcBorders>
          </w:tcPr>
          <w:p>
            <w:pPr>
              <w:spacing w:after="0"/>
              <w:rPr>
                <w:sz w:val="14"/>
                <w:szCs w:val="14"/>
                <w:color w:val="auto"/>
              </w:rPr>
            </w:pPr>
          </w:p>
        </w:tc>
        <w:tc>
          <w:tcPr>
            <w:tcW w:w="500" w:type="dxa"/>
            <w:vAlign w:val="bottom"/>
            <w:tcBorders>
              <w:bottom w:val="single" w:sz="8" w:color="0033A0"/>
            </w:tcBorders>
          </w:tcPr>
          <w:p>
            <w:pPr>
              <w:jc w:val="right"/>
              <w:ind w:right="52"/>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0033A0"/>
            </w:tcBorders>
          </w:tcPr>
          <w:p>
            <w:pPr>
              <w:jc w:val="right"/>
              <w:ind w:right="53"/>
              <w:spacing w:after="0"/>
              <w:rPr>
                <w:sz w:val="20"/>
                <w:szCs w:val="20"/>
                <w:color w:val="auto"/>
              </w:rPr>
            </w:pPr>
            <w:r>
              <w:rPr>
                <w:rFonts w:ascii="Arial" w:cs="Arial" w:eastAsia="Arial" w:hAnsi="Arial"/>
                <w:sz w:val="14"/>
                <w:szCs w:val="14"/>
                <w:color w:val="auto"/>
              </w:rPr>
              <w:t>32,812</w:t>
            </w:r>
          </w:p>
        </w:tc>
        <w:tc>
          <w:tcPr>
            <w:tcW w:w="1020" w:type="dxa"/>
            <w:vAlign w:val="bottom"/>
            <w:tcBorders>
              <w:bottom w:val="single" w:sz="8" w:color="0033A0"/>
            </w:tcBorders>
          </w:tcPr>
          <w:p>
            <w:pPr>
              <w:jc w:val="right"/>
              <w:ind w:right="53"/>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0033A0"/>
            </w:tcBorders>
          </w:tcPr>
          <w:p>
            <w:pPr>
              <w:jc w:val="right"/>
              <w:spacing w:after="0"/>
              <w:rPr>
                <w:sz w:val="20"/>
                <w:szCs w:val="20"/>
                <w:color w:val="auto"/>
              </w:rPr>
            </w:pPr>
            <w:r>
              <w:rPr>
                <w:rFonts w:ascii="Arial" w:cs="Arial" w:eastAsia="Arial" w:hAnsi="Arial"/>
                <w:sz w:val="14"/>
                <w:szCs w:val="14"/>
                <w:color w:val="auto"/>
              </w:rPr>
              <w:t>—</w:t>
            </w:r>
          </w:p>
        </w:tc>
      </w:tr>
      <w:tr>
        <w:trPr>
          <w:trHeight w:val="163"/>
        </w:trPr>
        <w:tc>
          <w:tcPr>
            <w:tcW w:w="1980" w:type="dxa"/>
            <w:vAlign w:val="bottom"/>
            <w:tcBorders>
              <w:bottom w:val="single" w:sz="8" w:color="0033A0"/>
            </w:tcBorders>
          </w:tcPr>
          <w:p>
            <w:pPr>
              <w:spacing w:after="0"/>
              <w:rPr>
                <w:sz w:val="14"/>
                <w:szCs w:val="14"/>
                <w:color w:val="auto"/>
              </w:rPr>
            </w:pPr>
          </w:p>
        </w:tc>
        <w:tc>
          <w:tcPr>
            <w:tcW w:w="3960" w:type="dxa"/>
            <w:vAlign w:val="bottom"/>
            <w:tcBorders>
              <w:bottom w:val="single" w:sz="8" w:color="0033A0"/>
            </w:tcBorders>
          </w:tcPr>
          <w:p>
            <w:pPr>
              <w:ind w:left="200"/>
              <w:spacing w:after="0" w:line="155" w:lineRule="exact"/>
              <w:rPr>
                <w:sz w:val="20"/>
                <w:szCs w:val="20"/>
                <w:color w:val="auto"/>
              </w:rPr>
            </w:pPr>
            <w:r>
              <w:rPr>
                <w:rFonts w:ascii="Arial" w:cs="Arial" w:eastAsia="Arial" w:hAnsi="Arial"/>
                <w:sz w:val="14"/>
                <w:szCs w:val="14"/>
                <w:color w:val="auto"/>
              </w:rPr>
              <w:t>Total</w:t>
            </w:r>
          </w:p>
        </w:tc>
        <w:tc>
          <w:tcPr>
            <w:tcW w:w="520" w:type="dxa"/>
            <w:vAlign w:val="bottom"/>
            <w:tcBorders>
              <w:bottom w:val="single" w:sz="8" w:color="0033A0"/>
            </w:tcBorders>
          </w:tcPr>
          <w:p>
            <w:pPr>
              <w:spacing w:after="0"/>
              <w:rPr>
                <w:sz w:val="14"/>
                <w:szCs w:val="14"/>
                <w:color w:val="auto"/>
              </w:rPr>
            </w:pPr>
          </w:p>
        </w:tc>
        <w:tc>
          <w:tcPr>
            <w:tcW w:w="500" w:type="dxa"/>
            <w:vAlign w:val="bottom"/>
            <w:tcBorders>
              <w:bottom w:val="single" w:sz="8" w:color="0033A0"/>
            </w:tcBorders>
          </w:tcPr>
          <w:p>
            <w:pPr>
              <w:jc w:val="right"/>
              <w:ind w:right="52"/>
              <w:spacing w:after="0" w:line="155" w:lineRule="exact"/>
              <w:rPr>
                <w:sz w:val="20"/>
                <w:szCs w:val="20"/>
                <w:color w:val="auto"/>
              </w:rPr>
            </w:pPr>
            <w:r>
              <w:rPr>
                <w:rFonts w:ascii="Arial" w:cs="Arial" w:eastAsia="Arial" w:hAnsi="Arial"/>
                <w:sz w:val="14"/>
                <w:szCs w:val="14"/>
                <w:color w:val="auto"/>
              </w:rPr>
              <w:t>—</w:t>
            </w:r>
          </w:p>
        </w:tc>
        <w:tc>
          <w:tcPr>
            <w:tcW w:w="460" w:type="dxa"/>
            <w:vAlign w:val="bottom"/>
            <w:tcBorders>
              <w:bottom w:val="single" w:sz="8" w:color="0033A0"/>
            </w:tcBorders>
          </w:tcPr>
          <w:p>
            <w:pPr>
              <w:spacing w:after="0"/>
              <w:rPr>
                <w:sz w:val="14"/>
                <w:szCs w:val="14"/>
                <w:color w:val="auto"/>
              </w:rPr>
            </w:pPr>
          </w:p>
        </w:tc>
        <w:tc>
          <w:tcPr>
            <w:tcW w:w="500" w:type="dxa"/>
            <w:vAlign w:val="bottom"/>
            <w:tcBorders>
              <w:bottom w:val="single" w:sz="8" w:color="0033A0"/>
            </w:tcBorders>
          </w:tcPr>
          <w:p>
            <w:pPr>
              <w:jc w:val="right"/>
              <w:ind w:right="52"/>
              <w:spacing w:after="0" w:line="155" w:lineRule="exact"/>
              <w:rPr>
                <w:sz w:val="20"/>
                <w:szCs w:val="20"/>
                <w:color w:val="auto"/>
              </w:rPr>
            </w:pPr>
            <w:r>
              <w:rPr>
                <w:rFonts w:ascii="Arial" w:cs="Arial" w:eastAsia="Arial" w:hAnsi="Arial"/>
                <w:sz w:val="14"/>
                <w:szCs w:val="14"/>
                <w:color w:val="auto"/>
              </w:rPr>
              <w:t>—</w:t>
            </w:r>
          </w:p>
        </w:tc>
        <w:tc>
          <w:tcPr>
            <w:tcW w:w="1140" w:type="dxa"/>
            <w:vAlign w:val="bottom"/>
            <w:tcBorders>
              <w:bottom w:val="single" w:sz="8" w:color="0033A0"/>
            </w:tcBorders>
          </w:tcPr>
          <w:p>
            <w:pPr>
              <w:jc w:val="right"/>
              <w:ind w:right="53"/>
              <w:spacing w:after="0" w:line="155" w:lineRule="exact"/>
              <w:rPr>
                <w:sz w:val="20"/>
                <w:szCs w:val="20"/>
                <w:color w:val="auto"/>
              </w:rPr>
            </w:pPr>
            <w:r>
              <w:rPr>
                <w:rFonts w:ascii="Arial" w:cs="Arial" w:eastAsia="Arial" w:hAnsi="Arial"/>
                <w:sz w:val="14"/>
                <w:szCs w:val="14"/>
                <w:color w:val="auto"/>
              </w:rPr>
              <w:t>5,191,188</w:t>
            </w:r>
          </w:p>
        </w:tc>
        <w:tc>
          <w:tcPr>
            <w:tcW w:w="1020" w:type="dxa"/>
            <w:vAlign w:val="bottom"/>
            <w:tcBorders>
              <w:bottom w:val="single" w:sz="8" w:color="0033A0"/>
            </w:tcBorders>
          </w:tcPr>
          <w:p>
            <w:pPr>
              <w:jc w:val="right"/>
              <w:ind w:right="53"/>
              <w:spacing w:after="0" w:line="155" w:lineRule="exact"/>
              <w:rPr>
                <w:sz w:val="20"/>
                <w:szCs w:val="20"/>
                <w:color w:val="auto"/>
              </w:rPr>
            </w:pPr>
            <w:r>
              <w:rPr>
                <w:rFonts w:ascii="Arial" w:cs="Arial" w:eastAsia="Arial" w:hAnsi="Arial"/>
                <w:sz w:val="14"/>
                <w:szCs w:val="14"/>
                <w:color w:val="auto"/>
              </w:rPr>
              <w:t>3,557,110</w:t>
            </w:r>
          </w:p>
        </w:tc>
        <w:tc>
          <w:tcPr>
            <w:tcW w:w="940" w:type="dxa"/>
            <w:vAlign w:val="bottom"/>
            <w:tcBorders>
              <w:bottom w:val="single" w:sz="8" w:color="0033A0"/>
            </w:tcBorders>
          </w:tcPr>
          <w:p>
            <w:pPr>
              <w:jc w:val="right"/>
              <w:spacing w:after="0" w:line="155" w:lineRule="exact"/>
              <w:rPr>
                <w:sz w:val="20"/>
                <w:szCs w:val="20"/>
                <w:color w:val="auto"/>
              </w:rPr>
            </w:pPr>
            <w:r>
              <w:rPr>
                <w:rFonts w:ascii="Arial" w:cs="Arial" w:eastAsia="Arial" w:hAnsi="Arial"/>
                <w:sz w:val="14"/>
                <w:szCs w:val="14"/>
                <w:color w:val="auto"/>
              </w:rPr>
              <w:t>4,499,373</w:t>
            </w:r>
          </w:p>
        </w:tc>
      </w:tr>
      <w:tr>
        <w:trPr>
          <w:trHeight w:val="149"/>
        </w:trPr>
        <w:tc>
          <w:tcPr>
            <w:tcW w:w="1980" w:type="dxa"/>
            <w:vAlign w:val="bottom"/>
            <w:shd w:val="clear" w:color="auto" w:fill="E5EAF5"/>
          </w:tcPr>
          <w:p>
            <w:pPr>
              <w:ind w:left="60"/>
              <w:spacing w:after="0" w:line="149" w:lineRule="exact"/>
              <w:rPr>
                <w:sz w:val="20"/>
                <w:szCs w:val="20"/>
                <w:color w:val="auto"/>
              </w:rPr>
            </w:pPr>
            <w:r>
              <w:rPr>
                <w:rFonts w:ascii="Arial" w:cs="Arial" w:eastAsia="Arial" w:hAnsi="Arial"/>
                <w:sz w:val="14"/>
                <w:szCs w:val="14"/>
                <w:color w:val="auto"/>
              </w:rPr>
              <w:t>Amit Zukerman</w:t>
            </w:r>
          </w:p>
        </w:tc>
        <w:tc>
          <w:tcPr>
            <w:tcW w:w="3960" w:type="dxa"/>
            <w:vAlign w:val="bottom"/>
            <w:shd w:val="clear" w:color="auto" w:fill="E5EAF5"/>
          </w:tcPr>
          <w:p>
            <w:pPr>
              <w:ind w:left="200"/>
              <w:spacing w:after="0" w:line="149" w:lineRule="exact"/>
              <w:rPr>
                <w:sz w:val="20"/>
                <w:szCs w:val="20"/>
                <w:color w:val="auto"/>
              </w:rPr>
            </w:pPr>
            <w:r>
              <w:rPr>
                <w:rFonts w:ascii="Arial" w:cs="Arial" w:eastAsia="Arial" w:hAnsi="Arial"/>
                <w:sz w:val="14"/>
                <w:szCs w:val="14"/>
                <w:color w:val="auto"/>
              </w:rPr>
              <w:t>Accrued Obligation Payment</w:t>
            </w:r>
          </w:p>
        </w:tc>
        <w:tc>
          <w:tcPr>
            <w:tcW w:w="520" w:type="dxa"/>
            <w:vAlign w:val="bottom"/>
            <w:shd w:val="clear" w:color="auto" w:fill="E5EAF5"/>
          </w:tcPr>
          <w:p>
            <w:pPr>
              <w:spacing w:after="0"/>
              <w:rPr>
                <w:sz w:val="12"/>
                <w:szCs w:val="12"/>
                <w:color w:val="auto"/>
              </w:rPr>
            </w:pPr>
          </w:p>
        </w:tc>
        <w:tc>
          <w:tcPr>
            <w:tcW w:w="500" w:type="dxa"/>
            <w:vAlign w:val="bottom"/>
            <w:shd w:val="clear" w:color="auto" w:fill="E5EAF5"/>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E5EAF5"/>
          </w:tcPr>
          <w:p>
            <w:pPr>
              <w:spacing w:after="0"/>
              <w:rPr>
                <w:sz w:val="12"/>
                <w:szCs w:val="12"/>
                <w:color w:val="auto"/>
              </w:rPr>
            </w:pPr>
          </w:p>
        </w:tc>
        <w:tc>
          <w:tcPr>
            <w:tcW w:w="500" w:type="dxa"/>
            <w:vAlign w:val="bottom"/>
            <w:shd w:val="clear" w:color="auto" w:fill="E5EAF5"/>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140" w:type="dxa"/>
            <w:vAlign w:val="bottom"/>
            <w:shd w:val="clear" w:color="auto" w:fill="E5EAF5"/>
          </w:tcPr>
          <w:p>
            <w:pPr>
              <w:jc w:val="right"/>
              <w:ind w:right="53"/>
              <w:spacing w:after="0" w:line="149" w:lineRule="exact"/>
              <w:rPr>
                <w:sz w:val="20"/>
                <w:szCs w:val="20"/>
                <w:color w:val="auto"/>
              </w:rPr>
            </w:pPr>
            <w:r>
              <w:rPr>
                <w:rFonts w:ascii="Arial" w:cs="Arial" w:eastAsia="Arial" w:hAnsi="Arial"/>
                <w:sz w:val="14"/>
                <w:szCs w:val="14"/>
                <w:color w:val="auto"/>
              </w:rPr>
              <w:t>691,821</w:t>
            </w:r>
          </w:p>
        </w:tc>
        <w:tc>
          <w:tcPr>
            <w:tcW w:w="1020" w:type="dxa"/>
            <w:vAlign w:val="bottom"/>
            <w:shd w:val="clear" w:color="auto" w:fill="E5EAF5"/>
          </w:tcPr>
          <w:p>
            <w:pPr>
              <w:jc w:val="right"/>
              <w:ind w:right="53"/>
              <w:spacing w:after="0" w:line="149" w:lineRule="exact"/>
              <w:rPr>
                <w:sz w:val="20"/>
                <w:szCs w:val="20"/>
                <w:color w:val="auto"/>
              </w:rPr>
            </w:pPr>
            <w:r>
              <w:rPr>
                <w:rFonts w:ascii="Arial" w:cs="Arial" w:eastAsia="Arial" w:hAnsi="Arial"/>
                <w:sz w:val="14"/>
                <w:szCs w:val="14"/>
                <w:color w:val="auto"/>
              </w:rPr>
              <w:t>691,821</w:t>
            </w:r>
          </w:p>
        </w:tc>
        <w:tc>
          <w:tcPr>
            <w:tcW w:w="940" w:type="dxa"/>
            <w:vAlign w:val="bottom"/>
            <w:shd w:val="clear" w:color="auto" w:fill="E5EAF5"/>
          </w:tcPr>
          <w:p>
            <w:pPr>
              <w:jc w:val="right"/>
              <w:spacing w:after="0" w:line="149" w:lineRule="exact"/>
              <w:rPr>
                <w:sz w:val="20"/>
                <w:szCs w:val="20"/>
                <w:color w:val="auto"/>
              </w:rPr>
            </w:pPr>
            <w:r>
              <w:rPr>
                <w:rFonts w:ascii="Arial" w:cs="Arial" w:eastAsia="Arial" w:hAnsi="Arial"/>
                <w:sz w:val="14"/>
                <w:szCs w:val="14"/>
                <w:color w:val="auto"/>
              </w:rPr>
              <w:t>691,821</w:t>
            </w:r>
          </w:p>
        </w:tc>
      </w:tr>
      <w:tr>
        <w:trPr>
          <w:trHeight w:val="176"/>
        </w:trPr>
        <w:tc>
          <w:tcPr>
            <w:tcW w:w="1980" w:type="dxa"/>
            <w:vAlign w:val="bottom"/>
            <w:shd w:val="clear" w:color="auto" w:fill="E5EAF5"/>
          </w:tcPr>
          <w:p>
            <w:pPr>
              <w:spacing w:after="0"/>
              <w:rPr>
                <w:sz w:val="15"/>
                <w:szCs w:val="15"/>
                <w:color w:val="auto"/>
              </w:rPr>
            </w:pPr>
          </w:p>
        </w:tc>
        <w:tc>
          <w:tcPr>
            <w:tcW w:w="3960" w:type="dxa"/>
            <w:vAlign w:val="bottom"/>
            <w:shd w:val="clear" w:color="auto" w:fill="E5EAF5"/>
          </w:tcPr>
          <w:p>
            <w:pPr>
              <w:ind w:left="200"/>
              <w:spacing w:after="0"/>
              <w:rPr>
                <w:sz w:val="20"/>
                <w:szCs w:val="20"/>
                <w:color w:val="auto"/>
              </w:rPr>
            </w:pPr>
            <w:r>
              <w:rPr>
                <w:rFonts w:ascii="Arial" w:cs="Arial" w:eastAsia="Arial" w:hAnsi="Arial"/>
                <w:sz w:val="14"/>
                <w:szCs w:val="14"/>
                <w:color w:val="auto"/>
              </w:rPr>
              <w:t>Base Salary and Bonus</w:t>
            </w:r>
          </w:p>
        </w:tc>
        <w:tc>
          <w:tcPr>
            <w:tcW w:w="520" w:type="dxa"/>
            <w:vAlign w:val="bottom"/>
            <w:shd w:val="clear" w:color="auto" w:fill="E5EAF5"/>
          </w:tcPr>
          <w:p>
            <w:pPr>
              <w:spacing w:after="0"/>
              <w:rPr>
                <w:sz w:val="15"/>
                <w:szCs w:val="15"/>
                <w:color w:val="auto"/>
              </w:rPr>
            </w:pPr>
          </w:p>
        </w:tc>
        <w:tc>
          <w:tcPr>
            <w:tcW w:w="500" w:type="dxa"/>
            <w:vAlign w:val="bottom"/>
            <w:shd w:val="clear" w:color="auto" w:fill="E5EAF5"/>
          </w:tcPr>
          <w:p>
            <w:pPr>
              <w:jc w:val="right"/>
              <w:ind w:right="52"/>
              <w:spacing w:after="0"/>
              <w:rPr>
                <w:sz w:val="20"/>
                <w:szCs w:val="20"/>
                <w:color w:val="auto"/>
              </w:rPr>
            </w:pPr>
            <w:r>
              <w:rPr>
                <w:rFonts w:ascii="Arial" w:cs="Arial" w:eastAsia="Arial" w:hAnsi="Arial"/>
                <w:sz w:val="14"/>
                <w:szCs w:val="14"/>
                <w:color w:val="auto"/>
              </w:rPr>
              <w:t>—</w:t>
            </w:r>
          </w:p>
        </w:tc>
        <w:tc>
          <w:tcPr>
            <w:tcW w:w="460" w:type="dxa"/>
            <w:vAlign w:val="bottom"/>
            <w:shd w:val="clear" w:color="auto" w:fill="E5EAF5"/>
          </w:tcPr>
          <w:p>
            <w:pPr>
              <w:spacing w:after="0"/>
              <w:rPr>
                <w:sz w:val="15"/>
                <w:szCs w:val="15"/>
                <w:color w:val="auto"/>
              </w:rPr>
            </w:pPr>
          </w:p>
        </w:tc>
        <w:tc>
          <w:tcPr>
            <w:tcW w:w="500" w:type="dxa"/>
            <w:vAlign w:val="bottom"/>
            <w:shd w:val="clear" w:color="auto" w:fill="E5EAF5"/>
          </w:tcPr>
          <w:p>
            <w:pPr>
              <w:jc w:val="right"/>
              <w:ind w:right="52"/>
              <w:spacing w:after="0"/>
              <w:rPr>
                <w:sz w:val="20"/>
                <w:szCs w:val="20"/>
                <w:color w:val="auto"/>
              </w:rPr>
            </w:pPr>
            <w:r>
              <w:rPr>
                <w:rFonts w:ascii="Arial" w:cs="Arial" w:eastAsia="Arial" w:hAnsi="Arial"/>
                <w:sz w:val="14"/>
                <w:szCs w:val="14"/>
                <w:color w:val="auto"/>
              </w:rPr>
              <w:t>—</w:t>
            </w:r>
          </w:p>
        </w:tc>
        <w:tc>
          <w:tcPr>
            <w:tcW w:w="1140" w:type="dxa"/>
            <w:vAlign w:val="bottom"/>
            <w:shd w:val="clear" w:color="auto" w:fill="E5EAF5"/>
          </w:tcPr>
          <w:p>
            <w:pPr>
              <w:jc w:val="right"/>
              <w:ind w:right="53"/>
              <w:spacing w:after="0"/>
              <w:rPr>
                <w:sz w:val="20"/>
                <w:szCs w:val="20"/>
                <w:color w:val="auto"/>
              </w:rPr>
            </w:pPr>
            <w:r>
              <w:rPr>
                <w:rFonts w:ascii="Arial" w:cs="Arial" w:eastAsia="Arial" w:hAnsi="Arial"/>
                <w:sz w:val="14"/>
                <w:szCs w:val="14"/>
                <w:color w:val="auto"/>
              </w:rPr>
              <w:t>2,613,642</w:t>
            </w:r>
          </w:p>
        </w:tc>
        <w:tc>
          <w:tcPr>
            <w:tcW w:w="1020" w:type="dxa"/>
            <w:vAlign w:val="bottom"/>
            <w:shd w:val="clear" w:color="auto" w:fill="E5EAF5"/>
          </w:tcPr>
          <w:p>
            <w:pPr>
              <w:jc w:val="right"/>
              <w:ind w:right="53"/>
              <w:spacing w:after="0"/>
              <w:rPr>
                <w:sz w:val="20"/>
                <w:szCs w:val="20"/>
                <w:color w:val="auto"/>
              </w:rPr>
            </w:pPr>
            <w:r>
              <w:rPr>
                <w:rFonts w:ascii="Arial" w:cs="Arial" w:eastAsia="Arial" w:hAnsi="Arial"/>
                <w:sz w:val="14"/>
                <w:szCs w:val="14"/>
                <w:color w:val="auto"/>
              </w:rPr>
              <w:t>—</w:t>
            </w:r>
          </w:p>
        </w:tc>
        <w:tc>
          <w:tcPr>
            <w:tcW w:w="940" w:type="dxa"/>
            <w:vAlign w:val="bottom"/>
            <w:shd w:val="clear" w:color="auto" w:fill="E5EAF5"/>
          </w:tcPr>
          <w:p>
            <w:pPr>
              <w:jc w:val="right"/>
              <w:spacing w:after="0"/>
              <w:rPr>
                <w:sz w:val="20"/>
                <w:szCs w:val="20"/>
                <w:color w:val="auto"/>
              </w:rPr>
            </w:pPr>
            <w:r>
              <w:rPr>
                <w:rFonts w:ascii="Arial" w:cs="Arial" w:eastAsia="Arial" w:hAnsi="Arial"/>
                <w:sz w:val="14"/>
                <w:szCs w:val="14"/>
                <w:color w:val="auto"/>
              </w:rPr>
              <w:t>—</w:t>
            </w:r>
          </w:p>
        </w:tc>
      </w:tr>
      <w:tr>
        <w:trPr>
          <w:trHeight w:val="176"/>
        </w:trPr>
        <w:tc>
          <w:tcPr>
            <w:tcW w:w="1980" w:type="dxa"/>
            <w:vAlign w:val="bottom"/>
            <w:shd w:val="clear" w:color="auto" w:fill="E5EAF5"/>
          </w:tcPr>
          <w:p>
            <w:pPr>
              <w:spacing w:after="0"/>
              <w:rPr>
                <w:sz w:val="15"/>
                <w:szCs w:val="15"/>
                <w:color w:val="auto"/>
              </w:rPr>
            </w:pPr>
          </w:p>
        </w:tc>
        <w:tc>
          <w:tcPr>
            <w:tcW w:w="3960" w:type="dxa"/>
            <w:vAlign w:val="bottom"/>
            <w:shd w:val="clear" w:color="auto" w:fill="E5EAF5"/>
          </w:tcPr>
          <w:p>
            <w:pPr>
              <w:ind w:left="200"/>
              <w:spacing w:after="0"/>
              <w:rPr>
                <w:sz w:val="20"/>
                <w:szCs w:val="20"/>
                <w:color w:val="auto"/>
              </w:rPr>
            </w:pPr>
            <w:r>
              <w:rPr>
                <w:rFonts w:ascii="Arial" w:cs="Arial" w:eastAsia="Arial" w:hAnsi="Arial"/>
                <w:sz w:val="14"/>
                <w:szCs w:val="14"/>
                <w:color w:val="auto"/>
              </w:rPr>
              <w:t>Long Term Incentive</w:t>
            </w:r>
            <w:r>
              <w:rPr>
                <w:rFonts w:ascii="Arial" w:cs="Arial" w:eastAsia="Arial" w:hAnsi="Arial"/>
                <w:sz w:val="11"/>
                <w:szCs w:val="11"/>
                <w:color w:val="auto"/>
              </w:rPr>
              <w:t>(4)</w:t>
            </w:r>
          </w:p>
        </w:tc>
        <w:tc>
          <w:tcPr>
            <w:tcW w:w="520" w:type="dxa"/>
            <w:vAlign w:val="bottom"/>
            <w:shd w:val="clear" w:color="auto" w:fill="E5EAF5"/>
          </w:tcPr>
          <w:p>
            <w:pPr>
              <w:spacing w:after="0"/>
              <w:rPr>
                <w:sz w:val="15"/>
                <w:szCs w:val="15"/>
                <w:color w:val="auto"/>
              </w:rPr>
            </w:pPr>
          </w:p>
        </w:tc>
        <w:tc>
          <w:tcPr>
            <w:tcW w:w="500" w:type="dxa"/>
            <w:vAlign w:val="bottom"/>
            <w:shd w:val="clear" w:color="auto" w:fill="E5EAF5"/>
          </w:tcPr>
          <w:p>
            <w:pPr>
              <w:jc w:val="right"/>
              <w:ind w:right="52"/>
              <w:spacing w:after="0"/>
              <w:rPr>
                <w:sz w:val="20"/>
                <w:szCs w:val="20"/>
                <w:color w:val="auto"/>
              </w:rPr>
            </w:pPr>
            <w:r>
              <w:rPr>
                <w:rFonts w:ascii="Arial" w:cs="Arial" w:eastAsia="Arial" w:hAnsi="Arial"/>
                <w:sz w:val="14"/>
                <w:szCs w:val="14"/>
                <w:color w:val="auto"/>
              </w:rPr>
              <w:t>—</w:t>
            </w:r>
          </w:p>
        </w:tc>
        <w:tc>
          <w:tcPr>
            <w:tcW w:w="460" w:type="dxa"/>
            <w:vAlign w:val="bottom"/>
            <w:shd w:val="clear" w:color="auto" w:fill="E5EAF5"/>
          </w:tcPr>
          <w:p>
            <w:pPr>
              <w:spacing w:after="0"/>
              <w:rPr>
                <w:sz w:val="15"/>
                <w:szCs w:val="15"/>
                <w:color w:val="auto"/>
              </w:rPr>
            </w:pPr>
          </w:p>
        </w:tc>
        <w:tc>
          <w:tcPr>
            <w:tcW w:w="500" w:type="dxa"/>
            <w:vAlign w:val="bottom"/>
            <w:shd w:val="clear" w:color="auto" w:fill="E5EAF5"/>
          </w:tcPr>
          <w:p>
            <w:pPr>
              <w:jc w:val="right"/>
              <w:ind w:right="52"/>
              <w:spacing w:after="0"/>
              <w:rPr>
                <w:sz w:val="20"/>
                <w:szCs w:val="20"/>
                <w:color w:val="auto"/>
              </w:rPr>
            </w:pPr>
            <w:r>
              <w:rPr>
                <w:rFonts w:ascii="Arial" w:cs="Arial" w:eastAsia="Arial" w:hAnsi="Arial"/>
                <w:sz w:val="14"/>
                <w:szCs w:val="14"/>
                <w:color w:val="auto"/>
              </w:rPr>
              <w:t>—</w:t>
            </w:r>
          </w:p>
        </w:tc>
        <w:tc>
          <w:tcPr>
            <w:tcW w:w="1140" w:type="dxa"/>
            <w:vAlign w:val="bottom"/>
            <w:shd w:val="clear" w:color="auto" w:fill="E5EAF5"/>
          </w:tcPr>
          <w:p>
            <w:pPr>
              <w:jc w:val="right"/>
              <w:ind w:right="53"/>
              <w:spacing w:after="0"/>
              <w:rPr>
                <w:sz w:val="20"/>
                <w:szCs w:val="20"/>
                <w:color w:val="auto"/>
              </w:rPr>
            </w:pPr>
            <w:r>
              <w:rPr>
                <w:rFonts w:ascii="Arial" w:cs="Arial" w:eastAsia="Arial" w:hAnsi="Arial"/>
                <w:sz w:val="14"/>
                <w:szCs w:val="14"/>
                <w:color w:val="auto"/>
              </w:rPr>
              <w:t>7,661,433</w:t>
            </w:r>
          </w:p>
        </w:tc>
        <w:tc>
          <w:tcPr>
            <w:tcW w:w="1020" w:type="dxa"/>
            <w:vAlign w:val="bottom"/>
            <w:shd w:val="clear" w:color="auto" w:fill="E5EAF5"/>
          </w:tcPr>
          <w:p>
            <w:pPr>
              <w:jc w:val="right"/>
              <w:ind w:right="53"/>
              <w:spacing w:after="0"/>
              <w:rPr>
                <w:sz w:val="20"/>
                <w:szCs w:val="20"/>
                <w:color w:val="auto"/>
              </w:rPr>
            </w:pPr>
            <w:r>
              <w:rPr>
                <w:rFonts w:ascii="Arial" w:cs="Arial" w:eastAsia="Arial" w:hAnsi="Arial"/>
                <w:sz w:val="14"/>
                <w:szCs w:val="14"/>
                <w:color w:val="auto"/>
              </w:rPr>
              <w:t>7,661,433</w:t>
            </w:r>
          </w:p>
        </w:tc>
        <w:tc>
          <w:tcPr>
            <w:tcW w:w="940" w:type="dxa"/>
            <w:vAlign w:val="bottom"/>
            <w:shd w:val="clear" w:color="auto" w:fill="E5EAF5"/>
          </w:tcPr>
          <w:p>
            <w:pPr>
              <w:jc w:val="right"/>
              <w:spacing w:after="0"/>
              <w:rPr>
                <w:sz w:val="20"/>
                <w:szCs w:val="20"/>
                <w:color w:val="auto"/>
              </w:rPr>
            </w:pPr>
            <w:r>
              <w:rPr>
                <w:rFonts w:ascii="Arial" w:cs="Arial" w:eastAsia="Arial" w:hAnsi="Arial"/>
                <w:sz w:val="14"/>
                <w:szCs w:val="14"/>
                <w:color w:val="auto"/>
              </w:rPr>
              <w:t>7,661,433</w:t>
            </w:r>
          </w:p>
        </w:tc>
      </w:tr>
      <w:tr>
        <w:trPr>
          <w:trHeight w:val="176"/>
        </w:trPr>
        <w:tc>
          <w:tcPr>
            <w:tcW w:w="1980" w:type="dxa"/>
            <w:vAlign w:val="bottom"/>
            <w:shd w:val="clear" w:color="auto" w:fill="E5EAF5"/>
          </w:tcPr>
          <w:p>
            <w:pPr>
              <w:spacing w:after="0"/>
              <w:rPr>
                <w:sz w:val="15"/>
                <w:szCs w:val="15"/>
                <w:color w:val="auto"/>
              </w:rPr>
            </w:pPr>
          </w:p>
        </w:tc>
        <w:tc>
          <w:tcPr>
            <w:tcW w:w="3960" w:type="dxa"/>
            <w:vAlign w:val="bottom"/>
            <w:shd w:val="clear" w:color="auto" w:fill="E5EAF5"/>
          </w:tcPr>
          <w:p>
            <w:pPr>
              <w:ind w:left="200"/>
              <w:spacing w:after="0"/>
              <w:rPr>
                <w:sz w:val="20"/>
                <w:szCs w:val="20"/>
                <w:color w:val="auto"/>
              </w:rPr>
            </w:pPr>
            <w:r>
              <w:rPr>
                <w:rFonts w:ascii="Arial" w:cs="Arial" w:eastAsia="Arial" w:hAnsi="Arial"/>
                <w:sz w:val="14"/>
                <w:szCs w:val="14"/>
                <w:color w:val="auto"/>
              </w:rPr>
              <w:t>Benefit Plans</w:t>
            </w:r>
          </w:p>
        </w:tc>
        <w:tc>
          <w:tcPr>
            <w:tcW w:w="520" w:type="dxa"/>
            <w:vAlign w:val="bottom"/>
            <w:shd w:val="clear" w:color="auto" w:fill="E5EAF5"/>
          </w:tcPr>
          <w:p>
            <w:pPr>
              <w:spacing w:after="0"/>
              <w:rPr>
                <w:sz w:val="15"/>
                <w:szCs w:val="15"/>
                <w:color w:val="auto"/>
              </w:rPr>
            </w:pPr>
          </w:p>
        </w:tc>
        <w:tc>
          <w:tcPr>
            <w:tcW w:w="500" w:type="dxa"/>
            <w:vAlign w:val="bottom"/>
            <w:shd w:val="clear" w:color="auto" w:fill="E5EAF5"/>
          </w:tcPr>
          <w:p>
            <w:pPr>
              <w:jc w:val="right"/>
              <w:ind w:right="52"/>
              <w:spacing w:after="0"/>
              <w:rPr>
                <w:sz w:val="20"/>
                <w:szCs w:val="20"/>
                <w:color w:val="auto"/>
              </w:rPr>
            </w:pPr>
            <w:r>
              <w:rPr>
                <w:rFonts w:ascii="Arial" w:cs="Arial" w:eastAsia="Arial" w:hAnsi="Arial"/>
                <w:sz w:val="14"/>
                <w:szCs w:val="14"/>
                <w:color w:val="auto"/>
              </w:rPr>
              <w:t>—</w:t>
            </w:r>
          </w:p>
        </w:tc>
        <w:tc>
          <w:tcPr>
            <w:tcW w:w="460" w:type="dxa"/>
            <w:vAlign w:val="bottom"/>
            <w:shd w:val="clear" w:color="auto" w:fill="E5EAF5"/>
          </w:tcPr>
          <w:p>
            <w:pPr>
              <w:spacing w:after="0"/>
              <w:rPr>
                <w:sz w:val="15"/>
                <w:szCs w:val="15"/>
                <w:color w:val="auto"/>
              </w:rPr>
            </w:pPr>
          </w:p>
        </w:tc>
        <w:tc>
          <w:tcPr>
            <w:tcW w:w="500" w:type="dxa"/>
            <w:vAlign w:val="bottom"/>
            <w:shd w:val="clear" w:color="auto" w:fill="E5EAF5"/>
          </w:tcPr>
          <w:p>
            <w:pPr>
              <w:jc w:val="right"/>
              <w:ind w:right="52"/>
              <w:spacing w:after="0"/>
              <w:rPr>
                <w:sz w:val="20"/>
                <w:szCs w:val="20"/>
                <w:color w:val="auto"/>
              </w:rPr>
            </w:pPr>
            <w:r>
              <w:rPr>
                <w:rFonts w:ascii="Arial" w:cs="Arial" w:eastAsia="Arial" w:hAnsi="Arial"/>
                <w:sz w:val="14"/>
                <w:szCs w:val="14"/>
                <w:color w:val="auto"/>
              </w:rPr>
              <w:t>—</w:t>
            </w:r>
          </w:p>
        </w:tc>
        <w:tc>
          <w:tcPr>
            <w:tcW w:w="1140" w:type="dxa"/>
            <w:vAlign w:val="bottom"/>
            <w:shd w:val="clear" w:color="auto" w:fill="E5EAF5"/>
          </w:tcPr>
          <w:p>
            <w:pPr>
              <w:jc w:val="right"/>
              <w:ind w:right="53"/>
              <w:spacing w:after="0"/>
              <w:rPr>
                <w:sz w:val="20"/>
                <w:szCs w:val="20"/>
                <w:color w:val="auto"/>
              </w:rPr>
            </w:pPr>
            <w:r>
              <w:rPr>
                <w:rFonts w:ascii="Arial" w:cs="Arial" w:eastAsia="Arial" w:hAnsi="Arial"/>
                <w:sz w:val="14"/>
                <w:szCs w:val="14"/>
                <w:color w:val="auto"/>
              </w:rPr>
              <w:t>—</w:t>
            </w:r>
          </w:p>
        </w:tc>
        <w:tc>
          <w:tcPr>
            <w:tcW w:w="1020" w:type="dxa"/>
            <w:vAlign w:val="bottom"/>
            <w:shd w:val="clear" w:color="auto" w:fill="E5EAF5"/>
          </w:tcPr>
          <w:p>
            <w:pPr>
              <w:jc w:val="right"/>
              <w:ind w:right="53"/>
              <w:spacing w:after="0"/>
              <w:rPr>
                <w:sz w:val="20"/>
                <w:szCs w:val="20"/>
                <w:color w:val="auto"/>
              </w:rPr>
            </w:pPr>
            <w:r>
              <w:rPr>
                <w:rFonts w:ascii="Arial" w:cs="Arial" w:eastAsia="Arial" w:hAnsi="Arial"/>
                <w:sz w:val="14"/>
                <w:szCs w:val="14"/>
                <w:color w:val="auto"/>
              </w:rPr>
              <w:t>—</w:t>
            </w:r>
          </w:p>
        </w:tc>
        <w:tc>
          <w:tcPr>
            <w:tcW w:w="940" w:type="dxa"/>
            <w:vAlign w:val="bottom"/>
            <w:shd w:val="clear" w:color="auto" w:fill="E5EAF5"/>
          </w:tcPr>
          <w:p>
            <w:pPr>
              <w:jc w:val="right"/>
              <w:spacing w:after="0"/>
              <w:rPr>
                <w:sz w:val="20"/>
                <w:szCs w:val="20"/>
                <w:color w:val="auto"/>
              </w:rPr>
            </w:pPr>
            <w:r>
              <w:rPr>
                <w:rFonts w:ascii="Arial" w:cs="Arial" w:eastAsia="Arial" w:hAnsi="Arial"/>
                <w:sz w:val="14"/>
                <w:szCs w:val="14"/>
                <w:color w:val="auto"/>
              </w:rPr>
              <w:t>—</w:t>
            </w:r>
          </w:p>
        </w:tc>
      </w:tr>
      <w:tr>
        <w:trPr>
          <w:trHeight w:val="176"/>
        </w:trPr>
        <w:tc>
          <w:tcPr>
            <w:tcW w:w="1980" w:type="dxa"/>
            <w:vAlign w:val="bottom"/>
            <w:shd w:val="clear" w:color="auto" w:fill="E5EAF5"/>
          </w:tcPr>
          <w:p>
            <w:pPr>
              <w:spacing w:after="0"/>
              <w:rPr>
                <w:sz w:val="15"/>
                <w:szCs w:val="15"/>
                <w:color w:val="auto"/>
              </w:rPr>
            </w:pPr>
          </w:p>
        </w:tc>
        <w:tc>
          <w:tcPr>
            <w:tcW w:w="3960" w:type="dxa"/>
            <w:vAlign w:val="bottom"/>
            <w:shd w:val="clear" w:color="auto" w:fill="E5EAF5"/>
          </w:tcPr>
          <w:p>
            <w:pPr>
              <w:ind w:left="200"/>
              <w:spacing w:after="0"/>
              <w:rPr>
                <w:sz w:val="20"/>
                <w:szCs w:val="20"/>
                <w:color w:val="auto"/>
              </w:rPr>
            </w:pPr>
            <w:r>
              <w:rPr>
                <w:rFonts w:ascii="Arial" w:cs="Arial" w:eastAsia="Arial" w:hAnsi="Arial"/>
                <w:sz w:val="14"/>
                <w:szCs w:val="14"/>
                <w:color w:val="auto"/>
              </w:rPr>
              <w:t>Outplacement Services and Other Benefits</w:t>
            </w:r>
          </w:p>
        </w:tc>
        <w:tc>
          <w:tcPr>
            <w:tcW w:w="520" w:type="dxa"/>
            <w:vAlign w:val="bottom"/>
            <w:shd w:val="clear" w:color="auto" w:fill="E5EAF5"/>
          </w:tcPr>
          <w:p>
            <w:pPr>
              <w:spacing w:after="0"/>
              <w:rPr>
                <w:sz w:val="15"/>
                <w:szCs w:val="15"/>
                <w:color w:val="auto"/>
              </w:rPr>
            </w:pPr>
          </w:p>
        </w:tc>
        <w:tc>
          <w:tcPr>
            <w:tcW w:w="500" w:type="dxa"/>
            <w:vAlign w:val="bottom"/>
            <w:shd w:val="clear" w:color="auto" w:fill="E5EAF5"/>
          </w:tcPr>
          <w:p>
            <w:pPr>
              <w:jc w:val="right"/>
              <w:ind w:right="52"/>
              <w:spacing w:after="0"/>
              <w:rPr>
                <w:sz w:val="20"/>
                <w:szCs w:val="20"/>
                <w:color w:val="auto"/>
              </w:rPr>
            </w:pPr>
            <w:r>
              <w:rPr>
                <w:rFonts w:ascii="Arial" w:cs="Arial" w:eastAsia="Arial" w:hAnsi="Arial"/>
                <w:sz w:val="14"/>
                <w:szCs w:val="14"/>
                <w:color w:val="auto"/>
              </w:rPr>
              <w:t>—</w:t>
            </w:r>
          </w:p>
        </w:tc>
        <w:tc>
          <w:tcPr>
            <w:tcW w:w="460" w:type="dxa"/>
            <w:vAlign w:val="bottom"/>
            <w:shd w:val="clear" w:color="auto" w:fill="E5EAF5"/>
          </w:tcPr>
          <w:p>
            <w:pPr>
              <w:spacing w:after="0"/>
              <w:rPr>
                <w:sz w:val="15"/>
                <w:szCs w:val="15"/>
                <w:color w:val="auto"/>
              </w:rPr>
            </w:pPr>
          </w:p>
        </w:tc>
        <w:tc>
          <w:tcPr>
            <w:tcW w:w="500" w:type="dxa"/>
            <w:vAlign w:val="bottom"/>
            <w:shd w:val="clear" w:color="auto" w:fill="E5EAF5"/>
          </w:tcPr>
          <w:p>
            <w:pPr>
              <w:jc w:val="right"/>
              <w:ind w:right="52"/>
              <w:spacing w:after="0"/>
              <w:rPr>
                <w:sz w:val="20"/>
                <w:szCs w:val="20"/>
                <w:color w:val="auto"/>
              </w:rPr>
            </w:pPr>
            <w:r>
              <w:rPr>
                <w:rFonts w:ascii="Arial" w:cs="Arial" w:eastAsia="Arial" w:hAnsi="Arial"/>
                <w:sz w:val="14"/>
                <w:szCs w:val="14"/>
                <w:color w:val="auto"/>
              </w:rPr>
              <w:t>—</w:t>
            </w:r>
          </w:p>
        </w:tc>
        <w:tc>
          <w:tcPr>
            <w:tcW w:w="1140" w:type="dxa"/>
            <w:vAlign w:val="bottom"/>
            <w:shd w:val="clear" w:color="auto" w:fill="E5EAF5"/>
          </w:tcPr>
          <w:p>
            <w:pPr>
              <w:jc w:val="right"/>
              <w:ind w:right="53"/>
              <w:spacing w:after="0"/>
              <w:rPr>
                <w:sz w:val="20"/>
                <w:szCs w:val="20"/>
                <w:color w:val="auto"/>
              </w:rPr>
            </w:pPr>
            <w:r>
              <w:rPr>
                <w:rFonts w:ascii="Arial" w:cs="Arial" w:eastAsia="Arial" w:hAnsi="Arial"/>
                <w:sz w:val="14"/>
                <w:szCs w:val="14"/>
                <w:color w:val="auto"/>
              </w:rPr>
              <w:t>12,000</w:t>
            </w:r>
          </w:p>
        </w:tc>
        <w:tc>
          <w:tcPr>
            <w:tcW w:w="1020" w:type="dxa"/>
            <w:vAlign w:val="bottom"/>
            <w:shd w:val="clear" w:color="auto" w:fill="E5EAF5"/>
          </w:tcPr>
          <w:p>
            <w:pPr>
              <w:jc w:val="right"/>
              <w:ind w:right="53"/>
              <w:spacing w:after="0"/>
              <w:rPr>
                <w:sz w:val="20"/>
                <w:szCs w:val="20"/>
                <w:color w:val="auto"/>
              </w:rPr>
            </w:pPr>
            <w:r>
              <w:rPr>
                <w:rFonts w:ascii="Arial" w:cs="Arial" w:eastAsia="Arial" w:hAnsi="Arial"/>
                <w:sz w:val="14"/>
                <w:szCs w:val="14"/>
                <w:color w:val="auto"/>
              </w:rPr>
              <w:t>—</w:t>
            </w:r>
          </w:p>
        </w:tc>
        <w:tc>
          <w:tcPr>
            <w:tcW w:w="940" w:type="dxa"/>
            <w:vAlign w:val="bottom"/>
            <w:shd w:val="clear" w:color="auto" w:fill="E5EAF5"/>
          </w:tcPr>
          <w:p>
            <w:pPr>
              <w:jc w:val="right"/>
              <w:spacing w:after="0"/>
              <w:rPr>
                <w:sz w:val="20"/>
                <w:szCs w:val="20"/>
                <w:color w:val="auto"/>
              </w:rPr>
            </w:pPr>
            <w:r>
              <w:rPr>
                <w:rFonts w:ascii="Arial" w:cs="Arial" w:eastAsia="Arial" w:hAnsi="Arial"/>
                <w:sz w:val="14"/>
                <w:szCs w:val="14"/>
                <w:color w:val="auto"/>
              </w:rPr>
              <w:t>—</w:t>
            </w:r>
          </w:p>
        </w:tc>
      </w:tr>
      <w:tr>
        <w:trPr>
          <w:trHeight w:val="176"/>
        </w:trPr>
        <w:tc>
          <w:tcPr>
            <w:tcW w:w="1980" w:type="dxa"/>
            <w:vAlign w:val="bottom"/>
            <w:tcBorders>
              <w:bottom w:val="single" w:sz="8" w:color="0033A0"/>
            </w:tcBorders>
            <w:shd w:val="clear" w:color="auto" w:fill="E5EAF5"/>
          </w:tcPr>
          <w:p>
            <w:pPr>
              <w:spacing w:after="0"/>
              <w:rPr>
                <w:sz w:val="15"/>
                <w:szCs w:val="15"/>
                <w:color w:val="auto"/>
              </w:rPr>
            </w:pPr>
          </w:p>
        </w:tc>
        <w:tc>
          <w:tcPr>
            <w:tcW w:w="3960" w:type="dxa"/>
            <w:vAlign w:val="bottom"/>
            <w:tcBorders>
              <w:bottom w:val="single" w:sz="8" w:color="0033A0"/>
            </w:tcBorders>
            <w:shd w:val="clear" w:color="auto" w:fill="E5EAF5"/>
          </w:tcPr>
          <w:p>
            <w:pPr>
              <w:ind w:left="200"/>
              <w:spacing w:after="0"/>
              <w:rPr>
                <w:sz w:val="20"/>
                <w:szCs w:val="20"/>
                <w:color w:val="auto"/>
              </w:rPr>
            </w:pPr>
            <w:r>
              <w:rPr>
                <w:rFonts w:ascii="Arial" w:cs="Arial" w:eastAsia="Arial" w:hAnsi="Arial"/>
                <w:sz w:val="14"/>
                <w:szCs w:val="14"/>
                <w:color w:val="auto"/>
              </w:rPr>
              <w:t>Notice Period Payments</w:t>
            </w:r>
          </w:p>
        </w:tc>
        <w:tc>
          <w:tcPr>
            <w:tcW w:w="520" w:type="dxa"/>
            <w:vAlign w:val="bottom"/>
            <w:tcBorders>
              <w:bottom w:val="single" w:sz="8" w:color="0033A0"/>
            </w:tcBorders>
            <w:shd w:val="clear" w:color="auto" w:fill="E5EAF5"/>
          </w:tcPr>
          <w:p>
            <w:pPr>
              <w:spacing w:after="0"/>
              <w:rPr>
                <w:sz w:val="15"/>
                <w:szCs w:val="15"/>
                <w:color w:val="auto"/>
              </w:rPr>
            </w:pPr>
          </w:p>
        </w:tc>
        <w:tc>
          <w:tcPr>
            <w:tcW w:w="500" w:type="dxa"/>
            <w:vAlign w:val="bottom"/>
            <w:tcBorders>
              <w:bottom w:val="single" w:sz="8" w:color="0033A0"/>
            </w:tcBorders>
            <w:shd w:val="clear" w:color="auto" w:fill="E5EAF5"/>
          </w:tcPr>
          <w:p>
            <w:pPr>
              <w:jc w:val="right"/>
              <w:ind w:right="52"/>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0033A0"/>
            </w:tcBorders>
            <w:shd w:val="clear" w:color="auto" w:fill="E5EAF5"/>
          </w:tcPr>
          <w:p>
            <w:pPr>
              <w:spacing w:after="0"/>
              <w:rPr>
                <w:sz w:val="15"/>
                <w:szCs w:val="15"/>
                <w:color w:val="auto"/>
              </w:rPr>
            </w:pPr>
          </w:p>
        </w:tc>
        <w:tc>
          <w:tcPr>
            <w:tcW w:w="500" w:type="dxa"/>
            <w:vAlign w:val="bottom"/>
            <w:tcBorders>
              <w:bottom w:val="single" w:sz="8" w:color="0033A0"/>
            </w:tcBorders>
            <w:shd w:val="clear" w:color="auto" w:fill="E5EAF5"/>
          </w:tcPr>
          <w:p>
            <w:pPr>
              <w:jc w:val="right"/>
              <w:ind w:right="52"/>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0033A0"/>
            </w:tcBorders>
            <w:shd w:val="clear" w:color="auto" w:fill="E5EAF5"/>
          </w:tcPr>
          <w:p>
            <w:pPr>
              <w:jc w:val="right"/>
              <w:ind w:right="53"/>
              <w:spacing w:after="0"/>
              <w:rPr>
                <w:sz w:val="20"/>
                <w:szCs w:val="20"/>
                <w:color w:val="auto"/>
              </w:rPr>
            </w:pPr>
            <w:r>
              <w:rPr>
                <w:rFonts w:ascii="Arial" w:cs="Arial" w:eastAsia="Arial" w:hAnsi="Arial"/>
                <w:sz w:val="14"/>
                <w:szCs w:val="14"/>
                <w:color w:val="auto"/>
              </w:rPr>
              <w:t>1,383,029</w:t>
            </w:r>
          </w:p>
        </w:tc>
        <w:tc>
          <w:tcPr>
            <w:tcW w:w="1020" w:type="dxa"/>
            <w:vAlign w:val="bottom"/>
            <w:tcBorders>
              <w:bottom w:val="single" w:sz="8" w:color="0033A0"/>
            </w:tcBorders>
            <w:shd w:val="clear" w:color="auto" w:fill="E5EAF5"/>
          </w:tcPr>
          <w:p>
            <w:pPr>
              <w:jc w:val="right"/>
              <w:ind w:right="53"/>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0033A0"/>
            </w:tcBorders>
            <w:shd w:val="clear" w:color="auto" w:fill="E5EAF5"/>
          </w:tcPr>
          <w:p>
            <w:pPr>
              <w:jc w:val="right"/>
              <w:spacing w:after="0"/>
              <w:rPr>
                <w:sz w:val="20"/>
                <w:szCs w:val="20"/>
                <w:color w:val="auto"/>
              </w:rPr>
            </w:pPr>
            <w:r>
              <w:rPr>
                <w:rFonts w:ascii="Arial" w:cs="Arial" w:eastAsia="Arial" w:hAnsi="Arial"/>
                <w:sz w:val="14"/>
                <w:szCs w:val="14"/>
                <w:color w:val="auto"/>
              </w:rPr>
              <w:t>—</w:t>
            </w:r>
          </w:p>
        </w:tc>
      </w:tr>
      <w:tr>
        <w:trPr>
          <w:trHeight w:val="190"/>
        </w:trPr>
        <w:tc>
          <w:tcPr>
            <w:tcW w:w="1980" w:type="dxa"/>
            <w:vAlign w:val="bottom"/>
            <w:tcBorders>
              <w:bottom w:val="single" w:sz="8" w:color="E5EAF5"/>
            </w:tcBorders>
            <w:shd w:val="clear" w:color="auto" w:fill="E5EAF5"/>
          </w:tcPr>
          <w:p>
            <w:pPr>
              <w:spacing w:after="0"/>
              <w:rPr>
                <w:sz w:val="16"/>
                <w:szCs w:val="16"/>
                <w:color w:val="auto"/>
              </w:rPr>
            </w:pPr>
          </w:p>
        </w:tc>
        <w:tc>
          <w:tcPr>
            <w:tcW w:w="3960" w:type="dxa"/>
            <w:vAlign w:val="bottom"/>
            <w:tcBorders>
              <w:bottom w:val="single" w:sz="8" w:color="E5EAF5"/>
            </w:tcBorders>
            <w:shd w:val="clear" w:color="auto" w:fill="E5EAF5"/>
          </w:tcPr>
          <w:p>
            <w:pPr>
              <w:ind w:left="200"/>
              <w:spacing w:after="0"/>
              <w:rPr>
                <w:sz w:val="20"/>
                <w:szCs w:val="20"/>
                <w:color w:val="auto"/>
              </w:rPr>
            </w:pPr>
            <w:r>
              <w:rPr>
                <w:rFonts w:ascii="Arial" w:cs="Arial" w:eastAsia="Arial" w:hAnsi="Arial"/>
                <w:sz w:val="14"/>
                <w:szCs w:val="14"/>
                <w:color w:val="auto"/>
              </w:rPr>
              <w:t>Total</w:t>
            </w:r>
          </w:p>
        </w:tc>
        <w:tc>
          <w:tcPr>
            <w:tcW w:w="520" w:type="dxa"/>
            <w:vAlign w:val="bottom"/>
            <w:tcBorders>
              <w:bottom w:val="single" w:sz="8" w:color="E5EAF5"/>
            </w:tcBorders>
            <w:shd w:val="clear" w:color="auto" w:fill="E5EAF5"/>
          </w:tcPr>
          <w:p>
            <w:pPr>
              <w:spacing w:after="0"/>
              <w:rPr>
                <w:sz w:val="16"/>
                <w:szCs w:val="16"/>
                <w:color w:val="auto"/>
              </w:rPr>
            </w:pPr>
          </w:p>
        </w:tc>
        <w:tc>
          <w:tcPr>
            <w:tcW w:w="500" w:type="dxa"/>
            <w:vAlign w:val="bottom"/>
            <w:tcBorders>
              <w:bottom w:val="single" w:sz="8" w:color="E5EAF5"/>
            </w:tcBorders>
            <w:shd w:val="clear" w:color="auto" w:fill="E5EAF5"/>
          </w:tcPr>
          <w:p>
            <w:pPr>
              <w:jc w:val="right"/>
              <w:ind w:right="52"/>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E5EAF5"/>
            </w:tcBorders>
            <w:shd w:val="clear" w:color="auto" w:fill="E5EAF5"/>
          </w:tcPr>
          <w:p>
            <w:pPr>
              <w:spacing w:after="0"/>
              <w:rPr>
                <w:sz w:val="16"/>
                <w:szCs w:val="16"/>
                <w:color w:val="auto"/>
              </w:rPr>
            </w:pPr>
          </w:p>
        </w:tc>
        <w:tc>
          <w:tcPr>
            <w:tcW w:w="500" w:type="dxa"/>
            <w:vAlign w:val="bottom"/>
            <w:tcBorders>
              <w:bottom w:val="single" w:sz="8" w:color="E5EAF5"/>
            </w:tcBorders>
            <w:shd w:val="clear" w:color="auto" w:fill="E5EAF5"/>
          </w:tcPr>
          <w:p>
            <w:pPr>
              <w:jc w:val="right"/>
              <w:ind w:right="52"/>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E5EAF5"/>
            </w:tcBorders>
            <w:shd w:val="clear" w:color="auto" w:fill="E5EAF5"/>
          </w:tcPr>
          <w:p>
            <w:pPr>
              <w:jc w:val="right"/>
              <w:ind w:right="53"/>
              <w:spacing w:after="0"/>
              <w:rPr>
                <w:sz w:val="20"/>
                <w:szCs w:val="20"/>
                <w:color w:val="auto"/>
              </w:rPr>
            </w:pPr>
            <w:r>
              <w:rPr>
                <w:rFonts w:ascii="Arial" w:cs="Arial" w:eastAsia="Arial" w:hAnsi="Arial"/>
                <w:sz w:val="14"/>
                <w:szCs w:val="14"/>
                <w:color w:val="auto"/>
              </w:rPr>
              <w:t>12,361,925</w:t>
            </w:r>
          </w:p>
        </w:tc>
        <w:tc>
          <w:tcPr>
            <w:tcW w:w="1020" w:type="dxa"/>
            <w:vAlign w:val="bottom"/>
            <w:tcBorders>
              <w:bottom w:val="single" w:sz="8" w:color="E5EAF5"/>
            </w:tcBorders>
            <w:shd w:val="clear" w:color="auto" w:fill="E5EAF5"/>
          </w:tcPr>
          <w:p>
            <w:pPr>
              <w:jc w:val="right"/>
              <w:ind w:right="53"/>
              <w:spacing w:after="0"/>
              <w:rPr>
                <w:sz w:val="20"/>
                <w:szCs w:val="20"/>
                <w:color w:val="auto"/>
              </w:rPr>
            </w:pPr>
            <w:r>
              <w:rPr>
                <w:rFonts w:ascii="Arial" w:cs="Arial" w:eastAsia="Arial" w:hAnsi="Arial"/>
                <w:sz w:val="14"/>
                <w:szCs w:val="14"/>
                <w:color w:val="auto"/>
              </w:rPr>
              <w:t>8,353,254</w:t>
            </w:r>
          </w:p>
        </w:tc>
        <w:tc>
          <w:tcPr>
            <w:tcW w:w="940" w:type="dxa"/>
            <w:vAlign w:val="bottom"/>
            <w:tcBorders>
              <w:bottom w:val="single" w:sz="8" w:color="E5EAF5"/>
            </w:tcBorders>
            <w:shd w:val="clear" w:color="auto" w:fill="E5EAF5"/>
          </w:tcPr>
          <w:p>
            <w:pPr>
              <w:jc w:val="right"/>
              <w:spacing w:after="0"/>
              <w:rPr>
                <w:sz w:val="20"/>
                <w:szCs w:val="20"/>
                <w:color w:val="auto"/>
              </w:rPr>
            </w:pPr>
            <w:r>
              <w:rPr>
                <w:rFonts w:ascii="Arial" w:cs="Arial" w:eastAsia="Arial" w:hAnsi="Arial"/>
                <w:sz w:val="14"/>
                <w:szCs w:val="14"/>
                <w:color w:val="auto"/>
              </w:rPr>
              <w:t>8,353,254</w:t>
            </w:r>
          </w:p>
        </w:tc>
      </w:tr>
      <w:tr>
        <w:trPr>
          <w:trHeight w:val="27"/>
        </w:trPr>
        <w:tc>
          <w:tcPr>
            <w:tcW w:w="1980" w:type="dxa"/>
            <w:vAlign w:val="bottom"/>
            <w:shd w:val="clear" w:color="auto" w:fill="0033A0"/>
          </w:tcPr>
          <w:p>
            <w:pPr>
              <w:spacing w:after="0"/>
              <w:rPr>
                <w:sz w:val="2"/>
                <w:szCs w:val="2"/>
                <w:color w:val="auto"/>
              </w:rPr>
            </w:pPr>
          </w:p>
        </w:tc>
        <w:tc>
          <w:tcPr>
            <w:tcW w:w="3960" w:type="dxa"/>
            <w:vAlign w:val="bottom"/>
            <w:shd w:val="clear" w:color="auto" w:fill="0033A0"/>
          </w:tcPr>
          <w:p>
            <w:pPr>
              <w:spacing w:after="0"/>
              <w:rPr>
                <w:sz w:val="2"/>
                <w:szCs w:val="2"/>
                <w:color w:val="auto"/>
              </w:rPr>
            </w:pPr>
          </w:p>
        </w:tc>
        <w:tc>
          <w:tcPr>
            <w:tcW w:w="520" w:type="dxa"/>
            <w:vAlign w:val="bottom"/>
            <w:shd w:val="clear" w:color="auto" w:fill="0033A0"/>
          </w:tcPr>
          <w:p>
            <w:pPr>
              <w:spacing w:after="0"/>
              <w:rPr>
                <w:sz w:val="2"/>
                <w:szCs w:val="2"/>
                <w:color w:val="auto"/>
              </w:rPr>
            </w:pPr>
          </w:p>
        </w:tc>
        <w:tc>
          <w:tcPr>
            <w:tcW w:w="500" w:type="dxa"/>
            <w:vAlign w:val="bottom"/>
            <w:shd w:val="clear" w:color="auto" w:fill="0033A0"/>
          </w:tcPr>
          <w:p>
            <w:pPr>
              <w:spacing w:after="0"/>
              <w:rPr>
                <w:sz w:val="2"/>
                <w:szCs w:val="2"/>
                <w:color w:val="auto"/>
              </w:rPr>
            </w:pPr>
          </w:p>
        </w:tc>
        <w:tc>
          <w:tcPr>
            <w:tcW w:w="460" w:type="dxa"/>
            <w:vAlign w:val="bottom"/>
            <w:shd w:val="clear" w:color="auto" w:fill="0033A0"/>
          </w:tcPr>
          <w:p>
            <w:pPr>
              <w:spacing w:after="0"/>
              <w:rPr>
                <w:sz w:val="2"/>
                <w:szCs w:val="2"/>
                <w:color w:val="auto"/>
              </w:rPr>
            </w:pPr>
          </w:p>
        </w:tc>
        <w:tc>
          <w:tcPr>
            <w:tcW w:w="500" w:type="dxa"/>
            <w:vAlign w:val="bottom"/>
            <w:shd w:val="clear" w:color="auto" w:fill="0033A0"/>
          </w:tcPr>
          <w:p>
            <w:pPr>
              <w:spacing w:after="0"/>
              <w:rPr>
                <w:sz w:val="2"/>
                <w:szCs w:val="2"/>
                <w:color w:val="auto"/>
              </w:rPr>
            </w:pPr>
          </w:p>
        </w:tc>
        <w:tc>
          <w:tcPr>
            <w:tcW w:w="1140" w:type="dxa"/>
            <w:vAlign w:val="bottom"/>
            <w:shd w:val="clear" w:color="auto" w:fill="0033A0"/>
          </w:tcPr>
          <w:p>
            <w:pPr>
              <w:spacing w:after="0"/>
              <w:rPr>
                <w:sz w:val="2"/>
                <w:szCs w:val="2"/>
                <w:color w:val="auto"/>
              </w:rPr>
            </w:pPr>
          </w:p>
        </w:tc>
        <w:tc>
          <w:tcPr>
            <w:tcW w:w="1020" w:type="dxa"/>
            <w:vAlign w:val="bottom"/>
            <w:shd w:val="clear" w:color="auto" w:fill="0033A0"/>
          </w:tcPr>
          <w:p>
            <w:pPr>
              <w:spacing w:after="0"/>
              <w:rPr>
                <w:sz w:val="2"/>
                <w:szCs w:val="2"/>
                <w:color w:val="auto"/>
              </w:rPr>
            </w:pPr>
          </w:p>
        </w:tc>
        <w:tc>
          <w:tcPr>
            <w:tcW w:w="940" w:type="dxa"/>
            <w:vAlign w:val="bottom"/>
            <w:shd w:val="clear" w:color="auto" w:fill="0033A0"/>
          </w:tcPr>
          <w:p>
            <w:pPr>
              <w:spacing w:after="0"/>
              <w:rPr>
                <w:sz w:val="2"/>
                <w:szCs w:val="2"/>
                <w:color w:val="auto"/>
              </w:rPr>
            </w:pPr>
          </w:p>
        </w:tc>
      </w:tr>
    </w:tbl>
    <w:p>
      <w:pPr>
        <w:spacing w:after="0" w:line="45" w:lineRule="exact"/>
        <w:rPr>
          <w:sz w:val="20"/>
          <w:szCs w:val="20"/>
          <w:color w:val="auto"/>
        </w:rPr>
      </w:pPr>
    </w:p>
    <w:p>
      <w:pPr>
        <w:jc w:val="both"/>
        <w:ind w:left="520" w:right="260" w:hanging="316"/>
        <w:spacing w:after="0" w:line="199" w:lineRule="auto"/>
        <w:tabs>
          <w:tab w:leader="none" w:pos="520" w:val="left"/>
        </w:tabs>
        <w:numPr>
          <w:ilvl w:val="0"/>
          <w:numId w:val="75"/>
        </w:numPr>
        <w:rPr>
          <w:rFonts w:ascii="Arial" w:cs="Arial" w:eastAsia="Arial" w:hAnsi="Arial"/>
          <w:sz w:val="24"/>
          <w:szCs w:val="24"/>
          <w:color w:val="auto"/>
          <w:vertAlign w:val="superscript"/>
        </w:rPr>
      </w:pPr>
      <w:r>
        <w:rPr>
          <w:rFonts w:ascii="Arial" w:cs="Arial" w:eastAsia="Arial" w:hAnsi="Arial"/>
          <w:sz w:val="14"/>
          <w:szCs w:val="14"/>
          <w:color w:val="auto"/>
        </w:rPr>
        <w:t>As of January 1, 2019, Mr. Marshall was no longer serving as the Company’s General Counsel and Chief Administrative Officer. Information regarding compensation received by Mr. Marshall was disclosed on a Current Report on Form 8-K, filed with the SEC on January 7, 2019 and the Consulting Agreement by and between the Company and Mr. Marshall was filed as an exhibit to the Company’s Annual Report on Form 10-K for the year ended December 31, 2018</w:t>
      </w:r>
    </w:p>
    <w:p>
      <w:pPr>
        <w:spacing w:after="0" w:line="30" w:lineRule="exact"/>
        <w:rPr>
          <w:rFonts w:ascii="Arial" w:cs="Arial" w:eastAsia="Arial" w:hAnsi="Arial"/>
          <w:sz w:val="24"/>
          <w:szCs w:val="24"/>
          <w:color w:val="auto"/>
          <w:vertAlign w:val="superscript"/>
        </w:rPr>
      </w:pPr>
    </w:p>
    <w:p>
      <w:pPr>
        <w:ind w:left="520" w:right="60" w:hanging="316"/>
        <w:spacing w:after="0" w:line="199" w:lineRule="auto"/>
        <w:tabs>
          <w:tab w:leader="none" w:pos="520" w:val="left"/>
        </w:tabs>
        <w:numPr>
          <w:ilvl w:val="0"/>
          <w:numId w:val="75"/>
        </w:numPr>
        <w:rPr>
          <w:rFonts w:ascii="Arial" w:cs="Arial" w:eastAsia="Arial" w:hAnsi="Arial"/>
          <w:sz w:val="24"/>
          <w:szCs w:val="24"/>
          <w:color w:val="auto"/>
          <w:vertAlign w:val="superscript"/>
        </w:rPr>
      </w:pPr>
      <w:r>
        <w:rPr>
          <w:rFonts w:ascii="Arial" w:cs="Arial" w:eastAsia="Arial" w:hAnsi="Arial"/>
          <w:sz w:val="14"/>
          <w:szCs w:val="14"/>
          <w:color w:val="auto"/>
        </w:rPr>
        <w:t>In the event of incapacity, short-term disability payments are payable by the Company for the first six months during the disability period. Such payments cover 100% of the executive’s base salary. The amounts represent the net present value of such disability payments, discounted at 3.13%. Amounts under the Company’s long-term disability program are not included as they are provided on a broad basis to U.S. employees. Mr. Zukerman is not eligible to participate in these benefits.</w:t>
      </w:r>
    </w:p>
    <w:p>
      <w:pPr>
        <w:spacing w:after="0" w:line="30" w:lineRule="exact"/>
        <w:rPr>
          <w:rFonts w:ascii="Arial" w:cs="Arial" w:eastAsia="Arial" w:hAnsi="Arial"/>
          <w:sz w:val="24"/>
          <w:szCs w:val="24"/>
          <w:color w:val="auto"/>
          <w:vertAlign w:val="superscript"/>
        </w:rPr>
      </w:pPr>
    </w:p>
    <w:p>
      <w:pPr>
        <w:ind w:left="520" w:right="220" w:hanging="316"/>
        <w:spacing w:after="0" w:line="183" w:lineRule="auto"/>
        <w:tabs>
          <w:tab w:leader="none" w:pos="520" w:val="left"/>
        </w:tabs>
        <w:numPr>
          <w:ilvl w:val="0"/>
          <w:numId w:val="75"/>
        </w:numPr>
        <w:rPr>
          <w:rFonts w:ascii="Arial" w:cs="Arial" w:eastAsia="Arial" w:hAnsi="Arial"/>
          <w:sz w:val="24"/>
          <w:szCs w:val="24"/>
          <w:color w:val="auto"/>
          <w:vertAlign w:val="superscript"/>
        </w:rPr>
      </w:pPr>
      <w:r>
        <w:rPr>
          <w:rFonts w:ascii="Arial" w:cs="Arial" w:eastAsia="Arial" w:hAnsi="Arial"/>
          <w:sz w:val="14"/>
          <w:szCs w:val="14"/>
          <w:color w:val="auto"/>
        </w:rPr>
        <w:t>Includes under “Benefit Plans” ten equal payments to the executive’s beneficiary or estate totaling three times the executive’s base salary under the Executive Salary Continuation Plan. These amounts represent the net present value discounted at 3.40%. Mr. Zukerman is not eligible for this benefit.</w:t>
      </w:r>
    </w:p>
    <w:p>
      <w:pPr>
        <w:spacing w:after="0" w:line="31" w:lineRule="exact"/>
        <w:rPr>
          <w:rFonts w:ascii="Arial" w:cs="Arial" w:eastAsia="Arial" w:hAnsi="Arial"/>
          <w:sz w:val="24"/>
          <w:szCs w:val="24"/>
          <w:color w:val="auto"/>
          <w:vertAlign w:val="superscript"/>
        </w:rPr>
      </w:pPr>
    </w:p>
    <w:p>
      <w:pPr>
        <w:ind w:left="520" w:right="40" w:hanging="316"/>
        <w:spacing w:after="0" w:line="208" w:lineRule="auto"/>
        <w:tabs>
          <w:tab w:leader="none" w:pos="520" w:val="left"/>
        </w:tabs>
        <w:numPr>
          <w:ilvl w:val="0"/>
          <w:numId w:val="75"/>
        </w:numPr>
        <w:rPr>
          <w:rFonts w:ascii="Arial" w:cs="Arial" w:eastAsia="Arial" w:hAnsi="Arial"/>
          <w:sz w:val="24"/>
          <w:szCs w:val="24"/>
          <w:color w:val="auto"/>
          <w:vertAlign w:val="superscript"/>
        </w:rPr>
      </w:pPr>
      <w:r>
        <w:rPr>
          <w:rFonts w:ascii="Arial" w:cs="Arial" w:eastAsia="Arial" w:hAnsi="Arial"/>
          <w:sz w:val="14"/>
          <w:szCs w:val="14"/>
          <w:color w:val="auto"/>
        </w:rPr>
        <w:t>Unvested options are valued based on the difference between the closing price of Brink’s Common Stock at December 31, 2018, and the option’s exercise price. If the option’s exercise price is less than the December 31, 2018 price, no value is attributed to the unvested option. Unvested RSUs are valued based on the number of unvested units multiplied by the closing price of Brink’s Common Stock at December 31, 2018. Unvested TSR PSUs and Internal Metric PSUs are valued in accordance with plan terms, based on the number of unvested units multiplied by the closing price of Brink’s Common Stock at December 31, 2018.</w:t>
      </w:r>
    </w:p>
    <w:p>
      <w:pPr>
        <w:spacing w:after="0" w:line="134" w:lineRule="exact"/>
        <w:rPr>
          <w:sz w:val="20"/>
          <w:szCs w:val="20"/>
          <w:color w:val="auto"/>
        </w:rPr>
      </w:pPr>
    </w:p>
    <w:tbl>
      <w:tblPr>
        <w:tblLayout w:type="fixed"/>
        <w:tblInd w:w="200" w:type="dxa"/>
        <w:tblCellMar>
          <w:top w:w="0" w:type="dxa"/>
          <w:left w:w="0" w:type="dxa"/>
          <w:bottom w:w="0" w:type="dxa"/>
          <w:right w:w="0" w:type="dxa"/>
        </w:tblCellMar>
      </w:tblPr>
      <w:tr>
        <w:trPr>
          <w:trHeight w:val="297"/>
        </w:trPr>
        <w:tc>
          <w:tcPr>
            <w:tcW w:w="360" w:type="dxa"/>
            <w:vAlign w:val="bottom"/>
            <w:tcBorders>
              <w:right w:val="single" w:sz="8" w:color="0033A0"/>
            </w:tcBorders>
          </w:tcPr>
          <w:p>
            <w:pPr>
              <w:jc w:val="right"/>
              <w:ind w:right="70"/>
              <w:spacing w:after="0"/>
              <w:rPr>
                <w:sz w:val="20"/>
                <w:szCs w:val="20"/>
                <w:color w:val="auto"/>
              </w:rPr>
            </w:pPr>
            <w:r>
              <w:rPr>
                <w:rFonts w:ascii="Arial" w:cs="Arial" w:eastAsia="Arial" w:hAnsi="Arial"/>
                <w:sz w:val="18"/>
                <w:szCs w:val="18"/>
                <w:b w:val="1"/>
                <w:bCs w:val="1"/>
                <w:color w:val="auto"/>
                <w:w w:val="89"/>
              </w:rPr>
              <w:t>64</w:t>
            </w:r>
          </w:p>
        </w:tc>
        <w:tc>
          <w:tcPr>
            <w:tcW w:w="3380" w:type="dxa"/>
            <w:vAlign w:val="bottom"/>
          </w:tcPr>
          <w:p>
            <w:pPr>
              <w:ind w:left="1600"/>
              <w:spacing w:after="0"/>
              <w:rPr>
                <w:sz w:val="20"/>
                <w:szCs w:val="20"/>
                <w:color w:val="auto"/>
              </w:rPr>
            </w:pPr>
            <w:r>
              <w:rPr>
                <w:rFonts w:ascii="Arial" w:cs="Arial" w:eastAsia="Arial" w:hAnsi="Arial"/>
                <w:sz w:val="18"/>
                <w:szCs w:val="18"/>
                <w:i w:val="1"/>
                <w:iCs w:val="1"/>
                <w:color w:val="auto"/>
                <w:w w:val="98"/>
              </w:rPr>
              <w:t>2019 Proxy Statement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-170815</wp:posOffset>
            </wp:positionV>
            <wp:extent cx="720090" cy="12890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0090" cy="12890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right"/>
        <w:ind w:right="20"/>
        <w:spacing w:after="0"/>
        <w:rPr>
          <w:sz w:val="20"/>
          <w:szCs w:val="20"/>
          <w:color w:val="auto"/>
        </w:rPr>
      </w:pPr>
      <w:r>
        <w:rPr>
          <w:rFonts w:ascii="Arial" w:cs="Arial" w:eastAsia="Arial" w:hAnsi="Arial"/>
          <w:sz w:val="20"/>
          <w:szCs w:val="20"/>
          <w:b w:val="1"/>
          <w:bCs w:val="1"/>
          <w:color w:val="0033A0"/>
        </w:rPr>
        <w:t>EXECUTIVE COMPENSATION TABLES</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auto"/>
        </w:rPr>
        <w:t>Chief Executive Officer Pay Ratio for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68580</wp:posOffset>
            </wp:positionV>
            <wp:extent cx="699770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spacing w:after="0" w:line="336" w:lineRule="exact"/>
        <w:rPr>
          <w:sz w:val="20"/>
          <w:szCs w:val="20"/>
          <w:color w:val="auto"/>
        </w:rPr>
      </w:pPr>
    </w:p>
    <w:p>
      <w:pPr>
        <w:ind w:left="220"/>
        <w:spacing w:after="0" w:line="235" w:lineRule="auto"/>
        <w:rPr>
          <w:sz w:val="20"/>
          <w:szCs w:val="20"/>
          <w:color w:val="auto"/>
        </w:rPr>
      </w:pPr>
      <w:r>
        <w:rPr>
          <w:rFonts w:ascii="Arial" w:cs="Arial" w:eastAsia="Arial" w:hAnsi="Arial"/>
          <w:sz w:val="18"/>
          <w:szCs w:val="18"/>
          <w:color w:val="auto"/>
        </w:rPr>
        <w:t>Pursuant to Item 402(u) of Regulation S-K promulgated under the Exchange Act, as mandated by the Dodd-Frank Wall Street Reform and Consumer Protection Act, we are required to disclose the median annual total compensation of all of the Company’s employees, the total compensation of the Company’s chief executive officer, and the ratio of these two amounts. In accordance with Instruction 2 of Item 402(u) of Regulation S-K, we used the same median employee from our 2017 pay ratio calculation disclosed in our 2018 proxy statement for our 2018 pay ratio calculation because we reasonably believe that there has been no change in our employee population and employee compensation arrangements that would significantly impact our pay ratio disclosure. The methodology that we used and the material assumptions, adjustments and estimates that we used to identify the median employee in 2017, the first year we disclosed our pay ratio calculation, and then determine annual total compensation for 2018 were as follows:</w:t>
      </w:r>
    </w:p>
    <w:p>
      <w:pPr>
        <w:spacing w:after="0" w:line="106" w:lineRule="exact"/>
        <w:rPr>
          <w:sz w:val="20"/>
          <w:szCs w:val="20"/>
          <w:color w:val="auto"/>
        </w:rPr>
      </w:pPr>
    </w:p>
    <w:p>
      <w:pPr>
        <w:ind w:left="220" w:right="40"/>
        <w:spacing w:after="0" w:line="236" w:lineRule="auto"/>
        <w:rPr>
          <w:sz w:val="20"/>
          <w:szCs w:val="20"/>
          <w:color w:val="auto"/>
        </w:rPr>
      </w:pPr>
      <w:r>
        <w:rPr>
          <w:rFonts w:ascii="Arial" w:cs="Arial" w:eastAsia="Arial" w:hAnsi="Arial"/>
          <w:sz w:val="18"/>
          <w:szCs w:val="18"/>
          <w:color w:val="auto"/>
        </w:rPr>
        <w:t>In determining the median total compensation of all employees, we prepared a list of all employees as of December 31, 2017 and the taxable wages (determined in accordance with local laws in each jurisdiction in which the Company’s employees are employed) for each employee for 2017. We included all employees, whether employed on a full-time, part-time or seasonal basis. 2017 taxable wages were annualized for any employees who joined the Company after January 1, 2017. We excluded all 81 of our employees based in Germany from our calculation of the median employee under the de minimis exception. Without applying the de minimis exception, the Company had 58,139 employees. With this exception, we had a total of 58,058 employees as of December 31, 2017. This total also</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excludes an aggregate 2,670 employees who joined Brink’s during 2017 as a result of acquisitions (including 670 employees in Brazil as a result of our acquisition of Muitofacil Holding Ltda. and its subsidiary, Muitofacil Arrecadacao e Recebimento Ltda., 267 employees in Chile as a result of our acquisition of Global Security S.A., 1,245 employees in Argentina as a result of our acquisitions of Maco Transportadora de Caudales S.A. and Maco Litoral S.A. and 488 employees in France as a result of our acquisition of Temis S.A.S. and its wholly-owned subsidiaries). We then identified the median total compensation among the list of taxable wages for these 58,058 employees. In determining the median total compensation of all employees, we did not make any cost of living adjustments to the wages paid to any employee outside of the U.S.</w:t>
      </w:r>
    </w:p>
    <w:p>
      <w:pPr>
        <w:spacing w:after="0" w:line="96" w:lineRule="exact"/>
        <w:rPr>
          <w:sz w:val="20"/>
          <w:szCs w:val="20"/>
          <w:color w:val="auto"/>
        </w:rPr>
      </w:pPr>
    </w:p>
    <w:p>
      <w:pPr>
        <w:ind w:right="60"/>
        <w:spacing w:after="0" w:line="250" w:lineRule="auto"/>
        <w:rPr>
          <w:sz w:val="20"/>
          <w:szCs w:val="20"/>
          <w:color w:val="auto"/>
        </w:rPr>
      </w:pPr>
      <w:r>
        <w:rPr>
          <w:rFonts w:ascii="Arial" w:cs="Arial" w:eastAsia="Arial" w:hAnsi="Arial"/>
          <w:sz w:val="17"/>
          <w:szCs w:val="17"/>
          <w:color w:val="auto"/>
        </w:rPr>
        <w:t>As set forth in the table below, our chief executive officer to global median employee pay ratio is 872:1 for 2018. As described in the Compensation Discussion &amp; Analysis, the Compensation and Benefits Committee reviews and approves target compensation for the Company’s Chief Executive Officer, taking into account relevant market data and the executive’s performance and expected future contributions to the Company. In 2018, approximately 90% of the CEO’s target compensation was performance-based, at-risk compensation to be paid based on the Company’s performance against pre-approved targets. Compensation for employees other than the Company’s senior executives, including the median employee, are determined by local management, taking into account relevant market data for that geography, criticality of the employee’s role, and the employee’s performance and expected future contributions to the Company.</w:t>
      </w:r>
    </w:p>
    <w:p>
      <w:pPr>
        <w:spacing w:after="0" w:line="805" w:lineRule="exact"/>
        <w:rPr>
          <w:sz w:val="20"/>
          <w:szCs w:val="20"/>
          <w:color w:val="auto"/>
        </w:rPr>
      </w:pPr>
    </w:p>
    <w:p>
      <w:pPr>
        <w:sectPr>
          <w:pgSz w:w="11900" w:h="16838" w:orient="portrait"/>
          <w:cols w:equalWidth="0" w:num="2">
            <w:col w:w="5440" w:space="380"/>
            <w:col w:w="5420"/>
          </w:cols>
          <w:pgMar w:left="240" w:top="459" w:right="419" w:bottom="1440" w:gutter="0" w:footer="0" w:header="0"/>
          <w:type w:val="continuous"/>
        </w:sectPr>
      </w:pPr>
    </w:p>
    <w:p>
      <w:pPr>
        <w:spacing w:after="0" w:line="166"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200" w:type="dxa"/>
            <w:vAlign w:val="bottom"/>
          </w:tcPr>
          <w:p>
            <w:pPr>
              <w:ind w:left="60"/>
              <w:spacing w:after="0"/>
              <w:rPr>
                <w:sz w:val="20"/>
                <w:szCs w:val="20"/>
                <w:color w:val="auto"/>
              </w:rPr>
            </w:pPr>
            <w:r>
              <w:rPr>
                <w:rFonts w:ascii="Arial" w:cs="Arial" w:eastAsia="Arial" w:hAnsi="Arial"/>
                <w:sz w:val="14"/>
                <w:szCs w:val="14"/>
                <w:b w:val="1"/>
                <w:bCs w:val="1"/>
                <w:color w:val="0033A0"/>
              </w:rPr>
              <w:t>Median Employee Total</w:t>
            </w:r>
          </w:p>
        </w:tc>
        <w:tc>
          <w:tcPr>
            <w:tcW w:w="2000" w:type="dxa"/>
            <w:vAlign w:val="bottom"/>
          </w:tcPr>
          <w:p>
            <w:pPr>
              <w:jc w:val="right"/>
              <w:ind w:right="259"/>
              <w:spacing w:after="0"/>
              <w:rPr>
                <w:sz w:val="20"/>
                <w:szCs w:val="20"/>
                <w:color w:val="auto"/>
              </w:rPr>
            </w:pPr>
            <w:r>
              <w:rPr>
                <w:rFonts w:ascii="Arial" w:cs="Arial" w:eastAsia="Arial" w:hAnsi="Arial"/>
                <w:sz w:val="14"/>
                <w:szCs w:val="14"/>
                <w:b w:val="1"/>
                <w:bCs w:val="1"/>
                <w:color w:val="0033A0"/>
              </w:rPr>
              <w:t>CEO Total Annual</w:t>
            </w:r>
          </w:p>
        </w:tc>
        <w:tc>
          <w:tcPr>
            <w:tcW w:w="1800" w:type="dxa"/>
            <w:vAlign w:val="bottom"/>
          </w:tcPr>
          <w:p>
            <w:pPr>
              <w:jc w:val="center"/>
              <w:ind w:left="179"/>
              <w:spacing w:after="0"/>
              <w:rPr>
                <w:sz w:val="20"/>
                <w:szCs w:val="20"/>
                <w:color w:val="auto"/>
              </w:rPr>
            </w:pPr>
            <w:r>
              <w:rPr>
                <w:rFonts w:ascii="Arial" w:cs="Arial" w:eastAsia="Arial" w:hAnsi="Arial"/>
                <w:sz w:val="14"/>
                <w:szCs w:val="14"/>
                <w:b w:val="1"/>
                <w:bCs w:val="1"/>
                <w:color w:val="0033A0"/>
              </w:rPr>
              <w:t>CEO to Median</w:t>
            </w:r>
          </w:p>
        </w:tc>
        <w:tc>
          <w:tcPr>
            <w:tcW w:w="27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200" w:type="dxa"/>
            <w:vAlign w:val="bottom"/>
            <w:tcBorders>
              <w:bottom w:val="single" w:sz="8" w:color="0033A0"/>
            </w:tcBorders>
          </w:tcPr>
          <w:p>
            <w:pPr>
              <w:ind w:left="60"/>
              <w:spacing w:after="0"/>
              <w:rPr>
                <w:sz w:val="20"/>
                <w:szCs w:val="20"/>
                <w:color w:val="auto"/>
              </w:rPr>
            </w:pPr>
            <w:r>
              <w:rPr>
                <w:rFonts w:ascii="Arial" w:cs="Arial" w:eastAsia="Arial" w:hAnsi="Arial"/>
                <w:sz w:val="14"/>
                <w:szCs w:val="14"/>
                <w:b w:val="1"/>
                <w:bCs w:val="1"/>
                <w:color w:val="0033A0"/>
              </w:rPr>
              <w:t>Annual Compensation</w:t>
            </w:r>
          </w:p>
        </w:tc>
        <w:tc>
          <w:tcPr>
            <w:tcW w:w="2000" w:type="dxa"/>
            <w:vAlign w:val="bottom"/>
            <w:tcBorders>
              <w:bottom w:val="single" w:sz="8" w:color="0033A0"/>
            </w:tcBorders>
          </w:tcPr>
          <w:p>
            <w:pPr>
              <w:jc w:val="right"/>
              <w:ind w:right="359"/>
              <w:spacing w:after="0"/>
              <w:rPr>
                <w:sz w:val="20"/>
                <w:szCs w:val="20"/>
                <w:color w:val="auto"/>
              </w:rPr>
            </w:pPr>
            <w:r>
              <w:rPr>
                <w:rFonts w:ascii="Arial" w:cs="Arial" w:eastAsia="Arial" w:hAnsi="Arial"/>
                <w:sz w:val="14"/>
                <w:szCs w:val="14"/>
                <w:b w:val="1"/>
                <w:bCs w:val="1"/>
                <w:color w:val="0033A0"/>
              </w:rPr>
              <w:t>Compensation</w:t>
            </w:r>
          </w:p>
        </w:tc>
        <w:tc>
          <w:tcPr>
            <w:tcW w:w="1800" w:type="dxa"/>
            <w:vAlign w:val="bottom"/>
            <w:tcBorders>
              <w:bottom w:val="single" w:sz="8" w:color="0033A0"/>
            </w:tcBorders>
          </w:tcPr>
          <w:p>
            <w:pPr>
              <w:jc w:val="center"/>
              <w:ind w:left="179"/>
              <w:spacing w:after="0"/>
              <w:rPr>
                <w:sz w:val="20"/>
                <w:szCs w:val="20"/>
                <w:color w:val="auto"/>
              </w:rPr>
            </w:pPr>
            <w:r>
              <w:rPr>
                <w:rFonts w:ascii="Arial" w:cs="Arial" w:eastAsia="Arial" w:hAnsi="Arial"/>
                <w:sz w:val="14"/>
                <w:szCs w:val="14"/>
                <w:b w:val="1"/>
                <w:bCs w:val="1"/>
                <w:color w:val="0033A0"/>
              </w:rPr>
              <w:t>Employee Pay Ratio</w:t>
            </w:r>
          </w:p>
        </w:tc>
        <w:tc>
          <w:tcPr>
            <w:tcW w:w="2700" w:type="dxa"/>
            <w:vAlign w:val="bottom"/>
            <w:tcBorders>
              <w:bottom w:val="single" w:sz="8" w:color="0033A0"/>
            </w:tcBorders>
          </w:tcPr>
          <w:p>
            <w:pPr>
              <w:jc w:val="center"/>
              <w:ind w:left="76"/>
              <w:spacing w:after="0"/>
              <w:rPr>
                <w:sz w:val="20"/>
                <w:szCs w:val="20"/>
                <w:color w:val="auto"/>
              </w:rPr>
            </w:pPr>
            <w:r>
              <w:rPr>
                <w:rFonts w:ascii="Arial" w:cs="Arial" w:eastAsia="Arial" w:hAnsi="Arial"/>
                <w:sz w:val="14"/>
                <w:szCs w:val="14"/>
                <w:b w:val="1"/>
                <w:bCs w:val="1"/>
                <w:color w:val="0033A0"/>
              </w:rPr>
              <w:t>Market</w:t>
            </w:r>
          </w:p>
        </w:tc>
        <w:tc>
          <w:tcPr>
            <w:tcW w:w="2320" w:type="dxa"/>
            <w:vAlign w:val="bottom"/>
            <w:tcBorders>
              <w:bottom w:val="single" w:sz="8" w:color="0033A0"/>
            </w:tcBorders>
          </w:tcPr>
          <w:p>
            <w:pPr>
              <w:jc w:val="center"/>
              <w:spacing w:after="0"/>
              <w:rPr>
                <w:sz w:val="20"/>
                <w:szCs w:val="20"/>
                <w:color w:val="auto"/>
              </w:rPr>
            </w:pPr>
            <w:r>
              <w:rPr>
                <w:rFonts w:ascii="Arial" w:cs="Arial" w:eastAsia="Arial" w:hAnsi="Arial"/>
                <w:sz w:val="14"/>
                <w:szCs w:val="14"/>
                <w:b w:val="1"/>
                <w:bCs w:val="1"/>
                <w:color w:val="0033A0"/>
              </w:rPr>
              <w:t>Employee Status</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2200" w:type="dxa"/>
            <w:vAlign w:val="bottom"/>
            <w:shd w:val="clear" w:color="auto" w:fill="E5EAF5"/>
          </w:tcPr>
          <w:p>
            <w:pPr>
              <w:jc w:val="right"/>
              <w:ind w:right="699"/>
              <w:spacing w:after="0" w:line="201" w:lineRule="exact"/>
              <w:rPr>
                <w:sz w:val="20"/>
                <w:szCs w:val="20"/>
                <w:color w:val="auto"/>
              </w:rPr>
            </w:pPr>
            <w:r>
              <w:rPr>
                <w:rFonts w:ascii="Arial" w:cs="Arial" w:eastAsia="Arial" w:hAnsi="Arial"/>
                <w:sz w:val="18"/>
                <w:szCs w:val="18"/>
                <w:color w:val="auto"/>
              </w:rPr>
              <w:t>$11,886</w:t>
            </w:r>
          </w:p>
        </w:tc>
        <w:tc>
          <w:tcPr>
            <w:tcW w:w="2000" w:type="dxa"/>
            <w:vAlign w:val="bottom"/>
            <w:shd w:val="clear" w:color="auto" w:fill="E5EAF5"/>
          </w:tcPr>
          <w:p>
            <w:pPr>
              <w:jc w:val="right"/>
              <w:ind w:right="359"/>
              <w:spacing w:after="0" w:line="201" w:lineRule="exact"/>
              <w:rPr>
                <w:sz w:val="20"/>
                <w:szCs w:val="20"/>
                <w:color w:val="auto"/>
              </w:rPr>
            </w:pPr>
            <w:r>
              <w:rPr>
                <w:rFonts w:ascii="Arial" w:cs="Arial" w:eastAsia="Arial" w:hAnsi="Arial"/>
                <w:sz w:val="18"/>
                <w:szCs w:val="18"/>
                <w:color w:val="auto"/>
              </w:rPr>
              <w:t>$10,360,397</w:t>
            </w:r>
          </w:p>
        </w:tc>
        <w:tc>
          <w:tcPr>
            <w:tcW w:w="1800" w:type="dxa"/>
            <w:vAlign w:val="bottom"/>
            <w:shd w:val="clear" w:color="auto" w:fill="E5EAF5"/>
          </w:tcPr>
          <w:p>
            <w:pPr>
              <w:jc w:val="center"/>
              <w:ind w:left="199"/>
              <w:spacing w:after="0" w:line="201" w:lineRule="exact"/>
              <w:rPr>
                <w:sz w:val="20"/>
                <w:szCs w:val="20"/>
                <w:color w:val="auto"/>
              </w:rPr>
            </w:pPr>
            <w:r>
              <w:rPr>
                <w:rFonts w:ascii="Arial" w:cs="Arial" w:eastAsia="Arial" w:hAnsi="Arial"/>
                <w:sz w:val="18"/>
                <w:szCs w:val="18"/>
                <w:color w:val="auto"/>
                <w:w w:val="97"/>
              </w:rPr>
              <w:t>872:1</w:t>
            </w:r>
          </w:p>
        </w:tc>
        <w:tc>
          <w:tcPr>
            <w:tcW w:w="2700" w:type="dxa"/>
            <w:vAlign w:val="bottom"/>
            <w:shd w:val="clear" w:color="auto" w:fill="E5EAF5"/>
          </w:tcPr>
          <w:p>
            <w:pPr>
              <w:jc w:val="center"/>
              <w:ind w:left="76"/>
              <w:spacing w:after="0" w:line="201" w:lineRule="exact"/>
              <w:rPr>
                <w:sz w:val="20"/>
                <w:szCs w:val="20"/>
                <w:color w:val="auto"/>
              </w:rPr>
            </w:pPr>
            <w:r>
              <w:rPr>
                <w:rFonts w:ascii="Arial" w:cs="Arial" w:eastAsia="Arial" w:hAnsi="Arial"/>
                <w:sz w:val="18"/>
                <w:szCs w:val="18"/>
                <w:color w:val="auto"/>
              </w:rPr>
              <w:t>All markets</w:t>
            </w:r>
          </w:p>
        </w:tc>
        <w:tc>
          <w:tcPr>
            <w:tcW w:w="2320" w:type="dxa"/>
            <w:vAlign w:val="bottom"/>
            <w:shd w:val="clear" w:color="auto" w:fill="E5EAF5"/>
          </w:tcPr>
          <w:p>
            <w:pPr>
              <w:jc w:val="center"/>
              <w:spacing w:after="0" w:line="201" w:lineRule="exact"/>
              <w:rPr>
                <w:sz w:val="20"/>
                <w:szCs w:val="20"/>
                <w:color w:val="auto"/>
              </w:rPr>
            </w:pPr>
            <w:r>
              <w:rPr>
                <w:rFonts w:ascii="Arial" w:cs="Arial" w:eastAsia="Arial" w:hAnsi="Arial"/>
                <w:sz w:val="18"/>
                <w:szCs w:val="18"/>
                <w:color w:val="auto"/>
                <w:w w:val="99"/>
              </w:rPr>
              <w:t>full-time,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00" w:type="dxa"/>
            <w:vAlign w:val="bottom"/>
            <w:shd w:val="clear" w:color="auto" w:fill="E5EAF5"/>
          </w:tcPr>
          <w:p>
            <w:pPr>
              <w:spacing w:after="0"/>
              <w:rPr>
                <w:sz w:val="17"/>
                <w:szCs w:val="17"/>
                <w:color w:val="auto"/>
              </w:rPr>
            </w:pPr>
          </w:p>
        </w:tc>
        <w:tc>
          <w:tcPr>
            <w:tcW w:w="2000" w:type="dxa"/>
            <w:vAlign w:val="bottom"/>
            <w:shd w:val="clear" w:color="auto" w:fill="E5EAF5"/>
          </w:tcPr>
          <w:p>
            <w:pPr>
              <w:spacing w:after="0"/>
              <w:rPr>
                <w:sz w:val="17"/>
                <w:szCs w:val="17"/>
                <w:color w:val="auto"/>
              </w:rPr>
            </w:pPr>
          </w:p>
        </w:tc>
        <w:tc>
          <w:tcPr>
            <w:tcW w:w="1800" w:type="dxa"/>
            <w:vAlign w:val="bottom"/>
            <w:shd w:val="clear" w:color="auto" w:fill="E5EAF5"/>
          </w:tcPr>
          <w:p>
            <w:pPr>
              <w:spacing w:after="0"/>
              <w:rPr>
                <w:sz w:val="17"/>
                <w:szCs w:val="17"/>
                <w:color w:val="auto"/>
              </w:rPr>
            </w:pPr>
          </w:p>
        </w:tc>
        <w:tc>
          <w:tcPr>
            <w:tcW w:w="2700" w:type="dxa"/>
            <w:vAlign w:val="bottom"/>
            <w:shd w:val="clear" w:color="auto" w:fill="E5EAF5"/>
          </w:tcPr>
          <w:p>
            <w:pPr>
              <w:jc w:val="center"/>
              <w:ind w:left="76"/>
              <w:spacing w:after="0" w:line="202" w:lineRule="exact"/>
              <w:rPr>
                <w:sz w:val="20"/>
                <w:szCs w:val="20"/>
                <w:color w:val="auto"/>
              </w:rPr>
            </w:pPr>
            <w:r>
              <w:rPr>
                <w:rFonts w:ascii="Arial" w:cs="Arial" w:eastAsia="Arial" w:hAnsi="Arial"/>
                <w:sz w:val="18"/>
                <w:szCs w:val="18"/>
                <w:color w:val="auto"/>
              </w:rPr>
              <w:t>(U.S. and international)</w:t>
            </w:r>
          </w:p>
        </w:tc>
        <w:tc>
          <w:tcPr>
            <w:tcW w:w="2320" w:type="dxa"/>
            <w:vAlign w:val="bottom"/>
            <w:shd w:val="clear" w:color="auto" w:fill="E5EAF5"/>
          </w:tcPr>
          <w:p>
            <w:pPr>
              <w:jc w:val="center"/>
              <w:spacing w:after="0" w:line="202" w:lineRule="exact"/>
              <w:rPr>
                <w:sz w:val="20"/>
                <w:szCs w:val="20"/>
                <w:color w:val="auto"/>
              </w:rPr>
            </w:pPr>
            <w:r>
              <w:rPr>
                <w:rFonts w:ascii="Arial" w:cs="Arial" w:eastAsia="Arial" w:hAnsi="Arial"/>
                <w:sz w:val="18"/>
                <w:szCs w:val="18"/>
                <w:color w:val="auto"/>
                <w:w w:val="99"/>
              </w:rPr>
              <w:t>part-time,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200" w:type="dxa"/>
            <w:vAlign w:val="bottom"/>
            <w:tcBorders>
              <w:bottom w:val="single" w:sz="8" w:color="E5EAF5"/>
            </w:tcBorders>
            <w:shd w:val="clear" w:color="auto" w:fill="E5EAF5"/>
          </w:tcPr>
          <w:p>
            <w:pPr>
              <w:spacing w:after="0"/>
              <w:rPr>
                <w:sz w:val="20"/>
                <w:szCs w:val="20"/>
                <w:color w:val="auto"/>
              </w:rPr>
            </w:pPr>
          </w:p>
        </w:tc>
        <w:tc>
          <w:tcPr>
            <w:tcW w:w="2000" w:type="dxa"/>
            <w:vAlign w:val="bottom"/>
            <w:tcBorders>
              <w:bottom w:val="single" w:sz="8" w:color="E5EAF5"/>
            </w:tcBorders>
            <w:shd w:val="clear" w:color="auto" w:fill="E5EAF5"/>
          </w:tcPr>
          <w:p>
            <w:pPr>
              <w:spacing w:after="0"/>
              <w:rPr>
                <w:sz w:val="20"/>
                <w:szCs w:val="20"/>
                <w:color w:val="auto"/>
              </w:rPr>
            </w:pPr>
          </w:p>
        </w:tc>
        <w:tc>
          <w:tcPr>
            <w:tcW w:w="1800" w:type="dxa"/>
            <w:vAlign w:val="bottom"/>
            <w:tcBorders>
              <w:bottom w:val="single" w:sz="8" w:color="E5EAF5"/>
            </w:tcBorders>
            <w:shd w:val="clear" w:color="auto" w:fill="E5EAF5"/>
          </w:tcPr>
          <w:p>
            <w:pPr>
              <w:spacing w:after="0"/>
              <w:rPr>
                <w:sz w:val="20"/>
                <w:szCs w:val="20"/>
                <w:color w:val="auto"/>
              </w:rPr>
            </w:pPr>
          </w:p>
        </w:tc>
        <w:tc>
          <w:tcPr>
            <w:tcW w:w="2700" w:type="dxa"/>
            <w:vAlign w:val="bottom"/>
            <w:tcBorders>
              <w:bottom w:val="single" w:sz="8" w:color="E5EAF5"/>
            </w:tcBorders>
            <w:shd w:val="clear" w:color="auto" w:fill="E5EAF5"/>
          </w:tcPr>
          <w:p>
            <w:pPr>
              <w:spacing w:after="0"/>
              <w:rPr>
                <w:sz w:val="20"/>
                <w:szCs w:val="20"/>
                <w:color w:val="auto"/>
              </w:rPr>
            </w:pPr>
          </w:p>
        </w:tc>
        <w:tc>
          <w:tcPr>
            <w:tcW w:w="2320" w:type="dxa"/>
            <w:vAlign w:val="bottom"/>
            <w:tcBorders>
              <w:bottom w:val="single" w:sz="8" w:color="E5EAF5"/>
            </w:tcBorders>
            <w:shd w:val="clear" w:color="auto" w:fill="E5EAF5"/>
          </w:tcPr>
          <w:p>
            <w:pPr>
              <w:jc w:val="center"/>
              <w:spacing w:after="0"/>
              <w:rPr>
                <w:sz w:val="20"/>
                <w:szCs w:val="20"/>
                <w:color w:val="auto"/>
              </w:rPr>
            </w:pPr>
            <w:r>
              <w:rPr>
                <w:rFonts w:ascii="Arial" w:cs="Arial" w:eastAsia="Arial" w:hAnsi="Arial"/>
                <w:sz w:val="18"/>
                <w:szCs w:val="18"/>
                <w:color w:val="auto"/>
                <w:w w:val="99"/>
              </w:rPr>
              <w:t>seasonal, temporary</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00" w:type="dxa"/>
            <w:vAlign w:val="bottom"/>
          </w:tcPr>
          <w:p>
            <w:pPr>
              <w:jc w:val="right"/>
              <w:ind w:right="699"/>
              <w:spacing w:after="0" w:line="201" w:lineRule="exact"/>
              <w:rPr>
                <w:sz w:val="20"/>
                <w:szCs w:val="20"/>
                <w:color w:val="auto"/>
              </w:rPr>
            </w:pPr>
            <w:r>
              <w:rPr>
                <w:rFonts w:ascii="Arial" w:cs="Arial" w:eastAsia="Arial" w:hAnsi="Arial"/>
                <w:sz w:val="18"/>
                <w:szCs w:val="18"/>
                <w:color w:val="auto"/>
              </w:rPr>
              <w:t>40,212</w:t>
            </w:r>
          </w:p>
        </w:tc>
        <w:tc>
          <w:tcPr>
            <w:tcW w:w="2000" w:type="dxa"/>
            <w:vAlign w:val="bottom"/>
          </w:tcPr>
          <w:p>
            <w:pPr>
              <w:jc w:val="right"/>
              <w:ind w:right="379"/>
              <w:spacing w:after="0" w:line="201" w:lineRule="exact"/>
              <w:rPr>
                <w:sz w:val="20"/>
                <w:szCs w:val="20"/>
                <w:color w:val="auto"/>
              </w:rPr>
            </w:pPr>
            <w:r>
              <w:rPr>
                <w:rFonts w:ascii="Arial" w:cs="Arial" w:eastAsia="Arial" w:hAnsi="Arial"/>
                <w:sz w:val="18"/>
                <w:szCs w:val="18"/>
                <w:color w:val="auto"/>
              </w:rPr>
              <w:t>10,360,397</w:t>
            </w:r>
          </w:p>
        </w:tc>
        <w:tc>
          <w:tcPr>
            <w:tcW w:w="1800" w:type="dxa"/>
            <w:vAlign w:val="bottom"/>
          </w:tcPr>
          <w:p>
            <w:pPr>
              <w:jc w:val="center"/>
              <w:ind w:left="199"/>
              <w:spacing w:after="0" w:line="201" w:lineRule="exact"/>
              <w:rPr>
                <w:sz w:val="20"/>
                <w:szCs w:val="20"/>
                <w:color w:val="auto"/>
              </w:rPr>
            </w:pPr>
            <w:r>
              <w:rPr>
                <w:rFonts w:ascii="Arial" w:cs="Arial" w:eastAsia="Arial" w:hAnsi="Arial"/>
                <w:sz w:val="18"/>
                <w:szCs w:val="18"/>
                <w:color w:val="auto"/>
                <w:w w:val="97"/>
              </w:rPr>
              <w:t>258:1</w:t>
            </w:r>
          </w:p>
        </w:tc>
        <w:tc>
          <w:tcPr>
            <w:tcW w:w="2700" w:type="dxa"/>
            <w:vAlign w:val="bottom"/>
          </w:tcPr>
          <w:p>
            <w:pPr>
              <w:jc w:val="center"/>
              <w:ind w:left="76"/>
              <w:spacing w:after="0" w:line="201" w:lineRule="exact"/>
              <w:rPr>
                <w:sz w:val="20"/>
                <w:szCs w:val="20"/>
                <w:color w:val="auto"/>
              </w:rPr>
            </w:pPr>
            <w:r>
              <w:rPr>
                <w:rFonts w:ascii="Arial" w:cs="Arial" w:eastAsia="Arial" w:hAnsi="Arial"/>
                <w:sz w:val="18"/>
                <w:szCs w:val="18"/>
                <w:color w:val="auto"/>
              </w:rPr>
              <w:t>U.S. only</w:t>
            </w:r>
          </w:p>
        </w:tc>
        <w:tc>
          <w:tcPr>
            <w:tcW w:w="2320" w:type="dxa"/>
            <w:vAlign w:val="bottom"/>
          </w:tcPr>
          <w:p>
            <w:pPr>
              <w:jc w:val="center"/>
              <w:spacing w:after="0" w:line="201" w:lineRule="exact"/>
              <w:rPr>
                <w:sz w:val="20"/>
                <w:szCs w:val="20"/>
                <w:color w:val="auto"/>
              </w:rPr>
            </w:pPr>
            <w:r>
              <w:rPr>
                <w:rFonts w:ascii="Arial" w:cs="Arial" w:eastAsia="Arial" w:hAnsi="Arial"/>
                <w:sz w:val="18"/>
                <w:szCs w:val="18"/>
                <w:color w:val="auto"/>
                <w:w w:val="99"/>
              </w:rPr>
              <w:t>full-time,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320" w:type="dxa"/>
            <w:vAlign w:val="bottom"/>
          </w:tcPr>
          <w:p>
            <w:pPr>
              <w:jc w:val="center"/>
              <w:spacing w:after="0" w:line="202" w:lineRule="exact"/>
              <w:rPr>
                <w:sz w:val="20"/>
                <w:szCs w:val="20"/>
                <w:color w:val="auto"/>
              </w:rPr>
            </w:pPr>
            <w:r>
              <w:rPr>
                <w:rFonts w:ascii="Arial" w:cs="Arial" w:eastAsia="Arial" w:hAnsi="Arial"/>
                <w:sz w:val="18"/>
                <w:szCs w:val="18"/>
                <w:color w:val="auto"/>
                <w:w w:val="99"/>
              </w:rPr>
              <w:t>part-time,</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9"/>
              </w:rPr>
              <w:t>seasonal, temporary</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4200" w:type="dxa"/>
            <w:vAlign w:val="bottom"/>
            <w:tcBorders>
              <w:bottom w:val="single" w:sz="8" w:color="0033A0"/>
            </w:tcBorders>
            <w:gridSpan w:val="2"/>
          </w:tcPr>
          <w:p>
            <w:pPr>
              <w:spacing w:after="0"/>
              <w:rPr>
                <w:sz w:val="4"/>
                <w:szCs w:val="4"/>
                <w:color w:val="auto"/>
              </w:rPr>
            </w:pPr>
          </w:p>
        </w:tc>
        <w:tc>
          <w:tcPr>
            <w:tcW w:w="1800" w:type="dxa"/>
            <w:vAlign w:val="bottom"/>
            <w:tcBorders>
              <w:bottom w:val="single" w:sz="8" w:color="0033A0"/>
            </w:tcBorders>
          </w:tcPr>
          <w:p>
            <w:pPr>
              <w:spacing w:after="0"/>
              <w:rPr>
                <w:sz w:val="4"/>
                <w:szCs w:val="4"/>
                <w:color w:val="auto"/>
              </w:rPr>
            </w:pPr>
          </w:p>
        </w:tc>
        <w:tc>
          <w:tcPr>
            <w:tcW w:w="5020" w:type="dxa"/>
            <w:vAlign w:val="bottom"/>
            <w:tcBorders>
              <w:bottom w:val="single" w:sz="8" w:color="0033A0"/>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371"/>
        </w:trPr>
        <w:tc>
          <w:tcPr>
            <w:tcW w:w="4220" w:type="dxa"/>
            <w:vAlign w:val="bottom"/>
            <w:gridSpan w:val="3"/>
          </w:tcPr>
          <w:p>
            <w:pPr>
              <w:jc w:val="right"/>
              <w:ind w:right="359"/>
              <w:spacing w:after="0"/>
              <w:rPr>
                <w:sz w:val="20"/>
                <w:szCs w:val="20"/>
                <w:color w:val="auto"/>
              </w:rPr>
            </w:pPr>
            <w:r>
              <w:rPr>
                <w:rFonts w:ascii="Arial" w:cs="Arial" w:eastAsia="Arial" w:hAnsi="Arial"/>
                <w:sz w:val="18"/>
                <w:szCs w:val="18"/>
                <w:b w:val="1"/>
                <w:bCs w:val="1"/>
                <w:i w:val="1"/>
                <w:iCs w:val="1"/>
                <w:color w:val="0033A0"/>
                <w:w w:val="99"/>
              </w:rPr>
              <w:t>Facts to Consider regarding Our Employees</w:t>
            </w:r>
          </w:p>
        </w:tc>
        <w:tc>
          <w:tcPr>
            <w:tcW w:w="1800" w:type="dxa"/>
            <w:vAlign w:val="bottom"/>
          </w:tcPr>
          <w:p>
            <w:pPr>
              <w:spacing w:after="0"/>
              <w:rPr>
                <w:sz w:val="24"/>
                <w:szCs w:val="24"/>
                <w:color w:val="auto"/>
              </w:rPr>
            </w:pPr>
          </w:p>
        </w:tc>
        <w:tc>
          <w:tcPr>
            <w:tcW w:w="5020" w:type="dxa"/>
            <w:vAlign w:val="bottom"/>
            <w:gridSpan w:val="2"/>
          </w:tcPr>
          <w:p>
            <w:pPr>
              <w:ind w:left="60"/>
              <w:spacing w:after="0"/>
              <w:rPr>
                <w:sz w:val="20"/>
                <w:szCs w:val="20"/>
                <w:color w:val="auto"/>
              </w:rPr>
            </w:pPr>
            <w:r>
              <w:rPr>
                <w:rFonts w:ascii="Arial" w:cs="Arial" w:eastAsia="Arial" w:hAnsi="Arial"/>
                <w:sz w:val="18"/>
                <w:szCs w:val="18"/>
                <w:color w:val="0033A0"/>
              </w:rPr>
              <w:t xml:space="preserve">•   </w:t>
            </w:r>
            <w:r>
              <w:rPr>
                <w:rFonts w:ascii="Arial" w:cs="Arial" w:eastAsia="Arial" w:hAnsi="Arial"/>
                <w:sz w:val="18"/>
                <w:szCs w:val="18"/>
                <w:color w:val="000000"/>
              </w:rPr>
              <w:t>Of this 88%, 83% are located in lower wage geographies,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5020" w:type="dxa"/>
            <w:vAlign w:val="bottom"/>
            <w:gridSpan w:val="2"/>
          </w:tcPr>
          <w:p>
            <w:pPr>
              <w:ind w:left="380"/>
              <w:spacing w:after="0" w:line="122" w:lineRule="exact"/>
              <w:rPr>
                <w:sz w:val="20"/>
                <w:szCs w:val="20"/>
                <w:color w:val="auto"/>
              </w:rPr>
            </w:pPr>
            <w:r>
              <w:rPr>
                <w:rFonts w:ascii="Arial" w:cs="Arial" w:eastAsia="Arial" w:hAnsi="Arial"/>
                <w:sz w:val="14"/>
                <w:szCs w:val="14"/>
                <w:color w:val="auto"/>
              </w:rPr>
              <w:t>where the average annual salary is less than 50% of the</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17"/>
        </w:trPr>
        <w:tc>
          <w:tcPr>
            <w:tcW w:w="5320" w:type="dxa"/>
            <w:vAlign w:val="bottom"/>
          </w:tcPr>
          <w:p>
            <w:pPr>
              <w:spacing w:after="0"/>
              <w:rPr>
                <w:sz w:val="20"/>
                <w:szCs w:val="20"/>
                <w:color w:val="auto"/>
              </w:rPr>
            </w:pPr>
            <w:r>
              <w:rPr>
                <w:rFonts w:ascii="Arial" w:cs="Arial" w:eastAsia="Arial" w:hAnsi="Arial"/>
                <w:sz w:val="18"/>
                <w:szCs w:val="18"/>
                <w:color w:val="0033A0"/>
              </w:rPr>
              <w:t xml:space="preserve">•   </w:t>
            </w:r>
            <w:r>
              <w:rPr>
                <w:rFonts w:ascii="Arial" w:cs="Arial" w:eastAsia="Arial" w:hAnsi="Arial"/>
                <w:sz w:val="18"/>
                <w:szCs w:val="18"/>
                <w:color w:val="000000"/>
              </w:rPr>
              <w:t>The Company’s employees are located in 48 countries.</w:t>
            </w:r>
          </w:p>
        </w:tc>
        <w:tc>
          <w:tcPr>
            <w:tcW w:w="3740" w:type="dxa"/>
            <w:vAlign w:val="bottom"/>
            <w:vMerge w:val="restart"/>
          </w:tcPr>
          <w:p>
            <w:pPr>
              <w:ind w:left="620"/>
              <w:spacing w:after="0"/>
              <w:rPr>
                <w:sz w:val="20"/>
                <w:szCs w:val="20"/>
                <w:color w:val="auto"/>
              </w:rPr>
            </w:pPr>
            <w:r>
              <w:rPr>
                <w:rFonts w:ascii="Arial" w:cs="Arial" w:eastAsia="Arial" w:hAnsi="Arial"/>
                <w:sz w:val="18"/>
                <w:szCs w:val="18"/>
                <w:color w:val="auto"/>
                <w:w w:val="99"/>
              </w:rPr>
              <w:t>average salary for our U.S. employees.</w:t>
            </w:r>
          </w:p>
        </w:tc>
        <w:tc>
          <w:tcPr>
            <w:tcW w:w="0" w:type="dxa"/>
            <w:vAlign w:val="bottom"/>
          </w:tcPr>
          <w:p>
            <w:pPr>
              <w:spacing w:after="0"/>
              <w:rPr>
                <w:sz w:val="1"/>
                <w:szCs w:val="1"/>
                <w:color w:val="auto"/>
              </w:rPr>
            </w:pPr>
          </w:p>
        </w:tc>
      </w:tr>
      <w:tr>
        <w:trPr>
          <w:trHeight w:val="81"/>
        </w:trPr>
        <w:tc>
          <w:tcPr>
            <w:tcW w:w="5320" w:type="dxa"/>
            <w:vAlign w:val="bottom"/>
          </w:tcPr>
          <w:p>
            <w:pPr>
              <w:spacing w:after="0"/>
              <w:rPr>
                <w:sz w:val="7"/>
                <w:szCs w:val="7"/>
                <w:color w:val="auto"/>
              </w:rPr>
            </w:pPr>
          </w:p>
        </w:tc>
        <w:tc>
          <w:tcPr>
            <w:tcW w:w="3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980" w:right="5760" w:hanging="317"/>
        <w:spacing w:after="0" w:line="246" w:lineRule="auto"/>
        <w:tabs>
          <w:tab w:leader="none" w:pos="980" w:val="left"/>
        </w:tabs>
        <w:numPr>
          <w:ilvl w:val="0"/>
          <w:numId w:val="76"/>
        </w:numPr>
        <w:rPr>
          <w:rFonts w:ascii="Arial" w:cs="Arial" w:eastAsia="Arial" w:hAnsi="Arial"/>
          <w:sz w:val="18"/>
          <w:szCs w:val="18"/>
          <w:color w:val="0033A0"/>
        </w:rPr>
      </w:pPr>
      <w:r>
        <w:rPr>
          <w:rFonts w:ascii="Arial" w:cs="Arial" w:eastAsia="Arial" w:hAnsi="Arial"/>
          <w:sz w:val="18"/>
          <w:szCs w:val="18"/>
          <w:color w:val="auto"/>
        </w:rPr>
        <w:t>88% of the Company’s employees are located outside of the U.S.</w:t>
      </w:r>
    </w:p>
    <w:p>
      <w:pPr>
        <w:spacing w:after="0" w:line="265" w:lineRule="exact"/>
        <w:rPr>
          <w:sz w:val="20"/>
          <w:szCs w:val="20"/>
          <w:color w:val="auto"/>
        </w:rPr>
      </w:pPr>
    </w:p>
    <w:tbl>
      <w:tblPr>
        <w:tblLayout w:type="fixed"/>
        <w:tblInd w:w="8820" w:type="dxa"/>
        <w:tblCellMar>
          <w:top w:w="0" w:type="dxa"/>
          <w:left w:w="0" w:type="dxa"/>
          <w:bottom w:w="0" w:type="dxa"/>
          <w:right w:w="0" w:type="dxa"/>
        </w:tblCellMar>
      </w:tblPr>
      <w:tr>
        <w:trPr>
          <w:trHeight w:val="297"/>
        </w:trPr>
        <w:tc>
          <w:tcPr>
            <w:tcW w:w="1900" w:type="dxa"/>
            <w:vAlign w:val="bottom"/>
            <w:tcBorders>
              <w:right w:val="single" w:sz="8" w:color="0033A0"/>
            </w:tcBorders>
          </w:tcPr>
          <w:p>
            <w:pPr>
              <w:spacing w:after="0"/>
              <w:rPr>
                <w:sz w:val="20"/>
                <w:szCs w:val="20"/>
                <w:color w:val="auto"/>
              </w:rPr>
            </w:pPr>
            <w:r>
              <w:rPr>
                <w:rFonts w:ascii="Arial" w:cs="Arial" w:eastAsia="Arial" w:hAnsi="Arial"/>
                <w:sz w:val="18"/>
                <w:szCs w:val="18"/>
                <w:i w:val="1"/>
                <w:iCs w:val="1"/>
                <w:color w:val="auto"/>
              </w:rPr>
              <w:t>2019 Proxy Statement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-170815</wp:posOffset>
            </wp:positionV>
            <wp:extent cx="720090" cy="12890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0090" cy="12890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type w:val="continuous"/>
        </w:sectPr>
      </w:pPr>
    </w:p>
    <w:bookmarkStart w:id="70" w:name="page71"/>
    <w:bookmarkEnd w:id="7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0033A0"/>
        </w:rPr>
        <w:t>The Brink’s Company</w:t>
      </w:r>
    </w:p>
    <w:p>
      <w:pPr>
        <w:spacing w:after="0" w:line="215" w:lineRule="exact"/>
        <w:rPr>
          <w:sz w:val="20"/>
          <w:szCs w:val="20"/>
          <w:color w:val="auto"/>
        </w:rPr>
      </w:pPr>
    </w:p>
    <w:p>
      <w:pPr>
        <w:ind w:left="220"/>
        <w:spacing w:after="0" w:line="236" w:lineRule="auto"/>
        <w:rPr>
          <w:sz w:val="20"/>
          <w:szCs w:val="20"/>
          <w:color w:val="auto"/>
        </w:rPr>
      </w:pPr>
      <w:r>
        <w:rPr>
          <w:rFonts w:ascii="Arial" w:cs="Arial" w:eastAsia="Arial" w:hAnsi="Arial"/>
          <w:sz w:val="18"/>
          <w:szCs w:val="18"/>
          <w:color w:val="auto"/>
        </w:rPr>
        <w:t>Given that 88% of the Company’s employees are located outside of the U.S., mostly in lower wage geographies, and that a vast majority of the positions are hourly direct labor, many of whom are temporary or seasonal employees, whose compensation is not annualized per the SEC rules, the compensation of our median global employee (who is employed outside of the U.S.) is significantly lower than our U.S. employee base, which leads to a higher global chief executive officer pay ratio.</w:t>
      </w:r>
    </w:p>
    <w:p>
      <w:pPr>
        <w:spacing w:after="0" w:line="100" w:lineRule="exact"/>
        <w:rPr>
          <w:sz w:val="20"/>
          <w:szCs w:val="20"/>
          <w:color w:val="auto"/>
        </w:rPr>
      </w:pPr>
    </w:p>
    <w:p>
      <w:pPr>
        <w:ind w:left="220"/>
        <w:spacing w:after="0" w:line="238" w:lineRule="auto"/>
        <w:rPr>
          <w:sz w:val="20"/>
          <w:szCs w:val="20"/>
          <w:color w:val="auto"/>
        </w:rPr>
      </w:pPr>
      <w:r>
        <w:rPr>
          <w:rFonts w:ascii="Arial" w:cs="Arial" w:eastAsia="Arial" w:hAnsi="Arial"/>
          <w:sz w:val="18"/>
          <w:szCs w:val="18"/>
          <w:color w:val="auto"/>
        </w:rPr>
        <w:t>In light of the significant percentage of employees located outside of the U.S., we also conducted a review of the 2017 taxable wages employees in the U.S. We included all employees, whether employed on a full-time, part-time, or seasonal basis. 2017 taxable wages were annualized for any employees</w:t>
      </w:r>
    </w:p>
    <w:p>
      <w:pPr>
        <w:spacing w:after="0" w:line="285" w:lineRule="exact"/>
        <w:rPr>
          <w:sz w:val="20"/>
          <w:szCs w:val="20"/>
          <w:color w:val="auto"/>
        </w:rPr>
      </w:pPr>
    </w:p>
    <w:tbl>
      <w:tblPr>
        <w:tblLayout w:type="fixed"/>
        <w:tblInd w:w="200" w:type="dxa"/>
        <w:tblCellMar>
          <w:top w:w="0" w:type="dxa"/>
          <w:left w:w="0" w:type="dxa"/>
          <w:bottom w:w="0" w:type="dxa"/>
          <w:right w:w="0" w:type="dxa"/>
        </w:tblCellMar>
      </w:tblPr>
      <w:tr>
        <w:trPr>
          <w:trHeight w:val="297"/>
        </w:trPr>
        <w:tc>
          <w:tcPr>
            <w:tcW w:w="360" w:type="dxa"/>
            <w:vAlign w:val="bottom"/>
            <w:tcBorders>
              <w:right w:val="single" w:sz="8" w:color="0033A0"/>
            </w:tcBorders>
          </w:tcPr>
          <w:p>
            <w:pPr>
              <w:jc w:val="right"/>
              <w:ind w:right="70"/>
              <w:spacing w:after="0"/>
              <w:rPr>
                <w:sz w:val="20"/>
                <w:szCs w:val="20"/>
                <w:color w:val="auto"/>
              </w:rPr>
            </w:pPr>
            <w:r>
              <w:rPr>
                <w:rFonts w:ascii="Arial" w:cs="Arial" w:eastAsia="Arial" w:hAnsi="Arial"/>
                <w:sz w:val="18"/>
                <w:szCs w:val="18"/>
                <w:b w:val="1"/>
                <w:bCs w:val="1"/>
                <w:color w:val="auto"/>
                <w:w w:val="89"/>
              </w:rPr>
              <w:t>66</w:t>
            </w:r>
          </w:p>
        </w:tc>
        <w:tc>
          <w:tcPr>
            <w:tcW w:w="3380" w:type="dxa"/>
            <w:vAlign w:val="bottom"/>
          </w:tcPr>
          <w:p>
            <w:pPr>
              <w:ind w:left="1600"/>
              <w:spacing w:after="0"/>
              <w:rPr>
                <w:sz w:val="20"/>
                <w:szCs w:val="20"/>
                <w:color w:val="auto"/>
              </w:rPr>
            </w:pPr>
            <w:r>
              <w:rPr>
                <w:rFonts w:ascii="Arial" w:cs="Arial" w:eastAsia="Arial" w:hAnsi="Arial"/>
                <w:sz w:val="18"/>
                <w:szCs w:val="18"/>
                <w:i w:val="1"/>
                <w:iCs w:val="1"/>
                <w:color w:val="auto"/>
                <w:w w:val="98"/>
              </w:rPr>
              <w:t>2019 Proxy Statement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-170815</wp:posOffset>
            </wp:positionV>
            <wp:extent cx="720090" cy="12890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009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who joined the Company after January 1, 2017. We then identified the median total compensation among the list of taxable wages for these 7,042 employees. The 2017 median U.S. employee’s total annual compensation for 2018 was $40,212 and the ratio of the chief executive officer to the median U.S. employee’s total annual compensation was 258:1.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-1583690</wp:posOffset>
            </wp:positionV>
            <wp:extent cx="72891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7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pay ratios included in this information are reasonable estimates, calculated in a manner consistent with Item 402(u) of Regulation S-K. Given the different methodologies that various public companies will use to determine an estimate of their ratio, the estimated CEO pay ratio information provided herein should not be used as a basis for comparison between companies.</w:t>
      </w:r>
    </w:p>
    <w:p>
      <w:pPr>
        <w:sectPr>
          <w:pgSz w:w="11900" w:h="16838" w:orient="portrait"/>
          <w:cols w:equalWidth="0" w:num="2">
            <w:col w:w="5460" w:space="360"/>
            <w:col w:w="5380"/>
          </w:cols>
          <w:pgMar w:left="240" w:top="459"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0033A0"/>
        </w:rPr>
        <w:t>The Brink’s Company</w:t>
      </w:r>
    </w:p>
    <w:p>
      <w:pPr>
        <w:spacing w:after="0" w:line="161" w:lineRule="exact"/>
        <w:rPr>
          <w:sz w:val="20"/>
          <w:szCs w:val="20"/>
          <w:color w:val="auto"/>
        </w:rPr>
      </w:pPr>
    </w:p>
    <w:p>
      <w:pPr>
        <w:ind w:left="200"/>
        <w:spacing w:after="0"/>
        <w:rPr>
          <w:sz w:val="20"/>
          <w:szCs w:val="20"/>
          <w:color w:val="auto"/>
        </w:rPr>
      </w:pPr>
      <w:r>
        <w:rPr>
          <w:rFonts w:ascii="Arial" w:cs="Arial" w:eastAsia="Arial" w:hAnsi="Arial"/>
          <w:sz w:val="43"/>
          <w:szCs w:val="43"/>
          <w:color w:val="0033A0"/>
        </w:rPr>
        <w:t>DIRECTOR COMPENSATION</w:t>
      </w:r>
    </w:p>
    <w:p>
      <w:pPr>
        <w:spacing w:after="0" w:line="22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describes the key components of compensation for the non-employee directors as of December 31, 2018.</w:t>
      </w:r>
    </w:p>
    <w:p>
      <w:pPr>
        <w:spacing w:after="0" w:line="226" w:lineRule="exact"/>
        <w:rPr>
          <w:sz w:val="20"/>
          <w:szCs w:val="20"/>
          <w:color w:val="auto"/>
        </w:rPr>
      </w:pPr>
    </w:p>
    <w:tbl>
      <w:tblPr>
        <w:tblLayout w:type="fixed"/>
        <w:tblInd w:w="220" w:type="dxa"/>
        <w:tblCellMar>
          <w:top w:w="0" w:type="dxa"/>
          <w:left w:w="0" w:type="dxa"/>
          <w:bottom w:w="0" w:type="dxa"/>
          <w:right w:w="0" w:type="dxa"/>
        </w:tblCellMar>
      </w:tblPr>
      <w:tr>
        <w:trPr>
          <w:trHeight w:val="175"/>
        </w:trPr>
        <w:tc>
          <w:tcPr>
            <w:tcW w:w="40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Compensation Element</w:t>
            </w:r>
          </w:p>
        </w:tc>
        <w:tc>
          <w:tcPr>
            <w:tcW w:w="178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2018 Value</w:t>
            </w:r>
          </w:p>
        </w:tc>
        <w:tc>
          <w:tcPr>
            <w:tcW w:w="5180" w:type="dxa"/>
            <w:vAlign w:val="bottom"/>
            <w:tcBorders>
              <w:bottom w:val="single" w:sz="8" w:color="auto"/>
            </w:tcBorders>
          </w:tcPr>
          <w:p>
            <w:pPr>
              <w:ind w:left="1860"/>
              <w:spacing w:after="0"/>
              <w:rPr>
                <w:sz w:val="20"/>
                <w:szCs w:val="20"/>
                <w:color w:val="auto"/>
              </w:rPr>
            </w:pPr>
            <w:r>
              <w:rPr>
                <w:rFonts w:ascii="Arial" w:cs="Arial" w:eastAsia="Arial" w:hAnsi="Arial"/>
                <w:sz w:val="14"/>
                <w:szCs w:val="14"/>
                <w:b w:val="1"/>
                <w:bCs w:val="1"/>
                <w:color w:val="auto"/>
              </w:rPr>
              <w:t>Additional Information</w:t>
            </w:r>
          </w:p>
        </w:tc>
      </w:tr>
      <w:tr>
        <w:trPr>
          <w:trHeight w:val="21"/>
        </w:trPr>
        <w:tc>
          <w:tcPr>
            <w:tcW w:w="17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r>
      <w:tr>
        <w:trPr>
          <w:trHeight w:val="239"/>
        </w:trPr>
        <w:tc>
          <w:tcPr>
            <w:tcW w:w="4060" w:type="dxa"/>
            <w:vAlign w:val="bottom"/>
            <w:gridSpan w:val="2"/>
            <w:shd w:val="clear" w:color="auto" w:fill="0033A0"/>
          </w:tcPr>
          <w:p>
            <w:pPr>
              <w:ind w:left="60"/>
              <w:spacing w:after="0"/>
              <w:rPr>
                <w:sz w:val="20"/>
                <w:szCs w:val="20"/>
                <w:color w:val="auto"/>
              </w:rPr>
            </w:pPr>
            <w:r>
              <w:rPr>
                <w:rFonts w:ascii="Arial" w:cs="Arial" w:eastAsia="Arial" w:hAnsi="Arial"/>
                <w:sz w:val="18"/>
                <w:szCs w:val="18"/>
                <w:b w:val="1"/>
                <w:bCs w:val="1"/>
                <w:color w:val="FFFFFF"/>
              </w:rPr>
              <w:t>Annual Retainer</w:t>
            </w:r>
          </w:p>
        </w:tc>
        <w:tc>
          <w:tcPr>
            <w:tcW w:w="1780" w:type="dxa"/>
            <w:vAlign w:val="bottom"/>
            <w:shd w:val="clear" w:color="auto" w:fill="E5EAF5"/>
          </w:tcPr>
          <w:p>
            <w:pPr>
              <w:ind w:left="140"/>
              <w:spacing w:after="0"/>
              <w:rPr>
                <w:sz w:val="20"/>
                <w:szCs w:val="20"/>
                <w:color w:val="auto"/>
              </w:rPr>
            </w:pPr>
            <w:r>
              <w:rPr>
                <w:rFonts w:ascii="Arial" w:cs="Arial" w:eastAsia="Arial" w:hAnsi="Arial"/>
                <w:sz w:val="18"/>
                <w:szCs w:val="18"/>
                <w:color w:val="auto"/>
              </w:rPr>
              <w:t>$80,000</w:t>
            </w:r>
          </w:p>
        </w:tc>
        <w:tc>
          <w:tcPr>
            <w:tcW w:w="5180" w:type="dxa"/>
            <w:vAlign w:val="bottom"/>
            <w:shd w:val="clear" w:color="auto" w:fill="E5EAF5"/>
          </w:tcPr>
          <w:p>
            <w:pPr>
              <w:ind w:left="100"/>
              <w:spacing w:after="0"/>
              <w:rPr>
                <w:sz w:val="20"/>
                <w:szCs w:val="20"/>
                <w:color w:val="auto"/>
              </w:rPr>
            </w:pPr>
            <w:r>
              <w:rPr>
                <w:rFonts w:ascii="Arial" w:cs="Arial" w:eastAsia="Arial" w:hAnsi="Arial"/>
                <w:sz w:val="18"/>
                <w:szCs w:val="18"/>
                <w:color w:val="auto"/>
              </w:rPr>
              <w:t>Paid in cash.</w:t>
            </w:r>
          </w:p>
        </w:tc>
      </w:tr>
      <w:tr>
        <w:trPr>
          <w:trHeight w:val="260"/>
        </w:trPr>
        <w:tc>
          <w:tcPr>
            <w:tcW w:w="4060" w:type="dxa"/>
            <w:vAlign w:val="bottom"/>
            <w:gridSpan w:val="2"/>
            <w:shd w:val="clear" w:color="auto" w:fill="0033A0"/>
          </w:tcPr>
          <w:p>
            <w:pPr>
              <w:ind w:left="60"/>
              <w:spacing w:after="0"/>
              <w:rPr>
                <w:sz w:val="20"/>
                <w:szCs w:val="20"/>
                <w:color w:val="auto"/>
              </w:rPr>
            </w:pPr>
            <w:r>
              <w:rPr>
                <w:rFonts w:ascii="Arial" w:cs="Arial" w:eastAsia="Arial" w:hAnsi="Arial"/>
                <w:sz w:val="18"/>
                <w:szCs w:val="18"/>
                <w:b w:val="1"/>
                <w:bCs w:val="1"/>
                <w:color w:val="FFFFFF"/>
              </w:rPr>
              <w:t>Deferred Stock Units (“DSUs”)*</w:t>
            </w:r>
          </w:p>
        </w:tc>
        <w:tc>
          <w:tcPr>
            <w:tcW w:w="1780" w:type="dxa"/>
            <w:vAlign w:val="bottom"/>
            <w:shd w:val="clear" w:color="auto" w:fill="E5EAF5"/>
          </w:tcPr>
          <w:p>
            <w:pPr>
              <w:ind w:left="140"/>
              <w:spacing w:after="0"/>
              <w:rPr>
                <w:sz w:val="20"/>
                <w:szCs w:val="20"/>
                <w:color w:val="auto"/>
              </w:rPr>
            </w:pPr>
            <w:r>
              <w:rPr>
                <w:rFonts w:ascii="Arial" w:cs="Arial" w:eastAsia="Arial" w:hAnsi="Arial"/>
                <w:sz w:val="18"/>
                <w:szCs w:val="18"/>
                <w:color w:val="auto"/>
              </w:rPr>
              <w:t>$125,000</w:t>
            </w:r>
          </w:p>
        </w:tc>
        <w:tc>
          <w:tcPr>
            <w:tcW w:w="5180" w:type="dxa"/>
            <w:vAlign w:val="bottom"/>
            <w:shd w:val="clear" w:color="auto" w:fill="E5EAF5"/>
          </w:tcPr>
          <w:p>
            <w:pPr>
              <w:ind w:left="100"/>
              <w:spacing w:after="0"/>
              <w:rPr>
                <w:sz w:val="20"/>
                <w:szCs w:val="20"/>
                <w:color w:val="auto"/>
              </w:rPr>
            </w:pPr>
            <w:r>
              <w:rPr>
                <w:rFonts w:ascii="Arial" w:cs="Arial" w:eastAsia="Arial" w:hAnsi="Arial"/>
                <w:sz w:val="18"/>
                <w:szCs w:val="18"/>
                <w:color w:val="auto"/>
              </w:rPr>
              <w:t>Annual grant of DSUs approved by the Board. DSUs vest on</w:t>
            </w:r>
          </w:p>
        </w:tc>
      </w:tr>
      <w:tr>
        <w:trPr>
          <w:trHeight w:val="203"/>
        </w:trPr>
        <w:tc>
          <w:tcPr>
            <w:tcW w:w="1740" w:type="dxa"/>
            <w:vAlign w:val="bottom"/>
            <w:shd w:val="clear" w:color="auto" w:fill="0033A0"/>
          </w:tcPr>
          <w:p>
            <w:pPr>
              <w:spacing w:after="0"/>
              <w:rPr>
                <w:sz w:val="17"/>
                <w:szCs w:val="17"/>
                <w:color w:val="auto"/>
              </w:rPr>
            </w:pPr>
          </w:p>
        </w:tc>
        <w:tc>
          <w:tcPr>
            <w:tcW w:w="2320" w:type="dxa"/>
            <w:vAlign w:val="bottom"/>
            <w:shd w:val="clear" w:color="auto" w:fill="0033A0"/>
          </w:tcPr>
          <w:p>
            <w:pPr>
              <w:spacing w:after="0"/>
              <w:rPr>
                <w:sz w:val="17"/>
                <w:szCs w:val="17"/>
                <w:color w:val="auto"/>
              </w:rPr>
            </w:pPr>
          </w:p>
        </w:tc>
        <w:tc>
          <w:tcPr>
            <w:tcW w:w="1780" w:type="dxa"/>
            <w:vAlign w:val="bottom"/>
            <w:shd w:val="clear" w:color="auto" w:fill="E5EAF5"/>
          </w:tcPr>
          <w:p>
            <w:pPr>
              <w:spacing w:after="0"/>
              <w:rPr>
                <w:sz w:val="17"/>
                <w:szCs w:val="17"/>
                <w:color w:val="auto"/>
              </w:rPr>
            </w:pPr>
          </w:p>
        </w:tc>
        <w:tc>
          <w:tcPr>
            <w:tcW w:w="5180" w:type="dxa"/>
            <w:vAlign w:val="bottom"/>
            <w:shd w:val="clear" w:color="auto" w:fill="E5EAF5"/>
          </w:tcPr>
          <w:p>
            <w:pPr>
              <w:ind w:left="100"/>
              <w:spacing w:after="0" w:line="202" w:lineRule="exact"/>
              <w:rPr>
                <w:sz w:val="20"/>
                <w:szCs w:val="20"/>
                <w:color w:val="auto"/>
              </w:rPr>
            </w:pPr>
            <w:r>
              <w:rPr>
                <w:rFonts w:ascii="Arial" w:cs="Arial" w:eastAsia="Arial" w:hAnsi="Arial"/>
                <w:sz w:val="18"/>
                <w:szCs w:val="18"/>
                <w:color w:val="auto"/>
              </w:rPr>
              <w:t>the first anniversary of the grant date and, in general, will be</w:t>
            </w:r>
          </w:p>
        </w:tc>
      </w:tr>
      <w:tr>
        <w:trPr>
          <w:trHeight w:val="203"/>
        </w:trPr>
        <w:tc>
          <w:tcPr>
            <w:tcW w:w="1740" w:type="dxa"/>
            <w:vAlign w:val="bottom"/>
            <w:shd w:val="clear" w:color="auto" w:fill="0033A0"/>
          </w:tcPr>
          <w:p>
            <w:pPr>
              <w:spacing w:after="0"/>
              <w:rPr>
                <w:sz w:val="17"/>
                <w:szCs w:val="17"/>
                <w:color w:val="auto"/>
              </w:rPr>
            </w:pPr>
          </w:p>
        </w:tc>
        <w:tc>
          <w:tcPr>
            <w:tcW w:w="2320" w:type="dxa"/>
            <w:vAlign w:val="bottom"/>
            <w:shd w:val="clear" w:color="auto" w:fill="0033A0"/>
          </w:tcPr>
          <w:p>
            <w:pPr>
              <w:spacing w:after="0"/>
              <w:rPr>
                <w:sz w:val="17"/>
                <w:szCs w:val="17"/>
                <w:color w:val="auto"/>
              </w:rPr>
            </w:pPr>
          </w:p>
        </w:tc>
        <w:tc>
          <w:tcPr>
            <w:tcW w:w="1780" w:type="dxa"/>
            <w:vAlign w:val="bottom"/>
            <w:shd w:val="clear" w:color="auto" w:fill="E5EAF5"/>
          </w:tcPr>
          <w:p>
            <w:pPr>
              <w:spacing w:after="0"/>
              <w:rPr>
                <w:sz w:val="17"/>
                <w:szCs w:val="17"/>
                <w:color w:val="auto"/>
              </w:rPr>
            </w:pPr>
          </w:p>
        </w:tc>
        <w:tc>
          <w:tcPr>
            <w:tcW w:w="5180" w:type="dxa"/>
            <w:vAlign w:val="bottom"/>
            <w:shd w:val="clear" w:color="auto" w:fill="E5EAF5"/>
          </w:tcPr>
          <w:p>
            <w:pPr>
              <w:ind w:left="100"/>
              <w:spacing w:after="0" w:line="202" w:lineRule="exact"/>
              <w:rPr>
                <w:sz w:val="20"/>
                <w:szCs w:val="20"/>
                <w:color w:val="auto"/>
              </w:rPr>
            </w:pPr>
            <w:r>
              <w:rPr>
                <w:rFonts w:ascii="Arial" w:cs="Arial" w:eastAsia="Arial" w:hAnsi="Arial"/>
                <w:sz w:val="18"/>
                <w:szCs w:val="18"/>
                <w:color w:val="auto"/>
              </w:rPr>
              <w:t>forfeited if the director leaves before the DSUs vest. DSUs are</w:t>
            </w:r>
          </w:p>
        </w:tc>
      </w:tr>
      <w:tr>
        <w:trPr>
          <w:trHeight w:val="203"/>
        </w:trPr>
        <w:tc>
          <w:tcPr>
            <w:tcW w:w="1740" w:type="dxa"/>
            <w:vAlign w:val="bottom"/>
            <w:shd w:val="clear" w:color="auto" w:fill="0033A0"/>
          </w:tcPr>
          <w:p>
            <w:pPr>
              <w:spacing w:after="0"/>
              <w:rPr>
                <w:sz w:val="17"/>
                <w:szCs w:val="17"/>
                <w:color w:val="auto"/>
              </w:rPr>
            </w:pPr>
          </w:p>
        </w:tc>
        <w:tc>
          <w:tcPr>
            <w:tcW w:w="2320" w:type="dxa"/>
            <w:vAlign w:val="bottom"/>
            <w:shd w:val="clear" w:color="auto" w:fill="0033A0"/>
          </w:tcPr>
          <w:p>
            <w:pPr>
              <w:spacing w:after="0"/>
              <w:rPr>
                <w:sz w:val="17"/>
                <w:szCs w:val="17"/>
                <w:color w:val="auto"/>
              </w:rPr>
            </w:pPr>
          </w:p>
        </w:tc>
        <w:tc>
          <w:tcPr>
            <w:tcW w:w="1780" w:type="dxa"/>
            <w:vAlign w:val="bottom"/>
            <w:shd w:val="clear" w:color="auto" w:fill="E5EAF5"/>
          </w:tcPr>
          <w:p>
            <w:pPr>
              <w:spacing w:after="0"/>
              <w:rPr>
                <w:sz w:val="17"/>
                <w:szCs w:val="17"/>
                <w:color w:val="auto"/>
              </w:rPr>
            </w:pPr>
          </w:p>
        </w:tc>
        <w:tc>
          <w:tcPr>
            <w:tcW w:w="5180" w:type="dxa"/>
            <w:vAlign w:val="bottom"/>
            <w:shd w:val="clear" w:color="auto" w:fill="E5EAF5"/>
          </w:tcPr>
          <w:p>
            <w:pPr>
              <w:ind w:left="100"/>
              <w:spacing w:after="0" w:line="202" w:lineRule="exact"/>
              <w:rPr>
                <w:sz w:val="20"/>
                <w:szCs w:val="20"/>
                <w:color w:val="auto"/>
              </w:rPr>
            </w:pPr>
            <w:r>
              <w:rPr>
                <w:rFonts w:ascii="Arial" w:cs="Arial" w:eastAsia="Arial" w:hAnsi="Arial"/>
                <w:sz w:val="18"/>
                <w:szCs w:val="18"/>
                <w:color w:val="auto"/>
              </w:rPr>
              <w:t>settled in Brink’s Common Stock on a one-for-one basis on the</w:t>
            </w:r>
          </w:p>
        </w:tc>
      </w:tr>
      <w:tr>
        <w:trPr>
          <w:trHeight w:val="217"/>
        </w:trPr>
        <w:tc>
          <w:tcPr>
            <w:tcW w:w="1740" w:type="dxa"/>
            <w:vAlign w:val="bottom"/>
            <w:shd w:val="clear" w:color="auto" w:fill="0033A0"/>
          </w:tcPr>
          <w:p>
            <w:pPr>
              <w:spacing w:after="0"/>
              <w:rPr>
                <w:sz w:val="18"/>
                <w:szCs w:val="18"/>
                <w:color w:val="auto"/>
              </w:rPr>
            </w:pPr>
          </w:p>
        </w:tc>
        <w:tc>
          <w:tcPr>
            <w:tcW w:w="2320" w:type="dxa"/>
            <w:vAlign w:val="bottom"/>
            <w:shd w:val="clear" w:color="auto" w:fill="0033A0"/>
          </w:tcPr>
          <w:p>
            <w:pPr>
              <w:spacing w:after="0"/>
              <w:rPr>
                <w:sz w:val="18"/>
                <w:szCs w:val="18"/>
                <w:color w:val="auto"/>
              </w:rPr>
            </w:pPr>
          </w:p>
        </w:tc>
        <w:tc>
          <w:tcPr>
            <w:tcW w:w="1780" w:type="dxa"/>
            <w:vAlign w:val="bottom"/>
            <w:shd w:val="clear" w:color="auto" w:fill="E5EAF5"/>
          </w:tcPr>
          <w:p>
            <w:pPr>
              <w:spacing w:after="0"/>
              <w:rPr>
                <w:sz w:val="18"/>
                <w:szCs w:val="18"/>
                <w:color w:val="auto"/>
              </w:rPr>
            </w:pPr>
          </w:p>
        </w:tc>
        <w:tc>
          <w:tcPr>
            <w:tcW w:w="5180" w:type="dxa"/>
            <w:vAlign w:val="bottom"/>
            <w:shd w:val="clear" w:color="auto" w:fill="E5EAF5"/>
          </w:tcPr>
          <w:p>
            <w:pPr>
              <w:ind w:left="100"/>
              <w:spacing w:after="0"/>
              <w:rPr>
                <w:sz w:val="20"/>
                <w:szCs w:val="20"/>
                <w:color w:val="auto"/>
              </w:rPr>
            </w:pPr>
            <w:r>
              <w:rPr>
                <w:rFonts w:ascii="Arial" w:cs="Arial" w:eastAsia="Arial" w:hAnsi="Arial"/>
                <w:sz w:val="18"/>
                <w:szCs w:val="18"/>
                <w:color w:val="auto"/>
              </w:rPr>
              <w:t>first anniversary of the grant date.</w:t>
            </w:r>
          </w:p>
        </w:tc>
      </w:tr>
      <w:tr>
        <w:trPr>
          <w:trHeight w:val="283"/>
        </w:trPr>
        <w:tc>
          <w:tcPr>
            <w:tcW w:w="4060" w:type="dxa"/>
            <w:vAlign w:val="bottom"/>
            <w:gridSpan w:val="2"/>
            <w:shd w:val="clear" w:color="auto" w:fill="0033A0"/>
          </w:tcPr>
          <w:p>
            <w:pPr>
              <w:ind w:left="60"/>
              <w:spacing w:after="0"/>
              <w:rPr>
                <w:sz w:val="20"/>
                <w:szCs w:val="20"/>
                <w:color w:val="auto"/>
              </w:rPr>
            </w:pPr>
            <w:r>
              <w:rPr>
                <w:rFonts w:ascii="Arial" w:cs="Arial" w:eastAsia="Arial" w:hAnsi="Arial"/>
                <w:sz w:val="18"/>
                <w:szCs w:val="18"/>
                <w:b w:val="1"/>
                <w:bCs w:val="1"/>
                <w:color w:val="FFFFFF"/>
              </w:rPr>
              <w:t>Non-Executive Chairman Fee</w:t>
            </w:r>
          </w:p>
        </w:tc>
        <w:tc>
          <w:tcPr>
            <w:tcW w:w="1780" w:type="dxa"/>
            <w:vAlign w:val="bottom"/>
            <w:shd w:val="clear" w:color="auto" w:fill="E5EAF5"/>
          </w:tcPr>
          <w:p>
            <w:pPr>
              <w:ind w:left="140"/>
              <w:spacing w:after="0"/>
              <w:rPr>
                <w:sz w:val="20"/>
                <w:szCs w:val="20"/>
                <w:color w:val="auto"/>
              </w:rPr>
            </w:pPr>
            <w:r>
              <w:rPr>
                <w:rFonts w:ascii="Arial" w:cs="Arial" w:eastAsia="Arial" w:hAnsi="Arial"/>
                <w:sz w:val="18"/>
                <w:szCs w:val="18"/>
                <w:color w:val="auto"/>
              </w:rPr>
              <w:t>$110,000</w:t>
            </w:r>
          </w:p>
        </w:tc>
        <w:tc>
          <w:tcPr>
            <w:tcW w:w="5180" w:type="dxa"/>
            <w:vAlign w:val="bottom"/>
            <w:shd w:val="clear" w:color="auto" w:fill="E5EAF5"/>
          </w:tcPr>
          <w:p>
            <w:pPr>
              <w:ind w:left="100"/>
              <w:spacing w:after="0"/>
              <w:rPr>
                <w:sz w:val="20"/>
                <w:szCs w:val="20"/>
                <w:color w:val="auto"/>
              </w:rPr>
            </w:pPr>
            <w:r>
              <w:rPr>
                <w:rFonts w:ascii="Arial" w:cs="Arial" w:eastAsia="Arial" w:hAnsi="Arial"/>
                <w:sz w:val="18"/>
                <w:szCs w:val="18"/>
                <w:color w:val="auto"/>
              </w:rPr>
              <w:t>50% paid in cash and 50% paid in Brink’s Common Stock to</w:t>
            </w:r>
          </w:p>
        </w:tc>
      </w:tr>
      <w:tr>
        <w:trPr>
          <w:trHeight w:val="217"/>
        </w:trPr>
        <w:tc>
          <w:tcPr>
            <w:tcW w:w="1740" w:type="dxa"/>
            <w:vAlign w:val="bottom"/>
            <w:shd w:val="clear" w:color="auto" w:fill="0033A0"/>
          </w:tcPr>
          <w:p>
            <w:pPr>
              <w:spacing w:after="0"/>
              <w:rPr>
                <w:sz w:val="18"/>
                <w:szCs w:val="18"/>
                <w:color w:val="auto"/>
              </w:rPr>
            </w:pPr>
          </w:p>
        </w:tc>
        <w:tc>
          <w:tcPr>
            <w:tcW w:w="2320" w:type="dxa"/>
            <w:vAlign w:val="bottom"/>
            <w:shd w:val="clear" w:color="auto" w:fill="0033A0"/>
          </w:tcPr>
          <w:p>
            <w:pPr>
              <w:spacing w:after="0"/>
              <w:rPr>
                <w:sz w:val="18"/>
                <w:szCs w:val="18"/>
                <w:color w:val="auto"/>
              </w:rPr>
            </w:pPr>
          </w:p>
        </w:tc>
        <w:tc>
          <w:tcPr>
            <w:tcW w:w="1780" w:type="dxa"/>
            <w:vAlign w:val="bottom"/>
            <w:shd w:val="clear" w:color="auto" w:fill="E5EAF5"/>
          </w:tcPr>
          <w:p>
            <w:pPr>
              <w:spacing w:after="0"/>
              <w:rPr>
                <w:sz w:val="18"/>
                <w:szCs w:val="18"/>
                <w:color w:val="auto"/>
              </w:rPr>
            </w:pPr>
          </w:p>
        </w:tc>
        <w:tc>
          <w:tcPr>
            <w:tcW w:w="5180" w:type="dxa"/>
            <w:vAlign w:val="bottom"/>
            <w:shd w:val="clear" w:color="auto" w:fill="E5EAF5"/>
          </w:tcPr>
          <w:p>
            <w:pPr>
              <w:ind w:left="100"/>
              <w:spacing w:after="0"/>
              <w:rPr>
                <w:sz w:val="20"/>
                <w:szCs w:val="20"/>
                <w:color w:val="auto"/>
              </w:rPr>
            </w:pPr>
            <w:r>
              <w:rPr>
                <w:rFonts w:ascii="Arial" w:cs="Arial" w:eastAsia="Arial" w:hAnsi="Arial"/>
                <w:sz w:val="18"/>
                <w:szCs w:val="18"/>
                <w:color w:val="auto"/>
              </w:rPr>
              <w:t>the Company’s Non-Executive Chairman.</w:t>
            </w:r>
          </w:p>
        </w:tc>
      </w:tr>
      <w:tr>
        <w:trPr>
          <w:trHeight w:val="297"/>
        </w:trPr>
        <w:tc>
          <w:tcPr>
            <w:tcW w:w="4060" w:type="dxa"/>
            <w:vAlign w:val="bottom"/>
            <w:gridSpan w:val="2"/>
            <w:shd w:val="clear" w:color="auto" w:fill="0033A0"/>
          </w:tcPr>
          <w:p>
            <w:pPr>
              <w:ind w:left="60"/>
              <w:spacing w:after="0"/>
              <w:rPr>
                <w:sz w:val="20"/>
                <w:szCs w:val="20"/>
                <w:color w:val="auto"/>
              </w:rPr>
            </w:pPr>
            <w:r>
              <w:rPr>
                <w:rFonts w:ascii="Arial" w:cs="Arial" w:eastAsia="Arial" w:hAnsi="Arial"/>
                <w:sz w:val="18"/>
                <w:szCs w:val="18"/>
                <w:b w:val="1"/>
                <w:bCs w:val="1"/>
                <w:color w:val="FFFFFF"/>
              </w:rPr>
              <w:t>Committee Chair Retainer*</w:t>
            </w:r>
          </w:p>
        </w:tc>
        <w:tc>
          <w:tcPr>
            <w:tcW w:w="1780" w:type="dxa"/>
            <w:vAlign w:val="bottom"/>
            <w:shd w:val="clear" w:color="auto" w:fill="E5EAF5"/>
          </w:tcPr>
          <w:p>
            <w:pPr>
              <w:ind w:left="140"/>
              <w:spacing w:after="0"/>
              <w:rPr>
                <w:sz w:val="20"/>
                <w:szCs w:val="20"/>
                <w:color w:val="auto"/>
              </w:rPr>
            </w:pPr>
            <w:r>
              <w:rPr>
                <w:rFonts w:ascii="Arial" w:cs="Arial" w:eastAsia="Arial" w:hAnsi="Arial"/>
                <w:sz w:val="18"/>
                <w:szCs w:val="18"/>
                <w:color w:val="auto"/>
              </w:rPr>
              <w:t>$25,000</w:t>
            </w:r>
          </w:p>
        </w:tc>
        <w:tc>
          <w:tcPr>
            <w:tcW w:w="5180" w:type="dxa"/>
            <w:vAlign w:val="bottom"/>
            <w:shd w:val="clear" w:color="auto" w:fill="E5EAF5"/>
          </w:tcPr>
          <w:p>
            <w:pPr>
              <w:ind w:left="100"/>
              <w:spacing w:after="0"/>
              <w:rPr>
                <w:sz w:val="20"/>
                <w:szCs w:val="20"/>
                <w:color w:val="auto"/>
              </w:rPr>
            </w:pPr>
            <w:r>
              <w:rPr>
                <w:rFonts w:ascii="Arial" w:cs="Arial" w:eastAsia="Arial" w:hAnsi="Arial"/>
                <w:sz w:val="18"/>
                <w:szCs w:val="18"/>
                <w:color w:val="auto"/>
              </w:rPr>
              <w:t>Paid in cash to the Chair of the Audit Committee.</w:t>
            </w:r>
          </w:p>
        </w:tc>
      </w:tr>
      <w:tr>
        <w:trPr>
          <w:trHeight w:val="297"/>
        </w:trPr>
        <w:tc>
          <w:tcPr>
            <w:tcW w:w="1740" w:type="dxa"/>
            <w:vAlign w:val="bottom"/>
            <w:shd w:val="clear" w:color="auto" w:fill="0033A0"/>
          </w:tcPr>
          <w:p>
            <w:pPr>
              <w:spacing w:after="0"/>
              <w:rPr>
                <w:sz w:val="24"/>
                <w:szCs w:val="24"/>
                <w:color w:val="auto"/>
              </w:rPr>
            </w:pPr>
          </w:p>
        </w:tc>
        <w:tc>
          <w:tcPr>
            <w:tcW w:w="2320" w:type="dxa"/>
            <w:vAlign w:val="bottom"/>
            <w:shd w:val="clear" w:color="auto" w:fill="0033A0"/>
          </w:tcPr>
          <w:p>
            <w:pPr>
              <w:spacing w:after="0"/>
              <w:rPr>
                <w:sz w:val="24"/>
                <w:szCs w:val="24"/>
                <w:color w:val="auto"/>
              </w:rPr>
            </w:pPr>
          </w:p>
        </w:tc>
        <w:tc>
          <w:tcPr>
            <w:tcW w:w="1780" w:type="dxa"/>
            <w:vAlign w:val="bottom"/>
            <w:shd w:val="clear" w:color="auto" w:fill="E5EAF5"/>
          </w:tcPr>
          <w:p>
            <w:pPr>
              <w:ind w:left="140"/>
              <w:spacing w:after="0"/>
              <w:rPr>
                <w:sz w:val="20"/>
                <w:szCs w:val="20"/>
                <w:color w:val="auto"/>
              </w:rPr>
            </w:pPr>
            <w:r>
              <w:rPr>
                <w:rFonts w:ascii="Arial" w:cs="Arial" w:eastAsia="Arial" w:hAnsi="Arial"/>
                <w:sz w:val="18"/>
                <w:szCs w:val="18"/>
                <w:color w:val="auto"/>
              </w:rPr>
              <w:t>$20,000</w:t>
            </w:r>
          </w:p>
        </w:tc>
        <w:tc>
          <w:tcPr>
            <w:tcW w:w="5180" w:type="dxa"/>
            <w:vAlign w:val="bottom"/>
            <w:shd w:val="clear" w:color="auto" w:fill="E5EAF5"/>
          </w:tcPr>
          <w:p>
            <w:pPr>
              <w:ind w:left="100"/>
              <w:spacing w:after="0"/>
              <w:rPr>
                <w:sz w:val="20"/>
                <w:szCs w:val="20"/>
                <w:color w:val="auto"/>
              </w:rPr>
            </w:pPr>
            <w:r>
              <w:rPr>
                <w:rFonts w:ascii="Arial" w:cs="Arial" w:eastAsia="Arial" w:hAnsi="Arial"/>
                <w:sz w:val="18"/>
                <w:szCs w:val="18"/>
                <w:color w:val="auto"/>
              </w:rPr>
              <w:t>Paid in cash to the Chair of the Compensation Committee.</w:t>
            </w:r>
          </w:p>
        </w:tc>
      </w:tr>
      <w:tr>
        <w:trPr>
          <w:trHeight w:val="283"/>
        </w:trPr>
        <w:tc>
          <w:tcPr>
            <w:tcW w:w="1740" w:type="dxa"/>
            <w:vAlign w:val="bottom"/>
            <w:shd w:val="clear" w:color="auto" w:fill="0033A0"/>
          </w:tcPr>
          <w:p>
            <w:pPr>
              <w:spacing w:after="0"/>
              <w:rPr>
                <w:sz w:val="24"/>
                <w:szCs w:val="24"/>
                <w:color w:val="auto"/>
              </w:rPr>
            </w:pPr>
          </w:p>
        </w:tc>
        <w:tc>
          <w:tcPr>
            <w:tcW w:w="2320" w:type="dxa"/>
            <w:vAlign w:val="bottom"/>
            <w:shd w:val="clear" w:color="auto" w:fill="0033A0"/>
          </w:tcPr>
          <w:p>
            <w:pPr>
              <w:spacing w:after="0"/>
              <w:rPr>
                <w:sz w:val="24"/>
                <w:szCs w:val="24"/>
                <w:color w:val="auto"/>
              </w:rPr>
            </w:pPr>
          </w:p>
        </w:tc>
        <w:tc>
          <w:tcPr>
            <w:tcW w:w="1780" w:type="dxa"/>
            <w:vAlign w:val="bottom"/>
            <w:shd w:val="clear" w:color="auto" w:fill="E5EAF5"/>
          </w:tcPr>
          <w:p>
            <w:pPr>
              <w:ind w:left="140"/>
              <w:spacing w:after="0"/>
              <w:rPr>
                <w:sz w:val="20"/>
                <w:szCs w:val="20"/>
                <w:color w:val="auto"/>
              </w:rPr>
            </w:pPr>
            <w:r>
              <w:rPr>
                <w:rFonts w:ascii="Arial" w:cs="Arial" w:eastAsia="Arial" w:hAnsi="Arial"/>
                <w:sz w:val="18"/>
                <w:szCs w:val="18"/>
                <w:color w:val="auto"/>
              </w:rPr>
              <w:t>$15,000</w:t>
            </w:r>
          </w:p>
        </w:tc>
        <w:tc>
          <w:tcPr>
            <w:tcW w:w="5180" w:type="dxa"/>
            <w:vAlign w:val="bottom"/>
            <w:shd w:val="clear" w:color="auto" w:fill="E5EAF5"/>
          </w:tcPr>
          <w:p>
            <w:pPr>
              <w:ind w:left="100"/>
              <w:spacing w:after="0"/>
              <w:rPr>
                <w:sz w:val="20"/>
                <w:szCs w:val="20"/>
                <w:color w:val="auto"/>
              </w:rPr>
            </w:pPr>
            <w:r>
              <w:rPr>
                <w:rFonts w:ascii="Arial" w:cs="Arial" w:eastAsia="Arial" w:hAnsi="Arial"/>
                <w:sz w:val="18"/>
                <w:szCs w:val="18"/>
                <w:color w:val="auto"/>
              </w:rPr>
              <w:t>Paid in cash to the Chairs of the Corporate Governance and</w:t>
            </w:r>
          </w:p>
        </w:tc>
      </w:tr>
      <w:tr>
        <w:trPr>
          <w:trHeight w:val="217"/>
        </w:trPr>
        <w:tc>
          <w:tcPr>
            <w:tcW w:w="1740" w:type="dxa"/>
            <w:vAlign w:val="bottom"/>
            <w:shd w:val="clear" w:color="auto" w:fill="0033A0"/>
          </w:tcPr>
          <w:p>
            <w:pPr>
              <w:spacing w:after="0"/>
              <w:rPr>
                <w:sz w:val="18"/>
                <w:szCs w:val="18"/>
                <w:color w:val="auto"/>
              </w:rPr>
            </w:pPr>
          </w:p>
        </w:tc>
        <w:tc>
          <w:tcPr>
            <w:tcW w:w="2320" w:type="dxa"/>
            <w:vAlign w:val="bottom"/>
            <w:shd w:val="clear" w:color="auto" w:fill="0033A0"/>
          </w:tcPr>
          <w:p>
            <w:pPr>
              <w:spacing w:after="0"/>
              <w:rPr>
                <w:sz w:val="18"/>
                <w:szCs w:val="18"/>
                <w:color w:val="auto"/>
              </w:rPr>
            </w:pPr>
          </w:p>
        </w:tc>
        <w:tc>
          <w:tcPr>
            <w:tcW w:w="1780" w:type="dxa"/>
            <w:vAlign w:val="bottom"/>
            <w:shd w:val="clear" w:color="auto" w:fill="E5EAF5"/>
          </w:tcPr>
          <w:p>
            <w:pPr>
              <w:spacing w:after="0"/>
              <w:rPr>
                <w:sz w:val="18"/>
                <w:szCs w:val="18"/>
                <w:color w:val="auto"/>
              </w:rPr>
            </w:pPr>
          </w:p>
        </w:tc>
        <w:tc>
          <w:tcPr>
            <w:tcW w:w="5180" w:type="dxa"/>
            <w:vAlign w:val="bottom"/>
            <w:shd w:val="clear" w:color="auto" w:fill="E5EAF5"/>
          </w:tcPr>
          <w:p>
            <w:pPr>
              <w:ind w:left="100"/>
              <w:spacing w:after="0"/>
              <w:rPr>
                <w:sz w:val="20"/>
                <w:szCs w:val="20"/>
                <w:color w:val="auto"/>
              </w:rPr>
            </w:pPr>
            <w:r>
              <w:rPr>
                <w:rFonts w:ascii="Arial" w:cs="Arial" w:eastAsia="Arial" w:hAnsi="Arial"/>
                <w:sz w:val="18"/>
                <w:szCs w:val="18"/>
                <w:color w:val="auto"/>
              </w:rPr>
              <w:t>Finance Committees.</w:t>
            </w:r>
          </w:p>
        </w:tc>
      </w:tr>
      <w:tr>
        <w:trPr>
          <w:trHeight w:val="283"/>
        </w:trPr>
        <w:tc>
          <w:tcPr>
            <w:tcW w:w="4060" w:type="dxa"/>
            <w:vAlign w:val="bottom"/>
            <w:gridSpan w:val="2"/>
            <w:shd w:val="clear" w:color="auto" w:fill="0033A0"/>
          </w:tcPr>
          <w:p>
            <w:pPr>
              <w:ind w:left="60"/>
              <w:spacing w:after="0"/>
              <w:rPr>
                <w:sz w:val="20"/>
                <w:szCs w:val="20"/>
                <w:color w:val="auto"/>
              </w:rPr>
            </w:pPr>
            <w:r>
              <w:rPr>
                <w:rFonts w:ascii="Arial" w:cs="Arial" w:eastAsia="Arial" w:hAnsi="Arial"/>
                <w:sz w:val="18"/>
                <w:szCs w:val="18"/>
                <w:b w:val="1"/>
                <w:bCs w:val="1"/>
                <w:color w:val="FFFFFF"/>
              </w:rPr>
              <w:t>Non-Chair Committee Retainer*</w:t>
            </w:r>
          </w:p>
        </w:tc>
        <w:tc>
          <w:tcPr>
            <w:tcW w:w="1780" w:type="dxa"/>
            <w:vAlign w:val="bottom"/>
            <w:shd w:val="clear" w:color="auto" w:fill="E5EAF5"/>
          </w:tcPr>
          <w:p>
            <w:pPr>
              <w:ind w:left="140"/>
              <w:spacing w:after="0"/>
              <w:rPr>
                <w:sz w:val="20"/>
                <w:szCs w:val="20"/>
                <w:color w:val="auto"/>
              </w:rPr>
            </w:pPr>
            <w:r>
              <w:rPr>
                <w:rFonts w:ascii="Arial" w:cs="Arial" w:eastAsia="Arial" w:hAnsi="Arial"/>
                <w:sz w:val="18"/>
                <w:szCs w:val="18"/>
                <w:color w:val="auto"/>
              </w:rPr>
              <w:t>$12,500</w:t>
            </w:r>
          </w:p>
        </w:tc>
        <w:tc>
          <w:tcPr>
            <w:tcW w:w="5180" w:type="dxa"/>
            <w:vAlign w:val="bottom"/>
            <w:shd w:val="clear" w:color="auto" w:fill="E5EAF5"/>
          </w:tcPr>
          <w:p>
            <w:pPr>
              <w:ind w:left="100"/>
              <w:spacing w:after="0"/>
              <w:rPr>
                <w:sz w:val="20"/>
                <w:szCs w:val="20"/>
                <w:color w:val="auto"/>
              </w:rPr>
            </w:pPr>
            <w:r>
              <w:rPr>
                <w:rFonts w:ascii="Arial" w:cs="Arial" w:eastAsia="Arial" w:hAnsi="Arial"/>
                <w:sz w:val="18"/>
                <w:szCs w:val="18"/>
                <w:color w:val="auto"/>
              </w:rPr>
              <w:t>Paid in cash to each non-Chair member of the Audit</w:t>
            </w:r>
          </w:p>
        </w:tc>
      </w:tr>
      <w:tr>
        <w:trPr>
          <w:trHeight w:val="217"/>
        </w:trPr>
        <w:tc>
          <w:tcPr>
            <w:tcW w:w="1740" w:type="dxa"/>
            <w:vAlign w:val="bottom"/>
            <w:shd w:val="clear" w:color="auto" w:fill="0033A0"/>
          </w:tcPr>
          <w:p>
            <w:pPr>
              <w:spacing w:after="0"/>
              <w:rPr>
                <w:sz w:val="18"/>
                <w:szCs w:val="18"/>
                <w:color w:val="auto"/>
              </w:rPr>
            </w:pPr>
          </w:p>
        </w:tc>
        <w:tc>
          <w:tcPr>
            <w:tcW w:w="2320" w:type="dxa"/>
            <w:vAlign w:val="bottom"/>
            <w:shd w:val="clear" w:color="auto" w:fill="0033A0"/>
          </w:tcPr>
          <w:p>
            <w:pPr>
              <w:spacing w:after="0"/>
              <w:rPr>
                <w:sz w:val="18"/>
                <w:szCs w:val="18"/>
                <w:color w:val="auto"/>
              </w:rPr>
            </w:pPr>
          </w:p>
        </w:tc>
        <w:tc>
          <w:tcPr>
            <w:tcW w:w="1780" w:type="dxa"/>
            <w:vAlign w:val="bottom"/>
            <w:shd w:val="clear" w:color="auto" w:fill="E5EAF5"/>
          </w:tcPr>
          <w:p>
            <w:pPr>
              <w:spacing w:after="0"/>
              <w:rPr>
                <w:sz w:val="18"/>
                <w:szCs w:val="18"/>
                <w:color w:val="auto"/>
              </w:rPr>
            </w:pPr>
          </w:p>
        </w:tc>
        <w:tc>
          <w:tcPr>
            <w:tcW w:w="5180" w:type="dxa"/>
            <w:vAlign w:val="bottom"/>
            <w:shd w:val="clear" w:color="auto" w:fill="E5EAF5"/>
          </w:tcPr>
          <w:p>
            <w:pPr>
              <w:ind w:left="100"/>
              <w:spacing w:after="0"/>
              <w:rPr>
                <w:sz w:val="20"/>
                <w:szCs w:val="20"/>
                <w:color w:val="auto"/>
              </w:rPr>
            </w:pPr>
            <w:r>
              <w:rPr>
                <w:rFonts w:ascii="Arial" w:cs="Arial" w:eastAsia="Arial" w:hAnsi="Arial"/>
                <w:sz w:val="18"/>
                <w:szCs w:val="18"/>
                <w:color w:val="auto"/>
              </w:rPr>
              <w:t>Committee.</w:t>
            </w:r>
          </w:p>
        </w:tc>
      </w:tr>
      <w:tr>
        <w:trPr>
          <w:trHeight w:val="283"/>
        </w:trPr>
        <w:tc>
          <w:tcPr>
            <w:tcW w:w="1740" w:type="dxa"/>
            <w:vAlign w:val="bottom"/>
            <w:shd w:val="clear" w:color="auto" w:fill="0033A0"/>
          </w:tcPr>
          <w:p>
            <w:pPr>
              <w:spacing w:after="0"/>
              <w:rPr>
                <w:sz w:val="24"/>
                <w:szCs w:val="24"/>
                <w:color w:val="auto"/>
              </w:rPr>
            </w:pPr>
          </w:p>
        </w:tc>
        <w:tc>
          <w:tcPr>
            <w:tcW w:w="2320" w:type="dxa"/>
            <w:vAlign w:val="bottom"/>
            <w:shd w:val="clear" w:color="auto" w:fill="0033A0"/>
          </w:tcPr>
          <w:p>
            <w:pPr>
              <w:spacing w:after="0"/>
              <w:rPr>
                <w:sz w:val="24"/>
                <w:szCs w:val="24"/>
                <w:color w:val="auto"/>
              </w:rPr>
            </w:pPr>
          </w:p>
        </w:tc>
        <w:tc>
          <w:tcPr>
            <w:tcW w:w="1780" w:type="dxa"/>
            <w:vAlign w:val="bottom"/>
            <w:shd w:val="clear" w:color="auto" w:fill="E5EAF5"/>
          </w:tcPr>
          <w:p>
            <w:pPr>
              <w:ind w:left="140"/>
              <w:spacing w:after="0"/>
              <w:rPr>
                <w:sz w:val="20"/>
                <w:szCs w:val="20"/>
                <w:color w:val="auto"/>
              </w:rPr>
            </w:pPr>
            <w:r>
              <w:rPr>
                <w:rFonts w:ascii="Arial" w:cs="Arial" w:eastAsia="Arial" w:hAnsi="Arial"/>
                <w:sz w:val="18"/>
                <w:szCs w:val="18"/>
                <w:color w:val="auto"/>
              </w:rPr>
              <w:t>$10,000</w:t>
            </w:r>
          </w:p>
        </w:tc>
        <w:tc>
          <w:tcPr>
            <w:tcW w:w="5180" w:type="dxa"/>
            <w:vAlign w:val="bottom"/>
            <w:shd w:val="clear" w:color="auto" w:fill="E5EAF5"/>
          </w:tcPr>
          <w:p>
            <w:pPr>
              <w:ind w:left="100"/>
              <w:spacing w:after="0"/>
              <w:rPr>
                <w:sz w:val="20"/>
                <w:szCs w:val="20"/>
                <w:color w:val="auto"/>
              </w:rPr>
            </w:pPr>
            <w:r>
              <w:rPr>
                <w:rFonts w:ascii="Arial" w:cs="Arial" w:eastAsia="Arial" w:hAnsi="Arial"/>
                <w:sz w:val="18"/>
                <w:szCs w:val="18"/>
                <w:color w:val="auto"/>
              </w:rPr>
              <w:t>Paid in cash to each non-Chair member of the Compensation</w:t>
            </w:r>
          </w:p>
        </w:tc>
      </w:tr>
      <w:tr>
        <w:trPr>
          <w:trHeight w:val="217"/>
        </w:trPr>
        <w:tc>
          <w:tcPr>
            <w:tcW w:w="1740" w:type="dxa"/>
            <w:vAlign w:val="bottom"/>
            <w:shd w:val="clear" w:color="auto" w:fill="0033A0"/>
          </w:tcPr>
          <w:p>
            <w:pPr>
              <w:spacing w:after="0"/>
              <w:rPr>
                <w:sz w:val="18"/>
                <w:szCs w:val="18"/>
                <w:color w:val="auto"/>
              </w:rPr>
            </w:pPr>
          </w:p>
        </w:tc>
        <w:tc>
          <w:tcPr>
            <w:tcW w:w="2320" w:type="dxa"/>
            <w:vAlign w:val="bottom"/>
            <w:shd w:val="clear" w:color="auto" w:fill="0033A0"/>
          </w:tcPr>
          <w:p>
            <w:pPr>
              <w:spacing w:after="0"/>
              <w:rPr>
                <w:sz w:val="18"/>
                <w:szCs w:val="18"/>
                <w:color w:val="auto"/>
              </w:rPr>
            </w:pPr>
          </w:p>
        </w:tc>
        <w:tc>
          <w:tcPr>
            <w:tcW w:w="1780" w:type="dxa"/>
            <w:vAlign w:val="bottom"/>
            <w:shd w:val="clear" w:color="auto" w:fill="E5EAF5"/>
          </w:tcPr>
          <w:p>
            <w:pPr>
              <w:spacing w:after="0"/>
              <w:rPr>
                <w:sz w:val="18"/>
                <w:szCs w:val="18"/>
                <w:color w:val="auto"/>
              </w:rPr>
            </w:pPr>
          </w:p>
        </w:tc>
        <w:tc>
          <w:tcPr>
            <w:tcW w:w="5180" w:type="dxa"/>
            <w:vAlign w:val="bottom"/>
            <w:shd w:val="clear" w:color="auto" w:fill="E5EAF5"/>
          </w:tcPr>
          <w:p>
            <w:pPr>
              <w:ind w:left="100"/>
              <w:spacing w:after="0"/>
              <w:rPr>
                <w:sz w:val="20"/>
                <w:szCs w:val="20"/>
                <w:color w:val="auto"/>
              </w:rPr>
            </w:pPr>
            <w:r>
              <w:rPr>
                <w:rFonts w:ascii="Arial" w:cs="Arial" w:eastAsia="Arial" w:hAnsi="Arial"/>
                <w:sz w:val="18"/>
                <w:szCs w:val="18"/>
                <w:color w:val="auto"/>
              </w:rPr>
              <w:t>Committee.</w:t>
            </w:r>
          </w:p>
        </w:tc>
      </w:tr>
      <w:tr>
        <w:trPr>
          <w:trHeight w:val="283"/>
        </w:trPr>
        <w:tc>
          <w:tcPr>
            <w:tcW w:w="1740" w:type="dxa"/>
            <w:vAlign w:val="bottom"/>
            <w:shd w:val="clear" w:color="auto" w:fill="0033A0"/>
          </w:tcPr>
          <w:p>
            <w:pPr>
              <w:spacing w:after="0"/>
              <w:rPr>
                <w:sz w:val="24"/>
                <w:szCs w:val="24"/>
                <w:color w:val="auto"/>
              </w:rPr>
            </w:pPr>
          </w:p>
        </w:tc>
        <w:tc>
          <w:tcPr>
            <w:tcW w:w="2320" w:type="dxa"/>
            <w:vAlign w:val="bottom"/>
            <w:shd w:val="clear" w:color="auto" w:fill="0033A0"/>
          </w:tcPr>
          <w:p>
            <w:pPr>
              <w:spacing w:after="0"/>
              <w:rPr>
                <w:sz w:val="24"/>
                <w:szCs w:val="24"/>
                <w:color w:val="auto"/>
              </w:rPr>
            </w:pPr>
          </w:p>
        </w:tc>
        <w:tc>
          <w:tcPr>
            <w:tcW w:w="1780" w:type="dxa"/>
            <w:vAlign w:val="bottom"/>
            <w:shd w:val="clear" w:color="auto" w:fill="E5EAF5"/>
          </w:tcPr>
          <w:p>
            <w:pPr>
              <w:ind w:left="140"/>
              <w:spacing w:after="0"/>
              <w:rPr>
                <w:sz w:val="20"/>
                <w:szCs w:val="20"/>
                <w:color w:val="auto"/>
              </w:rPr>
            </w:pPr>
            <w:r>
              <w:rPr>
                <w:rFonts w:ascii="Arial" w:cs="Arial" w:eastAsia="Arial" w:hAnsi="Arial"/>
                <w:sz w:val="18"/>
                <w:szCs w:val="18"/>
                <w:color w:val="auto"/>
              </w:rPr>
              <w:t>$7,500</w:t>
            </w:r>
          </w:p>
        </w:tc>
        <w:tc>
          <w:tcPr>
            <w:tcW w:w="5180" w:type="dxa"/>
            <w:vAlign w:val="bottom"/>
            <w:shd w:val="clear" w:color="auto" w:fill="E5EAF5"/>
          </w:tcPr>
          <w:p>
            <w:pPr>
              <w:ind w:left="100"/>
              <w:spacing w:after="0"/>
              <w:rPr>
                <w:sz w:val="20"/>
                <w:szCs w:val="20"/>
                <w:color w:val="auto"/>
              </w:rPr>
            </w:pPr>
            <w:r>
              <w:rPr>
                <w:rFonts w:ascii="Arial" w:cs="Arial" w:eastAsia="Arial" w:hAnsi="Arial"/>
                <w:sz w:val="18"/>
                <w:szCs w:val="18"/>
                <w:color w:val="auto"/>
              </w:rPr>
              <w:t>Paid in cash to each non-Chair member of the Corporate</w:t>
            </w:r>
          </w:p>
        </w:tc>
      </w:tr>
      <w:tr>
        <w:trPr>
          <w:trHeight w:val="217"/>
        </w:trPr>
        <w:tc>
          <w:tcPr>
            <w:tcW w:w="1740" w:type="dxa"/>
            <w:vAlign w:val="bottom"/>
            <w:shd w:val="clear" w:color="auto" w:fill="0033A0"/>
          </w:tcPr>
          <w:p>
            <w:pPr>
              <w:spacing w:after="0"/>
              <w:rPr>
                <w:sz w:val="18"/>
                <w:szCs w:val="18"/>
                <w:color w:val="auto"/>
              </w:rPr>
            </w:pPr>
          </w:p>
        </w:tc>
        <w:tc>
          <w:tcPr>
            <w:tcW w:w="2320" w:type="dxa"/>
            <w:vAlign w:val="bottom"/>
            <w:shd w:val="clear" w:color="auto" w:fill="0033A0"/>
          </w:tcPr>
          <w:p>
            <w:pPr>
              <w:spacing w:after="0"/>
              <w:rPr>
                <w:sz w:val="18"/>
                <w:szCs w:val="18"/>
                <w:color w:val="auto"/>
              </w:rPr>
            </w:pPr>
          </w:p>
        </w:tc>
        <w:tc>
          <w:tcPr>
            <w:tcW w:w="1780" w:type="dxa"/>
            <w:vAlign w:val="bottom"/>
            <w:shd w:val="clear" w:color="auto" w:fill="E5EAF5"/>
          </w:tcPr>
          <w:p>
            <w:pPr>
              <w:spacing w:after="0"/>
              <w:rPr>
                <w:sz w:val="18"/>
                <w:szCs w:val="18"/>
                <w:color w:val="auto"/>
              </w:rPr>
            </w:pPr>
          </w:p>
        </w:tc>
        <w:tc>
          <w:tcPr>
            <w:tcW w:w="5180" w:type="dxa"/>
            <w:vAlign w:val="bottom"/>
            <w:shd w:val="clear" w:color="auto" w:fill="E5EAF5"/>
          </w:tcPr>
          <w:p>
            <w:pPr>
              <w:ind w:left="100"/>
              <w:spacing w:after="0"/>
              <w:rPr>
                <w:sz w:val="20"/>
                <w:szCs w:val="20"/>
                <w:color w:val="auto"/>
              </w:rPr>
            </w:pPr>
            <w:r>
              <w:rPr>
                <w:rFonts w:ascii="Arial" w:cs="Arial" w:eastAsia="Arial" w:hAnsi="Arial"/>
                <w:sz w:val="18"/>
                <w:szCs w:val="18"/>
                <w:color w:val="auto"/>
              </w:rPr>
              <w:t>Governance and Finance Committees.</w:t>
            </w:r>
          </w:p>
        </w:tc>
      </w:tr>
      <w:tr>
        <w:trPr>
          <w:trHeight w:val="122"/>
        </w:trPr>
        <w:tc>
          <w:tcPr>
            <w:tcW w:w="1740" w:type="dxa"/>
            <w:vAlign w:val="bottom"/>
            <w:shd w:val="clear" w:color="auto" w:fill="0033A0"/>
          </w:tcPr>
          <w:p>
            <w:pPr>
              <w:spacing w:after="0"/>
              <w:rPr>
                <w:sz w:val="10"/>
                <w:szCs w:val="10"/>
                <w:color w:val="auto"/>
              </w:rPr>
            </w:pPr>
          </w:p>
        </w:tc>
        <w:tc>
          <w:tcPr>
            <w:tcW w:w="2320" w:type="dxa"/>
            <w:vAlign w:val="bottom"/>
            <w:shd w:val="clear" w:color="auto" w:fill="0033A0"/>
          </w:tcPr>
          <w:p>
            <w:pPr>
              <w:spacing w:after="0"/>
              <w:rPr>
                <w:sz w:val="10"/>
                <w:szCs w:val="10"/>
                <w:color w:val="auto"/>
              </w:rPr>
            </w:pPr>
          </w:p>
        </w:tc>
        <w:tc>
          <w:tcPr>
            <w:tcW w:w="1780" w:type="dxa"/>
            <w:vAlign w:val="bottom"/>
            <w:shd w:val="clear" w:color="auto" w:fill="E5EAF5"/>
          </w:tcPr>
          <w:p>
            <w:pPr>
              <w:spacing w:after="0"/>
              <w:rPr>
                <w:sz w:val="10"/>
                <w:szCs w:val="10"/>
                <w:color w:val="auto"/>
              </w:rPr>
            </w:pPr>
          </w:p>
        </w:tc>
        <w:tc>
          <w:tcPr>
            <w:tcW w:w="5180" w:type="dxa"/>
            <w:vAlign w:val="bottom"/>
            <w:shd w:val="clear" w:color="auto" w:fill="E5EAF5"/>
          </w:tcPr>
          <w:p>
            <w:pPr>
              <w:spacing w:after="0"/>
              <w:rPr>
                <w:sz w:val="10"/>
                <w:szCs w:val="10"/>
                <w:color w:val="auto"/>
              </w:rPr>
            </w:pPr>
          </w:p>
        </w:tc>
      </w:tr>
      <w:tr>
        <w:trPr>
          <w:trHeight w:val="135"/>
        </w:trPr>
        <w:tc>
          <w:tcPr>
            <w:tcW w:w="1740" w:type="dxa"/>
            <w:vAlign w:val="bottom"/>
            <w:tcBorders>
              <w:bottom w:val="single" w:sz="8" w:color="auto"/>
            </w:tcBorders>
          </w:tcPr>
          <w:p>
            <w:pPr>
              <w:spacing w:after="0"/>
              <w:rPr>
                <w:sz w:val="11"/>
                <w:szCs w:val="11"/>
                <w:color w:val="auto"/>
              </w:rPr>
            </w:pPr>
          </w:p>
        </w:tc>
        <w:tc>
          <w:tcPr>
            <w:tcW w:w="23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51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-2974975</wp:posOffset>
            </wp:positionV>
            <wp:extent cx="6997700" cy="288163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997700" cy="2881630"/>
                    </a:xfrm>
                    <a:prstGeom prst="rect">
                      <a:avLst/>
                    </a:prstGeom>
                    <a:noFill/>
                  </pic:spPr>
                </pic:pic>
              </a:graphicData>
            </a:graphic>
          </wp:anchor>
        </w:drawing>
      </w:r>
    </w:p>
    <w:p>
      <w:pPr>
        <w:spacing w:after="0" w:line="25" w:lineRule="exact"/>
        <w:rPr>
          <w:sz w:val="20"/>
          <w:szCs w:val="20"/>
          <w:color w:val="auto"/>
        </w:rPr>
      </w:pPr>
    </w:p>
    <w:p>
      <w:pPr>
        <w:ind w:left="520" w:right="80" w:hanging="316"/>
        <w:spacing w:after="0" w:line="258" w:lineRule="auto"/>
        <w:tabs>
          <w:tab w:leader="none" w:pos="5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The amounts in the table above reflect changes to the director compensation program approved by the Board of Directors in May 2018. In 2018, upon recommendation from the Corporate Governance and Nominating Committee and in consultation with the independent compensation consultant, the Board of Directors approved:</w:t>
      </w:r>
    </w:p>
    <w:p>
      <w:pPr>
        <w:sectPr>
          <w:pgSz w:w="11900" w:h="16838" w:orient="portrait"/>
          <w:cols w:equalWidth="0" w:num="1">
            <w:col w:w="11240"/>
          </w:cols>
          <w:pgMar w:left="240" w:top="459" w:right="419" w:bottom="1440" w:gutter="0" w:footer="0" w:header="0"/>
        </w:sectPr>
      </w:pPr>
    </w:p>
    <w:p>
      <w:pPr>
        <w:spacing w:after="0" w:line="148" w:lineRule="exact"/>
        <w:rPr>
          <w:sz w:val="20"/>
          <w:szCs w:val="20"/>
          <w:color w:val="auto"/>
        </w:rPr>
      </w:pPr>
    </w:p>
    <w:p>
      <w:pPr>
        <w:ind w:left="980" w:right="340" w:hanging="317"/>
        <w:spacing w:after="0" w:line="246" w:lineRule="auto"/>
        <w:tabs>
          <w:tab w:leader="none" w:pos="980" w:val="left"/>
        </w:tabs>
        <w:numPr>
          <w:ilvl w:val="0"/>
          <w:numId w:val="78"/>
        </w:numPr>
        <w:rPr>
          <w:rFonts w:ascii="Arial" w:cs="Arial" w:eastAsia="Arial" w:hAnsi="Arial"/>
          <w:sz w:val="18"/>
          <w:szCs w:val="18"/>
          <w:color w:val="0033A0"/>
        </w:rPr>
      </w:pPr>
      <w:r>
        <w:rPr>
          <w:rFonts w:ascii="Arial" w:cs="Arial" w:eastAsia="Arial" w:hAnsi="Arial"/>
          <w:sz w:val="18"/>
          <w:szCs w:val="18"/>
          <w:color w:val="auto"/>
        </w:rPr>
        <w:t>an increase of $15,000 in the grant date value of the annual DSU award;</w:t>
      </w:r>
    </w:p>
    <w:p>
      <w:pPr>
        <w:spacing w:after="0" w:line="102" w:lineRule="exact"/>
        <w:rPr>
          <w:rFonts w:ascii="Arial" w:cs="Arial" w:eastAsia="Arial" w:hAnsi="Arial"/>
          <w:sz w:val="18"/>
          <w:szCs w:val="18"/>
          <w:color w:val="0033A0"/>
        </w:rPr>
      </w:pPr>
    </w:p>
    <w:p>
      <w:pPr>
        <w:ind w:left="980" w:right="240" w:hanging="317"/>
        <w:spacing w:after="0" w:line="246" w:lineRule="auto"/>
        <w:tabs>
          <w:tab w:leader="none" w:pos="980" w:val="left"/>
        </w:tabs>
        <w:numPr>
          <w:ilvl w:val="0"/>
          <w:numId w:val="78"/>
        </w:numPr>
        <w:rPr>
          <w:rFonts w:ascii="Arial" w:cs="Arial" w:eastAsia="Arial" w:hAnsi="Arial"/>
          <w:sz w:val="18"/>
          <w:szCs w:val="18"/>
          <w:color w:val="0033A0"/>
        </w:rPr>
      </w:pPr>
      <w:r>
        <w:rPr>
          <w:rFonts w:ascii="Arial" w:cs="Arial" w:eastAsia="Arial" w:hAnsi="Arial"/>
          <w:sz w:val="18"/>
          <w:szCs w:val="18"/>
          <w:color w:val="auto"/>
        </w:rPr>
        <w:t>an increase of $5,000 to each of the Committee Chair Retainers;</w:t>
      </w:r>
    </w:p>
    <w:p>
      <w:pPr>
        <w:spacing w:after="0" w:line="102" w:lineRule="exact"/>
        <w:rPr>
          <w:rFonts w:ascii="Arial" w:cs="Arial" w:eastAsia="Arial" w:hAnsi="Arial"/>
          <w:sz w:val="18"/>
          <w:szCs w:val="18"/>
          <w:color w:val="0033A0"/>
        </w:rPr>
      </w:pPr>
    </w:p>
    <w:p>
      <w:pPr>
        <w:ind w:left="980" w:right="840" w:hanging="317"/>
        <w:spacing w:after="0" w:line="246" w:lineRule="auto"/>
        <w:tabs>
          <w:tab w:leader="none" w:pos="980" w:val="left"/>
        </w:tabs>
        <w:numPr>
          <w:ilvl w:val="0"/>
          <w:numId w:val="78"/>
        </w:numPr>
        <w:rPr>
          <w:rFonts w:ascii="Arial" w:cs="Arial" w:eastAsia="Arial" w:hAnsi="Arial"/>
          <w:sz w:val="18"/>
          <w:szCs w:val="18"/>
          <w:color w:val="0033A0"/>
        </w:rPr>
      </w:pPr>
      <w:r>
        <w:rPr>
          <w:rFonts w:ascii="Arial" w:cs="Arial" w:eastAsia="Arial" w:hAnsi="Arial"/>
          <w:sz w:val="18"/>
          <w:szCs w:val="18"/>
          <w:color w:val="auto"/>
        </w:rPr>
        <w:t>an increase of $2,500 to each of the non-chair Committee Retainers; and</w:t>
      </w:r>
    </w:p>
    <w:p>
      <w:pPr>
        <w:spacing w:after="0" w:line="102" w:lineRule="exact"/>
        <w:rPr>
          <w:rFonts w:ascii="Arial" w:cs="Arial" w:eastAsia="Arial" w:hAnsi="Arial"/>
          <w:sz w:val="18"/>
          <w:szCs w:val="18"/>
          <w:color w:val="0033A0"/>
        </w:rPr>
      </w:pPr>
    </w:p>
    <w:p>
      <w:pPr>
        <w:ind w:left="980" w:hanging="317"/>
        <w:spacing w:after="0" w:line="246" w:lineRule="auto"/>
        <w:tabs>
          <w:tab w:leader="none" w:pos="980" w:val="left"/>
        </w:tabs>
        <w:numPr>
          <w:ilvl w:val="0"/>
          <w:numId w:val="78"/>
        </w:numPr>
        <w:rPr>
          <w:rFonts w:ascii="Arial" w:cs="Arial" w:eastAsia="Arial" w:hAnsi="Arial"/>
          <w:sz w:val="18"/>
          <w:szCs w:val="18"/>
          <w:color w:val="0033A0"/>
        </w:rPr>
      </w:pPr>
      <w:r>
        <w:rPr>
          <w:rFonts w:ascii="Arial" w:cs="Arial" w:eastAsia="Arial" w:hAnsi="Arial"/>
          <w:sz w:val="18"/>
          <w:szCs w:val="18"/>
          <w:color w:val="auto"/>
        </w:rPr>
        <w:t>the implementation of a special meeting fee to be paid in the event that the Board or its</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ind w:left="780" w:right="340"/>
        <w:spacing w:after="0" w:line="257" w:lineRule="auto"/>
        <w:rPr>
          <w:sz w:val="20"/>
          <w:szCs w:val="20"/>
          <w:color w:val="auto"/>
        </w:rPr>
      </w:pPr>
      <w:r>
        <w:rPr>
          <w:rFonts w:ascii="Arial" w:cs="Arial" w:eastAsia="Arial" w:hAnsi="Arial"/>
          <w:sz w:val="17"/>
          <w:szCs w:val="17"/>
          <w:color w:val="auto"/>
        </w:rPr>
        <w:t>Committee holds more than five additional meetings (other than those planned for the year for each of the Board or its Committees) in the amount of $1,750 per in-person meeting and $1,500 per telephonic meeting.</w:t>
      </w:r>
    </w:p>
    <w:p>
      <w:pPr>
        <w:spacing w:after="0" w:line="81"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These changes were approved in order to better align the director compensation program with market levels of director compensation.</w:t>
      </w:r>
    </w:p>
    <w:p>
      <w:pPr>
        <w:spacing w:after="0" w:line="861" w:lineRule="exact"/>
        <w:rPr>
          <w:sz w:val="20"/>
          <w:szCs w:val="20"/>
          <w:color w:val="auto"/>
        </w:rPr>
      </w:pPr>
    </w:p>
    <w:p>
      <w:pPr>
        <w:sectPr>
          <w:pgSz w:w="11900" w:h="16838" w:orient="portrait"/>
          <w:cols w:equalWidth="0" w:num="2">
            <w:col w:w="5480" w:space="340"/>
            <w:col w:w="5420"/>
          </w:cols>
          <w:pgMar w:left="240" w:top="459" w:right="419" w:bottom="1440" w:gutter="0" w:footer="0" w:header="0"/>
          <w:type w:val="continuous"/>
        </w:sectPr>
      </w:pPr>
    </w:p>
    <w:p>
      <w:pPr>
        <w:spacing w:after="0" w:line="143"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auto"/>
        </w:rPr>
        <w:t>Director Equity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68580</wp:posOffset>
            </wp:positionV>
            <wp:extent cx="699770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type w:val="continuous"/>
        </w:sectPr>
      </w:pPr>
    </w:p>
    <w:p>
      <w:pPr>
        <w:spacing w:after="0" w:line="323"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Under the terms of the 2017 Equity Incentive Plan (approved by shareholders in May 2017), directors received equity awards, including the annual grant of Deferred Stock Units (“DSUs”). Pursuant to the terms of the plan, the Board may grant non-employee directors equity awards, including options, stock appreciation rights, restricted stock, other stock-</w:t>
      </w:r>
    </w:p>
    <w:p>
      <w:pPr>
        <w:spacing w:after="0" w:line="20" w:lineRule="exact"/>
        <w:rPr>
          <w:sz w:val="20"/>
          <w:szCs w:val="20"/>
          <w:color w:val="auto"/>
        </w:rPr>
      </w:pPr>
      <w:r>
        <w:rPr>
          <w:sz w:val="20"/>
          <w:szCs w:val="20"/>
          <w:color w:val="auto"/>
        </w:rPr>
        <w:br w:type="column"/>
      </w:r>
    </w:p>
    <w:p>
      <w:pPr>
        <w:spacing w:after="0" w:line="303"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based awards or any combination thereof. The exercise price of any stock option, the grant price of any stock appreciation right, and the purchase price of any security that may be purchased under any other stock-based award may not be less than 100% of the fair market value of the stock or other security on the date of the grant of the option, right or award.</w:t>
      </w:r>
    </w:p>
    <w:p>
      <w:pPr>
        <w:spacing w:after="0" w:line="200" w:lineRule="exact"/>
        <w:rPr>
          <w:sz w:val="20"/>
          <w:szCs w:val="20"/>
          <w:color w:val="auto"/>
        </w:rPr>
      </w:pPr>
    </w:p>
    <w:p>
      <w:pPr>
        <w:sectPr>
          <w:pgSz w:w="11900" w:h="16838" w:orient="portrait"/>
          <w:cols w:equalWidth="0" w:num="2">
            <w:col w:w="5280" w:space="540"/>
            <w:col w:w="5420"/>
          </w:cols>
          <w:pgMar w:left="240" w:top="459" w:right="419" w:bottom="1440" w:gutter="0" w:footer="0" w:header="0"/>
          <w:type w:val="continuous"/>
        </w:sectPr>
      </w:pPr>
    </w:p>
    <w:p>
      <w:pPr>
        <w:spacing w:after="0" w:line="87" w:lineRule="exact"/>
        <w:rPr>
          <w:sz w:val="20"/>
          <w:szCs w:val="20"/>
          <w:color w:val="auto"/>
        </w:rPr>
      </w:pPr>
    </w:p>
    <w:tbl>
      <w:tblPr>
        <w:tblLayout w:type="fixed"/>
        <w:tblInd w:w="8820" w:type="dxa"/>
        <w:tblCellMar>
          <w:top w:w="0" w:type="dxa"/>
          <w:left w:w="0" w:type="dxa"/>
          <w:bottom w:w="0" w:type="dxa"/>
          <w:right w:w="0" w:type="dxa"/>
        </w:tblCellMar>
      </w:tblPr>
      <w:tr>
        <w:trPr>
          <w:trHeight w:val="297"/>
        </w:trPr>
        <w:tc>
          <w:tcPr>
            <w:tcW w:w="1900" w:type="dxa"/>
            <w:vAlign w:val="bottom"/>
            <w:tcBorders>
              <w:right w:val="single" w:sz="8" w:color="0033A0"/>
            </w:tcBorders>
          </w:tcPr>
          <w:p>
            <w:pPr>
              <w:spacing w:after="0"/>
              <w:rPr>
                <w:sz w:val="20"/>
                <w:szCs w:val="20"/>
                <w:color w:val="auto"/>
              </w:rPr>
            </w:pPr>
            <w:r>
              <w:rPr>
                <w:rFonts w:ascii="Arial" w:cs="Arial" w:eastAsia="Arial" w:hAnsi="Arial"/>
                <w:sz w:val="18"/>
                <w:szCs w:val="18"/>
                <w:i w:val="1"/>
                <w:iCs w:val="1"/>
                <w:color w:val="auto"/>
              </w:rPr>
              <w:t>2019 Proxy Statement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-170815</wp:posOffset>
            </wp:positionV>
            <wp:extent cx="720090" cy="12890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0090" cy="12890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type w:val="continuous"/>
        </w:sectPr>
      </w:pPr>
    </w:p>
    <w:bookmarkStart w:id="72" w:name="page73"/>
    <w:bookmarkEnd w:id="7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0033A0"/>
        </w:rPr>
        <w:t>The Brink’s Company</w:t>
      </w:r>
    </w:p>
    <w:p>
      <w:pPr>
        <w:spacing w:after="0" w:line="215" w:lineRule="exact"/>
        <w:rPr>
          <w:sz w:val="20"/>
          <w:szCs w:val="20"/>
          <w:color w:val="auto"/>
        </w:rPr>
      </w:pPr>
    </w:p>
    <w:p>
      <w:pPr>
        <w:ind w:left="220"/>
        <w:spacing w:after="0" w:line="255" w:lineRule="auto"/>
        <w:rPr>
          <w:sz w:val="20"/>
          <w:szCs w:val="20"/>
          <w:color w:val="auto"/>
        </w:rPr>
      </w:pPr>
      <w:r>
        <w:rPr>
          <w:rFonts w:ascii="Arial" w:cs="Arial" w:eastAsia="Arial" w:hAnsi="Arial"/>
          <w:sz w:val="17"/>
          <w:szCs w:val="17"/>
          <w:color w:val="auto"/>
        </w:rPr>
        <w:t>Under the 2017 Equity Incentive Plan, determinations of the fair market value of shares of Brink’s Common Stock are based on the closing price on the grant date and determinations of fair market value with respect to other instruments are made in accordance with methods or procedures approved by the Committee.</w:t>
      </w:r>
    </w:p>
    <w:p>
      <w:pPr>
        <w:spacing w:after="0" w:line="82" w:lineRule="exact"/>
        <w:rPr>
          <w:sz w:val="20"/>
          <w:szCs w:val="20"/>
          <w:color w:val="auto"/>
        </w:rPr>
      </w:pPr>
    </w:p>
    <w:p>
      <w:pPr>
        <w:jc w:val="both"/>
        <w:ind w:left="220" w:right="280"/>
        <w:spacing w:after="0"/>
        <w:rPr>
          <w:sz w:val="20"/>
          <w:szCs w:val="20"/>
          <w:color w:val="auto"/>
        </w:rPr>
      </w:pPr>
      <w:r>
        <w:rPr>
          <w:rFonts w:ascii="Arial" w:cs="Arial" w:eastAsia="Arial" w:hAnsi="Arial"/>
          <w:sz w:val="18"/>
          <w:szCs w:val="18"/>
          <w:color w:val="auto"/>
        </w:rPr>
        <w:t>In 2018, directors received grants of DSUs that vest and will be settled in Brink’s Common Stock on a one-for-one basis on the first anniversary of the grant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date. In general, DSUs are forfeited if a director leaves before the vesting date. The Chairman of the Board receives a portion of his annual fee in the form of Brink’s Common Stock and certain directors elected to receive all or a portion of their 2018 annual retainers and/or fees in the form of Brink’s Common Stock. More information about Common Stock held by directors appears under “Stock Ownership” on page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-1713230</wp:posOffset>
            </wp:positionV>
            <wp:extent cx="72891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511" w:lineRule="exact"/>
        <w:rPr>
          <w:sz w:val="20"/>
          <w:szCs w:val="20"/>
          <w:color w:val="auto"/>
        </w:rPr>
      </w:pPr>
    </w:p>
    <w:p>
      <w:pPr>
        <w:sectPr>
          <w:pgSz w:w="11900" w:h="16838" w:orient="portrait"/>
          <w:cols w:equalWidth="0" w:num="2">
            <w:col w:w="5500" w:space="320"/>
            <w:col w:w="5380"/>
          </w:cols>
          <w:pgMar w:left="240" w:top="459" w:right="459" w:bottom="1440" w:gutter="0" w:footer="0" w:header="0"/>
        </w:sectPr>
      </w:pPr>
    </w:p>
    <w:p>
      <w:pPr>
        <w:spacing w:after="0" w:line="149"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auto"/>
        </w:rPr>
        <w:t>Stock Ownership Guideline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68580</wp:posOffset>
            </wp:positionV>
            <wp:extent cx="699770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00"/>
          </w:cols>
          <w:pgMar w:left="240" w:top="459" w:right="459" w:bottom="1440" w:gutter="0" w:footer="0" w:header="0"/>
          <w:type w:val="continuous"/>
        </w:sectPr>
      </w:pPr>
    </w:p>
    <w:p>
      <w:pPr>
        <w:spacing w:after="0" w:line="336" w:lineRule="exact"/>
        <w:rPr>
          <w:sz w:val="20"/>
          <w:szCs w:val="20"/>
          <w:color w:val="auto"/>
        </w:rPr>
      </w:pPr>
    </w:p>
    <w:p>
      <w:pPr>
        <w:ind w:left="200"/>
        <w:spacing w:after="0" w:line="238" w:lineRule="auto"/>
        <w:rPr>
          <w:sz w:val="20"/>
          <w:szCs w:val="20"/>
          <w:color w:val="auto"/>
        </w:rPr>
      </w:pPr>
      <w:r>
        <w:rPr>
          <w:rFonts w:ascii="Arial" w:cs="Arial" w:eastAsia="Arial" w:hAnsi="Arial"/>
          <w:sz w:val="18"/>
          <w:szCs w:val="18"/>
          <w:color w:val="auto"/>
        </w:rPr>
        <w:t>Non-employee directors are required to meet a stock ownership guideline of five times the annual retainer. Until a director has met the ownership guideline, he or she must hold at least 50% of any profit shares acquired through a stock option exercise or stock grant vesting. The Corporate Governance Committee</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annually reviews directors’ compliance with the guideline. Shares counted towards the ownership guideline include Brink’s Common Stock, deferred stock units, shares of restricted stock, and unvested and vested restricted stock units, but not unexercised stock options.</w:t>
      </w:r>
    </w:p>
    <w:p>
      <w:pPr>
        <w:spacing w:after="0" w:line="200" w:lineRule="exact"/>
        <w:rPr>
          <w:sz w:val="20"/>
          <w:szCs w:val="20"/>
          <w:color w:val="auto"/>
        </w:rPr>
      </w:pPr>
    </w:p>
    <w:p>
      <w:pPr>
        <w:sectPr>
          <w:pgSz w:w="11900" w:h="16838" w:orient="portrait"/>
          <w:cols w:equalWidth="0" w:num="2">
            <w:col w:w="5420" w:space="400"/>
            <w:col w:w="5380"/>
          </w:cols>
          <w:pgMar w:left="240" w:top="459" w:right="459" w:bottom="1440" w:gutter="0" w:footer="0" w:header="0"/>
          <w:type w:val="continuous"/>
        </w:sectPr>
      </w:pPr>
    </w:p>
    <w:p>
      <w:pPr>
        <w:spacing w:after="0" w:line="135"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auto"/>
        </w:rPr>
        <w:t>Plan for Deferral of Directors’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68580</wp:posOffset>
            </wp:positionV>
            <wp:extent cx="699770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00"/>
          </w:cols>
          <w:pgMar w:left="240" w:top="459" w:right="459" w:bottom="1440" w:gutter="0" w:footer="0" w:header="0"/>
          <w:type w:val="continuous"/>
        </w:sectPr>
      </w:pPr>
    </w:p>
    <w:p>
      <w:pPr>
        <w:spacing w:after="0" w:line="336"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Under the Plan for Deferral of Directors’ Fees (the “Deferral Plan”), a director may elect to defer receipt of his or her cash retainer, fees, and/or dividend equivalent payments (for equity awards prior to 2017) to future years, into one or more investment options, in amounts between 10% and 100%. Distributions from a director’s account, which may be made before or after a director ceases to be a member of the Board, generally will be made in a single lump sum distribution; however, a director may elect, in accordance with the Deferral Plan, to receive a</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distribution in up to ten equal annual installments. Under the Deferral Plan a director may also elect to defer equity awards, including DSUs and retainer fees elected to be paid in shares of Brink’s common stock. Distributions of deferred equity awards will be made in a single lump sum distribution of Brink’s Common Stock on a one-for-one basis. Directors may elect to have these deferred equity awards distributed on a specified date, or after their separation from service on the Board.</w:t>
      </w:r>
    </w:p>
    <w:p>
      <w:pPr>
        <w:spacing w:after="0" w:line="403" w:lineRule="exact"/>
        <w:rPr>
          <w:sz w:val="20"/>
          <w:szCs w:val="20"/>
          <w:color w:val="auto"/>
        </w:rPr>
      </w:pPr>
    </w:p>
    <w:p>
      <w:pPr>
        <w:sectPr>
          <w:pgSz w:w="11900" w:h="16838" w:orient="portrait"/>
          <w:cols w:equalWidth="0" w:num="2">
            <w:col w:w="5440" w:space="380"/>
            <w:col w:w="5380"/>
          </w:cols>
          <w:pgMar w:left="240" w:top="459" w:right="459" w:bottom="1440" w:gutter="0" w:footer="0" w:header="0"/>
          <w:type w:val="continuous"/>
        </w:sectPr>
      </w:pPr>
    </w:p>
    <w:p>
      <w:pPr>
        <w:spacing w:after="0" w:line="153"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auto"/>
        </w:rPr>
        <w:t>Business Travel Accident Insurance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68580</wp:posOffset>
            </wp:positionV>
            <wp:extent cx="699770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00"/>
          </w:cols>
          <w:pgMar w:left="240" w:top="459" w:right="459" w:bottom="1440" w:gutter="0" w:footer="0" w:header="0"/>
          <w:type w:val="continuous"/>
        </w:sectPr>
      </w:pPr>
    </w:p>
    <w:p>
      <w:pPr>
        <w:spacing w:after="0" w:line="323" w:lineRule="exact"/>
        <w:rPr>
          <w:sz w:val="20"/>
          <w:szCs w:val="20"/>
          <w:color w:val="auto"/>
        </w:rPr>
      </w:pPr>
    </w:p>
    <w:p>
      <w:pPr>
        <w:jc w:val="both"/>
        <w:ind w:left="200"/>
        <w:spacing w:after="0"/>
        <w:rPr>
          <w:sz w:val="20"/>
          <w:szCs w:val="20"/>
          <w:color w:val="auto"/>
        </w:rPr>
      </w:pPr>
      <w:r>
        <w:rPr>
          <w:rFonts w:ascii="Arial" w:cs="Arial" w:eastAsia="Arial" w:hAnsi="Arial"/>
          <w:sz w:val="18"/>
          <w:szCs w:val="18"/>
          <w:color w:val="auto"/>
        </w:rPr>
        <w:t>The Company provides directors with insurance benefits payable in the event of their death, dismemberment, loss of sight, speech, hearing or</w:t>
      </w:r>
    </w:p>
    <w:p>
      <w:pPr>
        <w:spacing w:after="0" w:line="20" w:lineRule="exact"/>
        <w:rPr>
          <w:sz w:val="20"/>
          <w:szCs w:val="20"/>
          <w:color w:val="auto"/>
        </w:rPr>
      </w:pPr>
      <w:r>
        <w:rPr>
          <w:sz w:val="20"/>
          <w:szCs w:val="20"/>
          <w:color w:val="auto"/>
        </w:rPr>
        <w:br w:type="column"/>
      </w:r>
    </w:p>
    <w:p>
      <w:pPr>
        <w:spacing w:after="0" w:line="303" w:lineRule="exact"/>
        <w:rPr>
          <w:sz w:val="20"/>
          <w:szCs w:val="20"/>
          <w:color w:val="auto"/>
        </w:rPr>
      </w:pPr>
    </w:p>
    <w:p>
      <w:pPr>
        <w:ind w:right="320"/>
        <w:spacing w:after="0" w:line="275" w:lineRule="auto"/>
        <w:rPr>
          <w:sz w:val="20"/>
          <w:szCs w:val="20"/>
          <w:color w:val="auto"/>
        </w:rPr>
      </w:pPr>
      <w:r>
        <w:rPr>
          <w:rFonts w:ascii="Arial" w:cs="Arial" w:eastAsia="Arial" w:hAnsi="Arial"/>
          <w:sz w:val="17"/>
          <w:szCs w:val="17"/>
          <w:color w:val="auto"/>
        </w:rPr>
        <w:t>permanent and total disability if the loss occurs as a result of an accident while the director is traveling on Company business.</w:t>
      </w:r>
    </w:p>
    <w:p>
      <w:pPr>
        <w:spacing w:after="0" w:line="372" w:lineRule="exact"/>
        <w:rPr>
          <w:sz w:val="20"/>
          <w:szCs w:val="20"/>
          <w:color w:val="auto"/>
        </w:rPr>
      </w:pPr>
    </w:p>
    <w:p>
      <w:pPr>
        <w:sectPr>
          <w:pgSz w:w="11900" w:h="16838" w:orient="portrait"/>
          <w:cols w:equalWidth="0" w:num="2">
            <w:col w:w="5400" w:space="420"/>
            <w:col w:w="5380"/>
          </w:cols>
          <w:pgMar w:left="240" w:top="459" w:right="459" w:bottom="1440" w:gutter="0" w:footer="0" w:header="0"/>
          <w:type w:val="continuous"/>
        </w:sectPr>
      </w:pPr>
    </w:p>
    <w:p>
      <w:pPr>
        <w:spacing w:after="0" w:line="85" w:lineRule="exact"/>
        <w:rPr>
          <w:sz w:val="20"/>
          <w:szCs w:val="20"/>
          <w:color w:val="auto"/>
        </w:rPr>
      </w:pPr>
    </w:p>
    <w:tbl>
      <w:tblPr>
        <w:tblLayout w:type="fixed"/>
        <w:tblInd w:w="200" w:type="dxa"/>
        <w:tblCellMar>
          <w:top w:w="0" w:type="dxa"/>
          <w:left w:w="0" w:type="dxa"/>
          <w:bottom w:w="0" w:type="dxa"/>
          <w:right w:w="0" w:type="dxa"/>
        </w:tblCellMar>
      </w:tblPr>
      <w:tr>
        <w:trPr>
          <w:trHeight w:val="297"/>
        </w:trPr>
        <w:tc>
          <w:tcPr>
            <w:tcW w:w="360" w:type="dxa"/>
            <w:vAlign w:val="bottom"/>
            <w:tcBorders>
              <w:right w:val="single" w:sz="8" w:color="0033A0"/>
            </w:tcBorders>
          </w:tcPr>
          <w:p>
            <w:pPr>
              <w:jc w:val="right"/>
              <w:ind w:right="70"/>
              <w:spacing w:after="0"/>
              <w:rPr>
                <w:sz w:val="20"/>
                <w:szCs w:val="20"/>
                <w:color w:val="auto"/>
              </w:rPr>
            </w:pPr>
            <w:r>
              <w:rPr>
                <w:rFonts w:ascii="Arial" w:cs="Arial" w:eastAsia="Arial" w:hAnsi="Arial"/>
                <w:sz w:val="18"/>
                <w:szCs w:val="18"/>
                <w:b w:val="1"/>
                <w:bCs w:val="1"/>
                <w:color w:val="auto"/>
                <w:w w:val="89"/>
              </w:rPr>
              <w:t>68</w:t>
            </w:r>
          </w:p>
        </w:tc>
        <w:tc>
          <w:tcPr>
            <w:tcW w:w="3380" w:type="dxa"/>
            <w:vAlign w:val="bottom"/>
          </w:tcPr>
          <w:p>
            <w:pPr>
              <w:ind w:left="1600"/>
              <w:spacing w:after="0"/>
              <w:rPr>
                <w:sz w:val="20"/>
                <w:szCs w:val="20"/>
                <w:color w:val="auto"/>
              </w:rPr>
            </w:pPr>
            <w:r>
              <w:rPr>
                <w:rFonts w:ascii="Arial" w:cs="Arial" w:eastAsia="Arial" w:hAnsi="Arial"/>
                <w:sz w:val="18"/>
                <w:szCs w:val="18"/>
                <w:i w:val="1"/>
                <w:iCs w:val="1"/>
                <w:color w:val="auto"/>
                <w:w w:val="98"/>
              </w:rPr>
              <w:t>2019 Proxy Statement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-170815</wp:posOffset>
            </wp:positionV>
            <wp:extent cx="720090" cy="12890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0090" cy="128905"/>
                    </a:xfrm>
                    <a:prstGeom prst="rect">
                      <a:avLst/>
                    </a:prstGeom>
                    <a:noFill/>
                  </pic:spPr>
                </pic:pic>
              </a:graphicData>
            </a:graphic>
          </wp:anchor>
        </w:drawing>
      </w:r>
    </w:p>
    <w:p>
      <w:pPr>
        <w:sectPr>
          <w:pgSz w:w="11900" w:h="16838" w:orient="portrait"/>
          <w:cols w:equalWidth="0" w:num="1">
            <w:col w:w="11200"/>
          </w:cols>
          <w:pgMar w:left="240" w:top="459" w:right="459" w:bottom="1440" w:gutter="0" w:footer="0" w:header="0"/>
          <w:type w:val="continuous"/>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right"/>
        <w:ind w:right="20"/>
        <w:spacing w:after="0"/>
        <w:rPr>
          <w:sz w:val="20"/>
          <w:szCs w:val="20"/>
          <w:color w:val="auto"/>
        </w:rPr>
      </w:pPr>
      <w:r>
        <w:rPr>
          <w:rFonts w:ascii="Arial" w:cs="Arial" w:eastAsia="Arial" w:hAnsi="Arial"/>
          <w:sz w:val="20"/>
          <w:szCs w:val="20"/>
          <w:b w:val="1"/>
          <w:bCs w:val="1"/>
          <w:color w:val="0033A0"/>
        </w:rPr>
        <w:t>DIRECTOR COMPENSATION</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auto"/>
        </w:rPr>
        <w:t>Director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68580</wp:posOffset>
            </wp:positionV>
            <wp:extent cx="699770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8" w:lineRule="exact"/>
        <w:rPr>
          <w:sz w:val="20"/>
          <w:szCs w:val="20"/>
          <w:color w:val="auto"/>
        </w:rPr>
      </w:pPr>
    </w:p>
    <w:p>
      <w:pPr>
        <w:ind w:left="200" w:right="340"/>
        <w:spacing w:after="0" w:line="246" w:lineRule="auto"/>
        <w:rPr>
          <w:sz w:val="20"/>
          <w:szCs w:val="20"/>
          <w:color w:val="auto"/>
        </w:rPr>
      </w:pPr>
      <w:r>
        <w:rPr>
          <w:rFonts w:ascii="Arial" w:cs="Arial" w:eastAsia="Arial" w:hAnsi="Arial"/>
          <w:sz w:val="18"/>
          <w:szCs w:val="18"/>
          <w:color w:val="auto"/>
        </w:rPr>
        <w:t>The following table presents information relating to total compensation of the non-employee directors for the year ended December 31, 2018.</w:t>
      </w:r>
    </w:p>
    <w:p>
      <w:pPr>
        <w:spacing w:after="0" w:line="90"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17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0033A0"/>
              </w:rPr>
              <w:t>Change in</w:t>
            </w:r>
          </w:p>
        </w:tc>
        <w:tc>
          <w:tcPr>
            <w:tcW w:w="16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2"/>
        </w:trPr>
        <w:tc>
          <w:tcPr>
            <w:tcW w:w="17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0033A0"/>
              </w:rPr>
              <w:t>Pension Value</w:t>
            </w:r>
          </w:p>
        </w:tc>
        <w:tc>
          <w:tcPr>
            <w:tcW w:w="16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2"/>
        </w:trPr>
        <w:tc>
          <w:tcPr>
            <w:tcW w:w="17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160" w:type="dxa"/>
            <w:vAlign w:val="bottom"/>
          </w:tcPr>
          <w:p>
            <w:pPr>
              <w:jc w:val="center"/>
              <w:ind w:left="304"/>
              <w:spacing w:after="0"/>
              <w:rPr>
                <w:sz w:val="20"/>
                <w:szCs w:val="20"/>
                <w:color w:val="auto"/>
              </w:rPr>
            </w:pPr>
            <w:r>
              <w:rPr>
                <w:rFonts w:ascii="Arial" w:cs="Arial" w:eastAsia="Arial" w:hAnsi="Arial"/>
                <w:sz w:val="14"/>
                <w:szCs w:val="14"/>
                <w:b w:val="1"/>
                <w:bCs w:val="1"/>
                <w:color w:val="0033A0"/>
              </w:rPr>
              <w:t>Fees</w:t>
            </w:r>
          </w:p>
        </w:tc>
        <w:tc>
          <w:tcPr>
            <w:tcW w:w="136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0033A0"/>
              </w:rPr>
              <w:t>and Nonqualified</w:t>
            </w:r>
          </w:p>
        </w:tc>
        <w:tc>
          <w:tcPr>
            <w:tcW w:w="16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2"/>
        </w:trPr>
        <w:tc>
          <w:tcPr>
            <w:tcW w:w="17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160" w:type="dxa"/>
            <w:vAlign w:val="bottom"/>
          </w:tcPr>
          <w:p>
            <w:pPr>
              <w:jc w:val="center"/>
              <w:ind w:left="304"/>
              <w:spacing w:after="0"/>
              <w:rPr>
                <w:sz w:val="20"/>
                <w:szCs w:val="20"/>
                <w:color w:val="auto"/>
              </w:rPr>
            </w:pPr>
            <w:r>
              <w:rPr>
                <w:rFonts w:ascii="Arial" w:cs="Arial" w:eastAsia="Arial" w:hAnsi="Arial"/>
                <w:sz w:val="14"/>
                <w:szCs w:val="14"/>
                <w:b w:val="1"/>
                <w:bCs w:val="1"/>
                <w:color w:val="0033A0"/>
              </w:rPr>
              <w:t>Earned</w:t>
            </w:r>
          </w:p>
        </w:tc>
        <w:tc>
          <w:tcPr>
            <w:tcW w:w="136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0033A0"/>
              </w:rPr>
              <w:t>Deferred</w:t>
            </w:r>
          </w:p>
        </w:tc>
        <w:tc>
          <w:tcPr>
            <w:tcW w:w="16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2"/>
        </w:trPr>
        <w:tc>
          <w:tcPr>
            <w:tcW w:w="17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160" w:type="dxa"/>
            <w:vAlign w:val="bottom"/>
          </w:tcPr>
          <w:p>
            <w:pPr>
              <w:jc w:val="center"/>
              <w:ind w:left="304"/>
              <w:spacing w:after="0"/>
              <w:rPr>
                <w:sz w:val="20"/>
                <w:szCs w:val="20"/>
                <w:color w:val="auto"/>
              </w:rPr>
            </w:pPr>
            <w:r>
              <w:rPr>
                <w:rFonts w:ascii="Arial" w:cs="Arial" w:eastAsia="Arial" w:hAnsi="Arial"/>
                <w:sz w:val="14"/>
                <w:szCs w:val="14"/>
                <w:b w:val="1"/>
                <w:bCs w:val="1"/>
                <w:color w:val="0033A0"/>
              </w:rPr>
              <w:t>or Paid in</w:t>
            </w:r>
          </w:p>
        </w:tc>
        <w:tc>
          <w:tcPr>
            <w:tcW w:w="1360" w:type="dxa"/>
            <w:vAlign w:val="bottom"/>
          </w:tcPr>
          <w:p>
            <w:pPr>
              <w:jc w:val="right"/>
              <w:ind w:right="303"/>
              <w:spacing w:after="0"/>
              <w:rPr>
                <w:sz w:val="20"/>
                <w:szCs w:val="20"/>
                <w:color w:val="auto"/>
              </w:rPr>
            </w:pPr>
            <w:r>
              <w:rPr>
                <w:rFonts w:ascii="Arial" w:cs="Arial" w:eastAsia="Arial" w:hAnsi="Arial"/>
                <w:sz w:val="14"/>
                <w:szCs w:val="14"/>
                <w:b w:val="1"/>
                <w:bCs w:val="1"/>
                <w:color w:val="0033A0"/>
              </w:rPr>
              <w:t>Stock</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0033A0"/>
              </w:rPr>
              <w:t>Compensation</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0033A0"/>
              </w:rPr>
              <w:t>All Other</w:t>
            </w:r>
          </w:p>
        </w:tc>
        <w:tc>
          <w:tcPr>
            <w:tcW w:w="940" w:type="dxa"/>
            <w:vAlign w:val="bottom"/>
          </w:tcPr>
          <w:p>
            <w:pPr>
              <w:spacing w:after="0"/>
              <w:rPr>
                <w:sz w:val="14"/>
                <w:szCs w:val="14"/>
                <w:color w:val="auto"/>
              </w:rPr>
            </w:pPr>
          </w:p>
        </w:tc>
      </w:tr>
      <w:tr>
        <w:trPr>
          <w:trHeight w:val="162"/>
        </w:trPr>
        <w:tc>
          <w:tcPr>
            <w:tcW w:w="17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160" w:type="dxa"/>
            <w:vAlign w:val="bottom"/>
          </w:tcPr>
          <w:p>
            <w:pPr>
              <w:jc w:val="center"/>
              <w:ind w:left="304"/>
              <w:spacing w:after="0" w:line="163" w:lineRule="exact"/>
              <w:rPr>
                <w:sz w:val="20"/>
                <w:szCs w:val="20"/>
                <w:color w:val="auto"/>
              </w:rPr>
            </w:pPr>
            <w:r>
              <w:rPr>
                <w:rFonts w:ascii="Arial" w:cs="Arial" w:eastAsia="Arial" w:hAnsi="Arial"/>
                <w:sz w:val="11"/>
                <w:szCs w:val="11"/>
                <w:b w:val="1"/>
                <w:bCs w:val="1"/>
                <w:color w:val="0033A0"/>
              </w:rPr>
              <w:t>Cash</w:t>
            </w:r>
            <w:r>
              <w:rPr>
                <w:rFonts w:ascii="Arial" w:cs="Arial" w:eastAsia="Arial" w:hAnsi="Arial"/>
                <w:sz w:val="18"/>
                <w:szCs w:val="18"/>
                <w:b w:val="1"/>
                <w:bCs w:val="1"/>
                <w:color w:val="0033A0"/>
                <w:vertAlign w:val="superscript"/>
              </w:rPr>
              <w:t>(1)</w:t>
            </w:r>
          </w:p>
        </w:tc>
        <w:tc>
          <w:tcPr>
            <w:tcW w:w="1360" w:type="dxa"/>
            <w:vAlign w:val="bottom"/>
          </w:tcPr>
          <w:p>
            <w:pPr>
              <w:jc w:val="right"/>
              <w:ind w:right="183"/>
              <w:spacing w:after="0" w:line="163" w:lineRule="exact"/>
              <w:rPr>
                <w:sz w:val="20"/>
                <w:szCs w:val="20"/>
                <w:color w:val="auto"/>
              </w:rPr>
            </w:pPr>
            <w:r>
              <w:rPr>
                <w:rFonts w:ascii="Arial" w:cs="Arial" w:eastAsia="Arial" w:hAnsi="Arial"/>
                <w:sz w:val="11"/>
                <w:szCs w:val="11"/>
                <w:b w:val="1"/>
                <w:bCs w:val="1"/>
                <w:color w:val="0033A0"/>
              </w:rPr>
              <w:t>Awards</w:t>
            </w:r>
            <w:r>
              <w:rPr>
                <w:rFonts w:ascii="Arial" w:cs="Arial" w:eastAsia="Arial" w:hAnsi="Arial"/>
                <w:sz w:val="18"/>
                <w:szCs w:val="18"/>
                <w:b w:val="1"/>
                <w:bCs w:val="1"/>
                <w:color w:val="0033A0"/>
                <w:vertAlign w:val="superscript"/>
              </w:rPr>
              <w:t>(2)</w:t>
            </w:r>
          </w:p>
        </w:tc>
        <w:tc>
          <w:tcPr>
            <w:tcW w:w="1740" w:type="dxa"/>
            <w:vAlign w:val="bottom"/>
          </w:tcPr>
          <w:p>
            <w:pPr>
              <w:jc w:val="center"/>
              <w:spacing w:after="0" w:line="163" w:lineRule="exact"/>
              <w:rPr>
                <w:sz w:val="20"/>
                <w:szCs w:val="20"/>
                <w:color w:val="auto"/>
              </w:rPr>
            </w:pPr>
            <w:r>
              <w:rPr>
                <w:rFonts w:ascii="Arial" w:cs="Arial" w:eastAsia="Arial" w:hAnsi="Arial"/>
                <w:sz w:val="11"/>
                <w:szCs w:val="11"/>
                <w:b w:val="1"/>
                <w:bCs w:val="1"/>
                <w:color w:val="0033A0"/>
              </w:rPr>
              <w:t>Earnings</w:t>
            </w:r>
            <w:r>
              <w:rPr>
                <w:rFonts w:ascii="Arial" w:cs="Arial" w:eastAsia="Arial" w:hAnsi="Arial"/>
                <w:sz w:val="18"/>
                <w:szCs w:val="18"/>
                <w:b w:val="1"/>
                <w:bCs w:val="1"/>
                <w:color w:val="0033A0"/>
                <w:vertAlign w:val="superscript"/>
              </w:rPr>
              <w:t>(3)</w:t>
            </w:r>
          </w:p>
        </w:tc>
        <w:tc>
          <w:tcPr>
            <w:tcW w:w="1680" w:type="dxa"/>
            <w:vAlign w:val="bottom"/>
          </w:tcPr>
          <w:p>
            <w:pPr>
              <w:jc w:val="center"/>
              <w:spacing w:after="0" w:line="163" w:lineRule="exact"/>
              <w:rPr>
                <w:sz w:val="20"/>
                <w:szCs w:val="20"/>
                <w:color w:val="auto"/>
              </w:rPr>
            </w:pPr>
            <w:r>
              <w:rPr>
                <w:rFonts w:ascii="Arial" w:cs="Arial" w:eastAsia="Arial" w:hAnsi="Arial"/>
                <w:sz w:val="11"/>
                <w:szCs w:val="11"/>
                <w:b w:val="1"/>
                <w:bCs w:val="1"/>
                <w:color w:val="0033A0"/>
              </w:rPr>
              <w:t>Compensation</w:t>
            </w:r>
            <w:r>
              <w:rPr>
                <w:rFonts w:ascii="Arial" w:cs="Arial" w:eastAsia="Arial" w:hAnsi="Arial"/>
                <w:sz w:val="18"/>
                <w:szCs w:val="18"/>
                <w:b w:val="1"/>
                <w:bCs w:val="1"/>
                <w:color w:val="0033A0"/>
                <w:vertAlign w:val="superscript"/>
              </w:rPr>
              <w:t>(4)</w:t>
            </w:r>
          </w:p>
        </w:tc>
        <w:tc>
          <w:tcPr>
            <w:tcW w:w="940" w:type="dxa"/>
            <w:vAlign w:val="bottom"/>
          </w:tcPr>
          <w:p>
            <w:pPr>
              <w:jc w:val="right"/>
              <w:ind w:right="141"/>
              <w:spacing w:after="0"/>
              <w:rPr>
                <w:sz w:val="20"/>
                <w:szCs w:val="20"/>
                <w:color w:val="auto"/>
              </w:rPr>
            </w:pPr>
            <w:r>
              <w:rPr>
                <w:rFonts w:ascii="Arial" w:cs="Arial" w:eastAsia="Arial" w:hAnsi="Arial"/>
                <w:sz w:val="14"/>
                <w:szCs w:val="14"/>
                <w:b w:val="1"/>
                <w:bCs w:val="1"/>
                <w:color w:val="0033A0"/>
              </w:rPr>
              <w:t>Total</w:t>
            </w:r>
          </w:p>
        </w:tc>
      </w:tr>
      <w:tr>
        <w:trPr>
          <w:trHeight w:val="189"/>
        </w:trPr>
        <w:tc>
          <w:tcPr>
            <w:tcW w:w="4140" w:type="dxa"/>
            <w:vAlign w:val="bottom"/>
            <w:tcBorders>
              <w:bottom w:val="single" w:sz="8" w:color="0033A0"/>
            </w:tcBorders>
            <w:gridSpan w:val="2"/>
          </w:tcPr>
          <w:p>
            <w:pPr>
              <w:ind w:left="60"/>
              <w:spacing w:after="0"/>
              <w:rPr>
                <w:sz w:val="20"/>
                <w:szCs w:val="20"/>
                <w:color w:val="auto"/>
              </w:rPr>
            </w:pPr>
            <w:r>
              <w:rPr>
                <w:rFonts w:ascii="Arial" w:cs="Arial" w:eastAsia="Arial" w:hAnsi="Arial"/>
                <w:sz w:val="14"/>
                <w:szCs w:val="14"/>
                <w:b w:val="1"/>
                <w:bCs w:val="1"/>
                <w:color w:val="0033A0"/>
              </w:rPr>
              <w:t>Name</w:t>
            </w:r>
          </w:p>
        </w:tc>
        <w:tc>
          <w:tcPr>
            <w:tcW w:w="1160" w:type="dxa"/>
            <w:vAlign w:val="bottom"/>
            <w:tcBorders>
              <w:bottom w:val="single" w:sz="8" w:color="0033A0"/>
            </w:tcBorders>
          </w:tcPr>
          <w:p>
            <w:pPr>
              <w:jc w:val="center"/>
              <w:ind w:left="304"/>
              <w:spacing w:after="0"/>
              <w:rPr>
                <w:sz w:val="20"/>
                <w:szCs w:val="20"/>
                <w:color w:val="auto"/>
              </w:rPr>
            </w:pPr>
            <w:r>
              <w:rPr>
                <w:rFonts w:ascii="Arial" w:cs="Arial" w:eastAsia="Arial" w:hAnsi="Arial"/>
                <w:sz w:val="14"/>
                <w:szCs w:val="14"/>
                <w:b w:val="1"/>
                <w:bCs w:val="1"/>
                <w:color w:val="0033A0"/>
              </w:rPr>
              <w:t>($)</w:t>
            </w:r>
          </w:p>
        </w:tc>
        <w:tc>
          <w:tcPr>
            <w:tcW w:w="1360" w:type="dxa"/>
            <w:vAlign w:val="bottom"/>
            <w:tcBorders>
              <w:bottom w:val="single" w:sz="8" w:color="0033A0"/>
            </w:tcBorders>
          </w:tcPr>
          <w:p>
            <w:pPr>
              <w:jc w:val="right"/>
              <w:ind w:right="423"/>
              <w:spacing w:after="0"/>
              <w:rPr>
                <w:sz w:val="20"/>
                <w:szCs w:val="20"/>
                <w:color w:val="auto"/>
              </w:rPr>
            </w:pPr>
            <w:r>
              <w:rPr>
                <w:rFonts w:ascii="Arial" w:cs="Arial" w:eastAsia="Arial" w:hAnsi="Arial"/>
                <w:sz w:val="14"/>
                <w:szCs w:val="14"/>
                <w:b w:val="1"/>
                <w:bCs w:val="1"/>
                <w:color w:val="0033A0"/>
              </w:rPr>
              <w:t>($)</w:t>
            </w:r>
          </w:p>
        </w:tc>
        <w:tc>
          <w:tcPr>
            <w:tcW w:w="1740" w:type="dxa"/>
            <w:vAlign w:val="bottom"/>
            <w:tcBorders>
              <w:bottom w:val="single" w:sz="8" w:color="0033A0"/>
            </w:tcBorders>
          </w:tcPr>
          <w:p>
            <w:pPr>
              <w:jc w:val="center"/>
              <w:spacing w:after="0"/>
              <w:rPr>
                <w:sz w:val="20"/>
                <w:szCs w:val="20"/>
                <w:color w:val="auto"/>
              </w:rPr>
            </w:pPr>
            <w:r>
              <w:rPr>
                <w:rFonts w:ascii="Arial" w:cs="Arial" w:eastAsia="Arial" w:hAnsi="Arial"/>
                <w:sz w:val="14"/>
                <w:szCs w:val="14"/>
                <w:b w:val="1"/>
                <w:bCs w:val="1"/>
                <w:color w:val="0033A0"/>
                <w:w w:val="93"/>
              </w:rPr>
              <w:t>($)</w:t>
            </w:r>
          </w:p>
        </w:tc>
        <w:tc>
          <w:tcPr>
            <w:tcW w:w="1680" w:type="dxa"/>
            <w:vAlign w:val="bottom"/>
            <w:tcBorders>
              <w:bottom w:val="single" w:sz="8" w:color="0033A0"/>
            </w:tcBorders>
          </w:tcPr>
          <w:p>
            <w:pPr>
              <w:jc w:val="center"/>
              <w:spacing w:after="0"/>
              <w:rPr>
                <w:sz w:val="20"/>
                <w:szCs w:val="20"/>
                <w:color w:val="auto"/>
              </w:rPr>
            </w:pPr>
            <w:r>
              <w:rPr>
                <w:rFonts w:ascii="Arial" w:cs="Arial" w:eastAsia="Arial" w:hAnsi="Arial"/>
                <w:sz w:val="14"/>
                <w:szCs w:val="14"/>
                <w:b w:val="1"/>
                <w:bCs w:val="1"/>
                <w:color w:val="0033A0"/>
                <w:w w:val="93"/>
              </w:rPr>
              <w:t>($)</w:t>
            </w:r>
          </w:p>
        </w:tc>
        <w:tc>
          <w:tcPr>
            <w:tcW w:w="940" w:type="dxa"/>
            <w:vAlign w:val="bottom"/>
            <w:tcBorders>
              <w:bottom w:val="single" w:sz="8" w:color="0033A0"/>
            </w:tcBorders>
          </w:tcPr>
          <w:p>
            <w:pPr>
              <w:jc w:val="right"/>
              <w:ind w:right="221"/>
              <w:spacing w:after="0"/>
              <w:rPr>
                <w:sz w:val="20"/>
                <w:szCs w:val="20"/>
                <w:color w:val="auto"/>
              </w:rPr>
            </w:pPr>
            <w:r>
              <w:rPr>
                <w:rFonts w:ascii="Arial" w:cs="Arial" w:eastAsia="Arial" w:hAnsi="Arial"/>
                <w:sz w:val="14"/>
                <w:szCs w:val="14"/>
                <w:b w:val="1"/>
                <w:bCs w:val="1"/>
                <w:color w:val="0033A0"/>
              </w:rPr>
              <w:t>($)</w:t>
            </w:r>
          </w:p>
        </w:tc>
      </w:tr>
      <w:tr>
        <w:trPr>
          <w:trHeight w:val="21"/>
        </w:trPr>
        <w:tc>
          <w:tcPr>
            <w:tcW w:w="17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23"/>
        </w:trPr>
        <w:tc>
          <w:tcPr>
            <w:tcW w:w="4140" w:type="dxa"/>
            <w:vAlign w:val="bottom"/>
            <w:tcBorders>
              <w:bottom w:val="single" w:sz="8" w:color="E5EAF5"/>
            </w:tcBorders>
            <w:gridSpan w:val="2"/>
            <w:shd w:val="clear" w:color="auto" w:fill="E5EAF5"/>
          </w:tcPr>
          <w:p>
            <w:pPr>
              <w:ind w:left="60"/>
              <w:spacing w:after="0"/>
              <w:rPr>
                <w:sz w:val="20"/>
                <w:szCs w:val="20"/>
                <w:color w:val="auto"/>
              </w:rPr>
            </w:pPr>
            <w:r>
              <w:rPr>
                <w:rFonts w:ascii="Arial" w:cs="Arial" w:eastAsia="Arial" w:hAnsi="Arial"/>
                <w:sz w:val="16"/>
                <w:szCs w:val="16"/>
                <w:color w:val="auto"/>
              </w:rPr>
              <w:t>Paul G. Boynton</w:t>
            </w:r>
          </w:p>
        </w:tc>
        <w:tc>
          <w:tcPr>
            <w:tcW w:w="1160" w:type="dxa"/>
            <w:vAlign w:val="bottom"/>
            <w:tcBorders>
              <w:bottom w:val="single" w:sz="8" w:color="E5EAF5"/>
            </w:tcBorders>
            <w:shd w:val="clear" w:color="auto" w:fill="E5EAF5"/>
          </w:tcPr>
          <w:p>
            <w:pPr>
              <w:jc w:val="right"/>
              <w:spacing w:after="0"/>
              <w:rPr>
                <w:sz w:val="20"/>
                <w:szCs w:val="20"/>
                <w:color w:val="auto"/>
              </w:rPr>
            </w:pPr>
            <w:r>
              <w:rPr>
                <w:rFonts w:ascii="Arial" w:cs="Arial" w:eastAsia="Arial" w:hAnsi="Arial"/>
                <w:sz w:val="16"/>
                <w:szCs w:val="16"/>
                <w:color w:val="auto"/>
              </w:rPr>
              <w:t>105,325</w:t>
            </w:r>
          </w:p>
        </w:tc>
        <w:tc>
          <w:tcPr>
            <w:tcW w:w="1360" w:type="dxa"/>
            <w:vAlign w:val="bottom"/>
            <w:tcBorders>
              <w:bottom w:val="single" w:sz="8" w:color="E5EAF5"/>
            </w:tcBorders>
            <w:shd w:val="clear" w:color="auto" w:fill="E5EAF5"/>
          </w:tcPr>
          <w:p>
            <w:pPr>
              <w:jc w:val="right"/>
              <w:ind w:right="163"/>
              <w:spacing w:after="0"/>
              <w:rPr>
                <w:sz w:val="20"/>
                <w:szCs w:val="20"/>
                <w:color w:val="auto"/>
              </w:rPr>
            </w:pPr>
            <w:r>
              <w:rPr>
                <w:rFonts w:ascii="Arial" w:cs="Arial" w:eastAsia="Arial" w:hAnsi="Arial"/>
                <w:sz w:val="16"/>
                <w:szCs w:val="16"/>
                <w:color w:val="auto"/>
              </w:rPr>
              <w:t>124,934</w:t>
            </w:r>
          </w:p>
        </w:tc>
        <w:tc>
          <w:tcPr>
            <w:tcW w:w="1740" w:type="dxa"/>
            <w:vAlign w:val="bottom"/>
            <w:tcBorders>
              <w:bottom w:val="single" w:sz="8" w:color="E5EAF5"/>
            </w:tcBorders>
            <w:shd w:val="clear" w:color="auto" w:fill="E5EAF5"/>
          </w:tcPr>
          <w:p>
            <w:pPr>
              <w:jc w:val="right"/>
              <w:ind w:right="185"/>
              <w:spacing w:after="0"/>
              <w:rPr>
                <w:sz w:val="20"/>
                <w:szCs w:val="20"/>
                <w:color w:val="auto"/>
              </w:rPr>
            </w:pPr>
            <w:r>
              <w:rPr>
                <w:rFonts w:ascii="Arial" w:cs="Arial" w:eastAsia="Arial" w:hAnsi="Arial"/>
                <w:sz w:val="16"/>
                <w:szCs w:val="16"/>
                <w:color w:val="auto"/>
              </w:rPr>
              <w:t>(22,514)</w:t>
            </w:r>
          </w:p>
        </w:tc>
        <w:tc>
          <w:tcPr>
            <w:tcW w:w="1680" w:type="dxa"/>
            <w:vAlign w:val="bottom"/>
            <w:tcBorders>
              <w:bottom w:val="single" w:sz="8" w:color="E5EAF5"/>
            </w:tcBorders>
            <w:shd w:val="clear" w:color="auto" w:fill="E5EAF5"/>
          </w:tcPr>
          <w:p>
            <w:pPr>
              <w:jc w:val="right"/>
              <w:ind w:right="203"/>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E5EAF5"/>
            </w:tcBorders>
            <w:shd w:val="clear" w:color="auto" w:fill="E5EAF5"/>
          </w:tcPr>
          <w:p>
            <w:pPr>
              <w:jc w:val="right"/>
              <w:spacing w:after="0"/>
              <w:rPr>
                <w:sz w:val="20"/>
                <w:szCs w:val="20"/>
                <w:color w:val="auto"/>
              </w:rPr>
            </w:pPr>
            <w:r>
              <w:rPr>
                <w:rFonts w:ascii="Arial" w:cs="Arial" w:eastAsia="Arial" w:hAnsi="Arial"/>
                <w:sz w:val="16"/>
                <w:szCs w:val="16"/>
                <w:color w:val="auto"/>
              </w:rPr>
              <w:t>207,745</w:t>
            </w:r>
          </w:p>
        </w:tc>
      </w:tr>
      <w:tr>
        <w:trPr>
          <w:trHeight w:val="206"/>
        </w:trPr>
        <w:tc>
          <w:tcPr>
            <w:tcW w:w="4140" w:type="dxa"/>
            <w:vAlign w:val="bottom"/>
            <w:gridSpan w:val="2"/>
          </w:tcPr>
          <w:p>
            <w:pPr>
              <w:ind w:left="60"/>
              <w:spacing w:after="0"/>
              <w:rPr>
                <w:sz w:val="20"/>
                <w:szCs w:val="20"/>
                <w:color w:val="auto"/>
              </w:rPr>
            </w:pPr>
            <w:r>
              <w:rPr>
                <w:rFonts w:ascii="Arial" w:cs="Arial" w:eastAsia="Arial" w:hAnsi="Arial"/>
                <w:sz w:val="16"/>
                <w:szCs w:val="16"/>
                <w:color w:val="auto"/>
              </w:rPr>
              <w:t>Ian D. Clough</w:t>
            </w:r>
          </w:p>
        </w:tc>
        <w:tc>
          <w:tcPr>
            <w:tcW w:w="1160" w:type="dxa"/>
            <w:vAlign w:val="bottom"/>
          </w:tcPr>
          <w:p>
            <w:pPr>
              <w:jc w:val="right"/>
              <w:spacing w:after="0"/>
              <w:rPr>
                <w:sz w:val="20"/>
                <w:szCs w:val="20"/>
                <w:color w:val="auto"/>
              </w:rPr>
            </w:pPr>
            <w:r>
              <w:rPr>
                <w:rFonts w:ascii="Arial" w:cs="Arial" w:eastAsia="Arial" w:hAnsi="Arial"/>
                <w:sz w:val="16"/>
                <w:szCs w:val="16"/>
                <w:color w:val="auto"/>
              </w:rPr>
              <w:t>97,952</w:t>
            </w:r>
          </w:p>
        </w:tc>
        <w:tc>
          <w:tcPr>
            <w:tcW w:w="1360" w:type="dxa"/>
            <w:vAlign w:val="bottom"/>
          </w:tcPr>
          <w:p>
            <w:pPr>
              <w:jc w:val="right"/>
              <w:ind w:right="163"/>
              <w:spacing w:after="0"/>
              <w:rPr>
                <w:sz w:val="20"/>
                <w:szCs w:val="20"/>
                <w:color w:val="auto"/>
              </w:rPr>
            </w:pPr>
            <w:r>
              <w:rPr>
                <w:rFonts w:ascii="Arial" w:cs="Arial" w:eastAsia="Arial" w:hAnsi="Arial"/>
                <w:sz w:val="16"/>
                <w:szCs w:val="16"/>
                <w:color w:val="auto"/>
              </w:rPr>
              <w:t>124,934</w:t>
            </w:r>
          </w:p>
        </w:tc>
        <w:tc>
          <w:tcPr>
            <w:tcW w:w="1740" w:type="dxa"/>
            <w:vAlign w:val="bottom"/>
          </w:tcPr>
          <w:p>
            <w:pPr>
              <w:jc w:val="right"/>
              <w:ind w:right="245"/>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203"/>
              <w:spacing w:after="0"/>
              <w:rPr>
                <w:sz w:val="20"/>
                <w:szCs w:val="20"/>
                <w:color w:val="auto"/>
              </w:rPr>
            </w:pPr>
            <w:r>
              <w:rPr>
                <w:rFonts w:ascii="Arial" w:cs="Arial" w:eastAsia="Arial" w:hAnsi="Arial"/>
                <w:sz w:val="16"/>
                <w:szCs w:val="16"/>
                <w:color w:val="auto"/>
              </w:rPr>
              <w:t>10,620</w:t>
            </w:r>
          </w:p>
        </w:tc>
        <w:tc>
          <w:tcPr>
            <w:tcW w:w="940" w:type="dxa"/>
            <w:vAlign w:val="bottom"/>
          </w:tcPr>
          <w:p>
            <w:pPr>
              <w:jc w:val="right"/>
              <w:spacing w:after="0"/>
              <w:rPr>
                <w:sz w:val="20"/>
                <w:szCs w:val="20"/>
                <w:color w:val="auto"/>
              </w:rPr>
            </w:pPr>
            <w:r>
              <w:rPr>
                <w:rFonts w:ascii="Arial" w:cs="Arial" w:eastAsia="Arial" w:hAnsi="Arial"/>
                <w:sz w:val="16"/>
                <w:szCs w:val="16"/>
                <w:color w:val="auto"/>
              </w:rPr>
              <w:t>233,506</w:t>
            </w:r>
          </w:p>
        </w:tc>
      </w:tr>
      <w:tr>
        <w:trPr>
          <w:trHeight w:val="206"/>
        </w:trPr>
        <w:tc>
          <w:tcPr>
            <w:tcW w:w="4140" w:type="dxa"/>
            <w:vAlign w:val="bottom"/>
            <w:tcBorders>
              <w:bottom w:val="single" w:sz="8" w:color="E5EAF5"/>
            </w:tcBorders>
            <w:gridSpan w:val="2"/>
            <w:shd w:val="clear" w:color="auto" w:fill="E5EAF5"/>
          </w:tcPr>
          <w:p>
            <w:pPr>
              <w:ind w:left="60"/>
              <w:spacing w:after="0"/>
              <w:rPr>
                <w:sz w:val="20"/>
                <w:szCs w:val="20"/>
                <w:color w:val="auto"/>
              </w:rPr>
            </w:pPr>
            <w:r>
              <w:rPr>
                <w:rFonts w:ascii="Arial" w:cs="Arial" w:eastAsia="Arial" w:hAnsi="Arial"/>
                <w:sz w:val="16"/>
                <w:szCs w:val="16"/>
                <w:color w:val="auto"/>
              </w:rPr>
              <w:t>Susan E. Docherty</w:t>
            </w:r>
          </w:p>
        </w:tc>
        <w:tc>
          <w:tcPr>
            <w:tcW w:w="1160" w:type="dxa"/>
            <w:vAlign w:val="bottom"/>
            <w:tcBorders>
              <w:bottom w:val="single" w:sz="8" w:color="E5EAF5"/>
            </w:tcBorders>
            <w:shd w:val="clear" w:color="auto" w:fill="E5EAF5"/>
          </w:tcPr>
          <w:p>
            <w:pPr>
              <w:jc w:val="right"/>
              <w:spacing w:after="0"/>
              <w:rPr>
                <w:sz w:val="20"/>
                <w:szCs w:val="20"/>
                <w:color w:val="auto"/>
              </w:rPr>
            </w:pPr>
            <w:r>
              <w:rPr>
                <w:rFonts w:ascii="Arial" w:cs="Arial" w:eastAsia="Arial" w:hAnsi="Arial"/>
                <w:sz w:val="16"/>
                <w:szCs w:val="16"/>
                <w:color w:val="auto"/>
              </w:rPr>
              <w:t>98,245</w:t>
            </w:r>
          </w:p>
        </w:tc>
        <w:tc>
          <w:tcPr>
            <w:tcW w:w="1360" w:type="dxa"/>
            <w:vAlign w:val="bottom"/>
            <w:tcBorders>
              <w:bottom w:val="single" w:sz="8" w:color="E5EAF5"/>
            </w:tcBorders>
            <w:shd w:val="clear" w:color="auto" w:fill="E5EAF5"/>
          </w:tcPr>
          <w:p>
            <w:pPr>
              <w:jc w:val="right"/>
              <w:ind w:right="163"/>
              <w:spacing w:after="0"/>
              <w:rPr>
                <w:sz w:val="20"/>
                <w:szCs w:val="20"/>
                <w:color w:val="auto"/>
              </w:rPr>
            </w:pPr>
            <w:r>
              <w:rPr>
                <w:rFonts w:ascii="Arial" w:cs="Arial" w:eastAsia="Arial" w:hAnsi="Arial"/>
                <w:sz w:val="16"/>
                <w:szCs w:val="16"/>
                <w:color w:val="auto"/>
              </w:rPr>
              <w:t>124,934</w:t>
            </w:r>
          </w:p>
        </w:tc>
        <w:tc>
          <w:tcPr>
            <w:tcW w:w="1740" w:type="dxa"/>
            <w:vAlign w:val="bottom"/>
            <w:tcBorders>
              <w:bottom w:val="single" w:sz="8" w:color="E5EAF5"/>
            </w:tcBorders>
            <w:shd w:val="clear" w:color="auto" w:fill="E5EAF5"/>
          </w:tcPr>
          <w:p>
            <w:pPr>
              <w:jc w:val="right"/>
              <w:ind w:right="245"/>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E5EAF5"/>
            </w:tcBorders>
            <w:shd w:val="clear" w:color="auto" w:fill="E5EAF5"/>
          </w:tcPr>
          <w:p>
            <w:pPr>
              <w:jc w:val="right"/>
              <w:ind w:right="203"/>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E5EAF5"/>
            </w:tcBorders>
            <w:shd w:val="clear" w:color="auto" w:fill="E5EAF5"/>
          </w:tcPr>
          <w:p>
            <w:pPr>
              <w:jc w:val="right"/>
              <w:spacing w:after="0"/>
              <w:rPr>
                <w:sz w:val="20"/>
                <w:szCs w:val="20"/>
                <w:color w:val="auto"/>
              </w:rPr>
            </w:pPr>
            <w:r>
              <w:rPr>
                <w:rFonts w:ascii="Arial" w:cs="Arial" w:eastAsia="Arial" w:hAnsi="Arial"/>
                <w:sz w:val="16"/>
                <w:szCs w:val="16"/>
                <w:color w:val="auto"/>
              </w:rPr>
              <w:t>223,179</w:t>
            </w:r>
          </w:p>
        </w:tc>
      </w:tr>
      <w:tr>
        <w:trPr>
          <w:trHeight w:val="206"/>
        </w:trPr>
        <w:tc>
          <w:tcPr>
            <w:tcW w:w="4140" w:type="dxa"/>
            <w:vAlign w:val="bottom"/>
            <w:gridSpan w:val="2"/>
          </w:tcPr>
          <w:p>
            <w:pPr>
              <w:ind w:left="60"/>
              <w:spacing w:after="0"/>
              <w:rPr>
                <w:sz w:val="20"/>
                <w:szCs w:val="20"/>
                <w:color w:val="auto"/>
              </w:rPr>
            </w:pPr>
            <w:r>
              <w:rPr>
                <w:rFonts w:ascii="Arial" w:cs="Arial" w:eastAsia="Arial" w:hAnsi="Arial"/>
                <w:sz w:val="16"/>
                <w:szCs w:val="16"/>
                <w:color w:val="auto"/>
              </w:rPr>
              <w:t>Reginald D. Hedgebeth</w:t>
            </w:r>
          </w:p>
        </w:tc>
        <w:tc>
          <w:tcPr>
            <w:tcW w:w="1160" w:type="dxa"/>
            <w:vAlign w:val="bottom"/>
          </w:tcPr>
          <w:p>
            <w:pPr>
              <w:jc w:val="right"/>
              <w:spacing w:after="0"/>
              <w:rPr>
                <w:sz w:val="20"/>
                <w:szCs w:val="20"/>
                <w:color w:val="auto"/>
              </w:rPr>
            </w:pPr>
            <w:r>
              <w:rPr>
                <w:rFonts w:ascii="Arial" w:cs="Arial" w:eastAsia="Arial" w:hAnsi="Arial"/>
                <w:sz w:val="16"/>
                <w:szCs w:val="16"/>
                <w:color w:val="auto"/>
              </w:rPr>
              <w:t>109,925</w:t>
            </w:r>
          </w:p>
        </w:tc>
        <w:tc>
          <w:tcPr>
            <w:tcW w:w="1360" w:type="dxa"/>
            <w:vAlign w:val="bottom"/>
          </w:tcPr>
          <w:p>
            <w:pPr>
              <w:jc w:val="right"/>
              <w:ind w:right="163"/>
              <w:spacing w:after="0"/>
              <w:rPr>
                <w:sz w:val="20"/>
                <w:szCs w:val="20"/>
                <w:color w:val="auto"/>
              </w:rPr>
            </w:pPr>
            <w:r>
              <w:rPr>
                <w:rFonts w:ascii="Arial" w:cs="Arial" w:eastAsia="Arial" w:hAnsi="Arial"/>
                <w:sz w:val="16"/>
                <w:szCs w:val="16"/>
                <w:color w:val="auto"/>
              </w:rPr>
              <w:t>124,934</w:t>
            </w:r>
          </w:p>
        </w:tc>
        <w:tc>
          <w:tcPr>
            <w:tcW w:w="1740" w:type="dxa"/>
            <w:vAlign w:val="bottom"/>
          </w:tcPr>
          <w:p>
            <w:pPr>
              <w:jc w:val="right"/>
              <w:ind w:right="185"/>
              <w:spacing w:after="0"/>
              <w:rPr>
                <w:sz w:val="20"/>
                <w:szCs w:val="20"/>
                <w:color w:val="auto"/>
              </w:rPr>
            </w:pPr>
            <w:r>
              <w:rPr>
                <w:rFonts w:ascii="Arial" w:cs="Arial" w:eastAsia="Arial" w:hAnsi="Arial"/>
                <w:sz w:val="16"/>
                <w:szCs w:val="16"/>
                <w:color w:val="auto"/>
              </w:rPr>
              <w:t>(9,370)</w:t>
            </w:r>
          </w:p>
        </w:tc>
        <w:tc>
          <w:tcPr>
            <w:tcW w:w="1680" w:type="dxa"/>
            <w:vAlign w:val="bottom"/>
          </w:tcPr>
          <w:p>
            <w:pPr>
              <w:jc w:val="right"/>
              <w:ind w:right="203"/>
              <w:spacing w:after="0"/>
              <w:rPr>
                <w:sz w:val="20"/>
                <w:szCs w:val="20"/>
                <w:color w:val="auto"/>
              </w:rPr>
            </w:pPr>
            <w:r>
              <w:rPr>
                <w:rFonts w:ascii="Arial" w:cs="Arial" w:eastAsia="Arial" w:hAnsi="Arial"/>
                <w:sz w:val="16"/>
                <w:szCs w:val="16"/>
                <w:color w:val="auto"/>
              </w:rPr>
              <w:t>17,211</w:t>
            </w:r>
          </w:p>
        </w:tc>
        <w:tc>
          <w:tcPr>
            <w:tcW w:w="940" w:type="dxa"/>
            <w:vAlign w:val="bottom"/>
          </w:tcPr>
          <w:p>
            <w:pPr>
              <w:jc w:val="right"/>
              <w:spacing w:after="0"/>
              <w:rPr>
                <w:sz w:val="20"/>
                <w:szCs w:val="20"/>
                <w:color w:val="auto"/>
              </w:rPr>
            </w:pPr>
            <w:r>
              <w:rPr>
                <w:rFonts w:ascii="Arial" w:cs="Arial" w:eastAsia="Arial" w:hAnsi="Arial"/>
                <w:sz w:val="16"/>
                <w:szCs w:val="16"/>
                <w:color w:val="auto"/>
              </w:rPr>
              <w:t>242,700</w:t>
            </w:r>
          </w:p>
        </w:tc>
      </w:tr>
      <w:tr>
        <w:trPr>
          <w:trHeight w:val="206"/>
        </w:trPr>
        <w:tc>
          <w:tcPr>
            <w:tcW w:w="4140" w:type="dxa"/>
            <w:vAlign w:val="bottom"/>
            <w:tcBorders>
              <w:bottom w:val="single" w:sz="8" w:color="E5EAF5"/>
            </w:tcBorders>
            <w:gridSpan w:val="2"/>
            <w:shd w:val="clear" w:color="auto" w:fill="E5EAF5"/>
          </w:tcPr>
          <w:p>
            <w:pPr>
              <w:ind w:left="60"/>
              <w:spacing w:after="0"/>
              <w:rPr>
                <w:sz w:val="20"/>
                <w:szCs w:val="20"/>
                <w:color w:val="auto"/>
              </w:rPr>
            </w:pPr>
            <w:r>
              <w:rPr>
                <w:rFonts w:ascii="Arial" w:cs="Arial" w:eastAsia="Arial" w:hAnsi="Arial"/>
                <w:sz w:val="16"/>
                <w:szCs w:val="16"/>
                <w:color w:val="auto"/>
              </w:rPr>
              <w:t>Dan R. Henry</w:t>
            </w:r>
          </w:p>
        </w:tc>
        <w:tc>
          <w:tcPr>
            <w:tcW w:w="1160" w:type="dxa"/>
            <w:vAlign w:val="bottom"/>
            <w:tcBorders>
              <w:bottom w:val="single" w:sz="8" w:color="E5EAF5"/>
            </w:tcBorders>
            <w:shd w:val="clear" w:color="auto" w:fill="E5EAF5"/>
          </w:tcPr>
          <w:p>
            <w:pPr>
              <w:jc w:val="right"/>
              <w:spacing w:after="0"/>
              <w:rPr>
                <w:sz w:val="20"/>
                <w:szCs w:val="20"/>
                <w:color w:val="auto"/>
              </w:rPr>
            </w:pPr>
            <w:r>
              <w:rPr>
                <w:rFonts w:ascii="Arial" w:cs="Arial" w:eastAsia="Arial" w:hAnsi="Arial"/>
                <w:sz w:val="16"/>
                <w:szCs w:val="16"/>
                <w:color w:val="auto"/>
              </w:rPr>
              <w:t>95,786</w:t>
            </w:r>
          </w:p>
        </w:tc>
        <w:tc>
          <w:tcPr>
            <w:tcW w:w="1360" w:type="dxa"/>
            <w:vAlign w:val="bottom"/>
            <w:tcBorders>
              <w:bottom w:val="single" w:sz="8" w:color="E5EAF5"/>
            </w:tcBorders>
            <w:shd w:val="clear" w:color="auto" w:fill="E5EAF5"/>
          </w:tcPr>
          <w:p>
            <w:pPr>
              <w:jc w:val="right"/>
              <w:ind w:right="163"/>
              <w:spacing w:after="0"/>
              <w:rPr>
                <w:sz w:val="20"/>
                <w:szCs w:val="20"/>
                <w:color w:val="auto"/>
              </w:rPr>
            </w:pPr>
            <w:r>
              <w:rPr>
                <w:rFonts w:ascii="Arial" w:cs="Arial" w:eastAsia="Arial" w:hAnsi="Arial"/>
                <w:sz w:val="16"/>
                <w:szCs w:val="16"/>
                <w:color w:val="auto"/>
              </w:rPr>
              <w:t>183,361</w:t>
            </w:r>
          </w:p>
        </w:tc>
        <w:tc>
          <w:tcPr>
            <w:tcW w:w="1740" w:type="dxa"/>
            <w:vAlign w:val="bottom"/>
            <w:tcBorders>
              <w:bottom w:val="single" w:sz="8" w:color="E5EAF5"/>
            </w:tcBorders>
            <w:shd w:val="clear" w:color="auto" w:fill="E5EAF5"/>
          </w:tcPr>
          <w:p>
            <w:pPr>
              <w:jc w:val="right"/>
              <w:ind w:right="245"/>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E5EAF5"/>
            </w:tcBorders>
            <w:shd w:val="clear" w:color="auto" w:fill="E5EAF5"/>
          </w:tcPr>
          <w:p>
            <w:pPr>
              <w:jc w:val="right"/>
              <w:ind w:right="203"/>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E5EAF5"/>
            </w:tcBorders>
            <w:shd w:val="clear" w:color="auto" w:fill="E5EAF5"/>
          </w:tcPr>
          <w:p>
            <w:pPr>
              <w:jc w:val="right"/>
              <w:spacing w:after="0"/>
              <w:rPr>
                <w:sz w:val="20"/>
                <w:szCs w:val="20"/>
                <w:color w:val="auto"/>
              </w:rPr>
            </w:pPr>
            <w:r>
              <w:rPr>
                <w:rFonts w:ascii="Arial" w:cs="Arial" w:eastAsia="Arial" w:hAnsi="Arial"/>
                <w:sz w:val="16"/>
                <w:szCs w:val="16"/>
                <w:color w:val="auto"/>
              </w:rPr>
              <w:t>279,147</w:t>
            </w:r>
          </w:p>
        </w:tc>
      </w:tr>
      <w:tr>
        <w:trPr>
          <w:trHeight w:val="206"/>
        </w:trPr>
        <w:tc>
          <w:tcPr>
            <w:tcW w:w="4140" w:type="dxa"/>
            <w:vAlign w:val="bottom"/>
            <w:gridSpan w:val="2"/>
          </w:tcPr>
          <w:p>
            <w:pPr>
              <w:ind w:left="60"/>
              <w:spacing w:after="0"/>
              <w:rPr>
                <w:sz w:val="20"/>
                <w:szCs w:val="20"/>
                <w:color w:val="auto"/>
              </w:rPr>
            </w:pPr>
            <w:r>
              <w:rPr>
                <w:rFonts w:ascii="Arial" w:cs="Arial" w:eastAsia="Arial" w:hAnsi="Arial"/>
                <w:sz w:val="16"/>
                <w:szCs w:val="16"/>
                <w:color w:val="auto"/>
              </w:rPr>
              <w:t>Michael J. Herling</w:t>
            </w:r>
          </w:p>
        </w:tc>
        <w:tc>
          <w:tcPr>
            <w:tcW w:w="1160" w:type="dxa"/>
            <w:vAlign w:val="bottom"/>
          </w:tcPr>
          <w:p>
            <w:pPr>
              <w:jc w:val="right"/>
              <w:spacing w:after="0"/>
              <w:rPr>
                <w:sz w:val="20"/>
                <w:szCs w:val="20"/>
                <w:color w:val="auto"/>
              </w:rPr>
            </w:pPr>
            <w:r>
              <w:rPr>
                <w:rFonts w:ascii="Arial" w:cs="Arial" w:eastAsia="Arial" w:hAnsi="Arial"/>
                <w:sz w:val="16"/>
                <w:szCs w:val="16"/>
                <w:color w:val="auto"/>
              </w:rPr>
              <w:t>158,120</w:t>
            </w:r>
          </w:p>
        </w:tc>
        <w:tc>
          <w:tcPr>
            <w:tcW w:w="1360" w:type="dxa"/>
            <w:vAlign w:val="bottom"/>
          </w:tcPr>
          <w:p>
            <w:pPr>
              <w:jc w:val="right"/>
              <w:ind w:right="163"/>
              <w:spacing w:after="0"/>
              <w:rPr>
                <w:sz w:val="20"/>
                <w:szCs w:val="20"/>
                <w:color w:val="auto"/>
              </w:rPr>
            </w:pPr>
            <w:r>
              <w:rPr>
                <w:rFonts w:ascii="Arial" w:cs="Arial" w:eastAsia="Arial" w:hAnsi="Arial"/>
                <w:sz w:val="16"/>
                <w:szCs w:val="16"/>
                <w:color w:val="auto"/>
              </w:rPr>
              <w:t>179,797</w:t>
            </w:r>
          </w:p>
        </w:tc>
        <w:tc>
          <w:tcPr>
            <w:tcW w:w="1740" w:type="dxa"/>
            <w:vAlign w:val="bottom"/>
          </w:tcPr>
          <w:p>
            <w:pPr>
              <w:jc w:val="right"/>
              <w:ind w:right="245"/>
              <w:spacing w:after="0"/>
              <w:rPr>
                <w:sz w:val="20"/>
                <w:szCs w:val="20"/>
                <w:color w:val="auto"/>
              </w:rPr>
            </w:pPr>
            <w:r>
              <w:rPr>
                <w:rFonts w:ascii="Arial" w:cs="Arial" w:eastAsia="Arial" w:hAnsi="Arial"/>
                <w:sz w:val="16"/>
                <w:szCs w:val="16"/>
                <w:color w:val="auto"/>
              </w:rPr>
              <w:t>34,004</w:t>
            </w:r>
          </w:p>
        </w:tc>
        <w:tc>
          <w:tcPr>
            <w:tcW w:w="1680" w:type="dxa"/>
            <w:vAlign w:val="bottom"/>
          </w:tcPr>
          <w:p>
            <w:pPr>
              <w:jc w:val="right"/>
              <w:ind w:right="203"/>
              <w:spacing w:after="0"/>
              <w:rPr>
                <w:sz w:val="20"/>
                <w:szCs w:val="20"/>
                <w:color w:val="auto"/>
              </w:rPr>
            </w:pPr>
            <w:r>
              <w:rPr>
                <w:rFonts w:ascii="Arial" w:cs="Arial" w:eastAsia="Arial" w:hAnsi="Arial"/>
                <w:sz w:val="16"/>
                <w:szCs w:val="16"/>
                <w:color w:val="auto"/>
              </w:rPr>
              <w:t>10,000</w:t>
            </w:r>
          </w:p>
        </w:tc>
        <w:tc>
          <w:tcPr>
            <w:tcW w:w="940" w:type="dxa"/>
            <w:vAlign w:val="bottom"/>
          </w:tcPr>
          <w:p>
            <w:pPr>
              <w:jc w:val="right"/>
              <w:spacing w:after="0"/>
              <w:rPr>
                <w:sz w:val="20"/>
                <w:szCs w:val="20"/>
                <w:color w:val="auto"/>
              </w:rPr>
            </w:pPr>
            <w:r>
              <w:rPr>
                <w:rFonts w:ascii="Arial" w:cs="Arial" w:eastAsia="Arial" w:hAnsi="Arial"/>
                <w:sz w:val="16"/>
                <w:szCs w:val="16"/>
                <w:color w:val="auto"/>
              </w:rPr>
              <w:t>381,921</w:t>
            </w:r>
          </w:p>
        </w:tc>
      </w:tr>
      <w:tr>
        <w:trPr>
          <w:trHeight w:val="244"/>
        </w:trPr>
        <w:tc>
          <w:tcPr>
            <w:tcW w:w="4140" w:type="dxa"/>
            <w:vAlign w:val="bottom"/>
            <w:tcBorders>
              <w:bottom w:val="single" w:sz="8" w:color="E5EAF5"/>
            </w:tcBorders>
            <w:gridSpan w:val="2"/>
            <w:shd w:val="clear" w:color="auto" w:fill="E5EAF5"/>
          </w:tcPr>
          <w:p>
            <w:pPr>
              <w:ind w:left="60"/>
              <w:spacing w:after="0"/>
              <w:rPr>
                <w:sz w:val="20"/>
                <w:szCs w:val="20"/>
                <w:color w:val="auto"/>
              </w:rPr>
            </w:pPr>
            <w:r>
              <w:rPr>
                <w:rFonts w:ascii="Arial" w:cs="Arial" w:eastAsia="Arial" w:hAnsi="Arial"/>
                <w:sz w:val="16"/>
                <w:szCs w:val="16"/>
                <w:color w:val="auto"/>
              </w:rPr>
              <w:t>George I. Stoeckert</w:t>
            </w:r>
          </w:p>
        </w:tc>
        <w:tc>
          <w:tcPr>
            <w:tcW w:w="1160" w:type="dxa"/>
            <w:vAlign w:val="bottom"/>
            <w:tcBorders>
              <w:bottom w:val="single" w:sz="8" w:color="E5EAF5"/>
            </w:tcBorders>
            <w:shd w:val="clear" w:color="auto" w:fill="E5EAF5"/>
          </w:tcPr>
          <w:p>
            <w:pPr>
              <w:jc w:val="right"/>
              <w:spacing w:after="0"/>
              <w:rPr>
                <w:sz w:val="20"/>
                <w:szCs w:val="20"/>
                <w:color w:val="auto"/>
              </w:rPr>
            </w:pPr>
            <w:r>
              <w:rPr>
                <w:rFonts w:ascii="Arial" w:cs="Arial" w:eastAsia="Arial" w:hAnsi="Arial"/>
                <w:sz w:val="16"/>
                <w:szCs w:val="16"/>
                <w:color w:val="auto"/>
              </w:rPr>
              <w:t>111,969</w:t>
            </w:r>
          </w:p>
        </w:tc>
        <w:tc>
          <w:tcPr>
            <w:tcW w:w="1360" w:type="dxa"/>
            <w:vAlign w:val="bottom"/>
            <w:tcBorders>
              <w:bottom w:val="single" w:sz="8" w:color="E5EAF5"/>
            </w:tcBorders>
            <w:shd w:val="clear" w:color="auto" w:fill="E5EAF5"/>
          </w:tcPr>
          <w:p>
            <w:pPr>
              <w:jc w:val="right"/>
              <w:ind w:right="163"/>
              <w:spacing w:after="0"/>
              <w:rPr>
                <w:sz w:val="20"/>
                <w:szCs w:val="20"/>
                <w:color w:val="auto"/>
              </w:rPr>
            </w:pPr>
            <w:r>
              <w:rPr>
                <w:rFonts w:ascii="Arial" w:cs="Arial" w:eastAsia="Arial" w:hAnsi="Arial"/>
                <w:sz w:val="16"/>
                <w:szCs w:val="16"/>
                <w:color w:val="auto"/>
              </w:rPr>
              <w:t>124,934</w:t>
            </w:r>
          </w:p>
        </w:tc>
        <w:tc>
          <w:tcPr>
            <w:tcW w:w="1740" w:type="dxa"/>
            <w:vAlign w:val="bottom"/>
            <w:tcBorders>
              <w:bottom w:val="single" w:sz="8" w:color="E5EAF5"/>
            </w:tcBorders>
            <w:shd w:val="clear" w:color="auto" w:fill="E5EAF5"/>
          </w:tcPr>
          <w:p>
            <w:pPr>
              <w:jc w:val="right"/>
              <w:ind w:right="245"/>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E5EAF5"/>
            </w:tcBorders>
            <w:shd w:val="clear" w:color="auto" w:fill="E5EAF5"/>
          </w:tcPr>
          <w:p>
            <w:pPr>
              <w:jc w:val="right"/>
              <w:ind w:right="203"/>
              <w:spacing w:after="0"/>
              <w:rPr>
                <w:sz w:val="20"/>
                <w:szCs w:val="20"/>
                <w:color w:val="auto"/>
              </w:rPr>
            </w:pPr>
            <w:r>
              <w:rPr>
                <w:rFonts w:ascii="Arial" w:cs="Arial" w:eastAsia="Arial" w:hAnsi="Arial"/>
                <w:sz w:val="16"/>
                <w:szCs w:val="16"/>
                <w:color w:val="auto"/>
              </w:rPr>
              <w:t>10,000</w:t>
            </w:r>
          </w:p>
        </w:tc>
        <w:tc>
          <w:tcPr>
            <w:tcW w:w="940" w:type="dxa"/>
            <w:vAlign w:val="bottom"/>
            <w:tcBorders>
              <w:bottom w:val="single" w:sz="8" w:color="E5EAF5"/>
            </w:tcBorders>
            <w:shd w:val="clear" w:color="auto" w:fill="E5EAF5"/>
          </w:tcPr>
          <w:p>
            <w:pPr>
              <w:jc w:val="right"/>
              <w:spacing w:after="0"/>
              <w:rPr>
                <w:sz w:val="20"/>
                <w:szCs w:val="20"/>
                <w:color w:val="auto"/>
              </w:rPr>
            </w:pPr>
            <w:r>
              <w:rPr>
                <w:rFonts w:ascii="Arial" w:cs="Arial" w:eastAsia="Arial" w:hAnsi="Arial"/>
                <w:sz w:val="16"/>
                <w:szCs w:val="16"/>
                <w:color w:val="auto"/>
              </w:rPr>
              <w:t>246,903</w:t>
            </w:r>
          </w:p>
        </w:tc>
      </w:tr>
      <w:tr>
        <w:trPr>
          <w:trHeight w:val="129"/>
        </w:trPr>
        <w:tc>
          <w:tcPr>
            <w:tcW w:w="1740" w:type="dxa"/>
            <w:vAlign w:val="bottom"/>
            <w:tcBorders>
              <w:top w:val="single" w:sz="8" w:color="0033A0"/>
              <w:bottom w:val="single" w:sz="8" w:color="auto"/>
            </w:tcBorders>
          </w:tcPr>
          <w:p>
            <w:pPr>
              <w:spacing w:after="0"/>
              <w:rPr>
                <w:sz w:val="11"/>
                <w:szCs w:val="11"/>
                <w:color w:val="auto"/>
              </w:rPr>
            </w:pPr>
          </w:p>
        </w:tc>
        <w:tc>
          <w:tcPr>
            <w:tcW w:w="2400" w:type="dxa"/>
            <w:vAlign w:val="bottom"/>
            <w:tcBorders>
              <w:top w:val="single" w:sz="8" w:color="0033A0"/>
            </w:tcBorders>
          </w:tcPr>
          <w:p>
            <w:pPr>
              <w:spacing w:after="0"/>
              <w:rPr>
                <w:sz w:val="11"/>
                <w:szCs w:val="11"/>
                <w:color w:val="auto"/>
              </w:rPr>
            </w:pPr>
          </w:p>
        </w:tc>
        <w:tc>
          <w:tcPr>
            <w:tcW w:w="1160" w:type="dxa"/>
            <w:vAlign w:val="bottom"/>
            <w:tcBorders>
              <w:top w:val="single" w:sz="8" w:color="0033A0"/>
            </w:tcBorders>
          </w:tcPr>
          <w:p>
            <w:pPr>
              <w:spacing w:after="0"/>
              <w:rPr>
                <w:sz w:val="11"/>
                <w:szCs w:val="11"/>
                <w:color w:val="auto"/>
              </w:rPr>
            </w:pPr>
          </w:p>
        </w:tc>
        <w:tc>
          <w:tcPr>
            <w:tcW w:w="1360" w:type="dxa"/>
            <w:vAlign w:val="bottom"/>
            <w:tcBorders>
              <w:top w:val="single" w:sz="8" w:color="0033A0"/>
            </w:tcBorders>
          </w:tcPr>
          <w:p>
            <w:pPr>
              <w:spacing w:after="0"/>
              <w:rPr>
                <w:sz w:val="11"/>
                <w:szCs w:val="11"/>
                <w:color w:val="auto"/>
              </w:rPr>
            </w:pPr>
          </w:p>
        </w:tc>
        <w:tc>
          <w:tcPr>
            <w:tcW w:w="1740" w:type="dxa"/>
            <w:vAlign w:val="bottom"/>
            <w:tcBorders>
              <w:top w:val="single" w:sz="8" w:color="0033A0"/>
            </w:tcBorders>
          </w:tcPr>
          <w:p>
            <w:pPr>
              <w:spacing w:after="0"/>
              <w:rPr>
                <w:sz w:val="11"/>
                <w:szCs w:val="11"/>
                <w:color w:val="auto"/>
              </w:rPr>
            </w:pPr>
          </w:p>
        </w:tc>
        <w:tc>
          <w:tcPr>
            <w:tcW w:w="1680" w:type="dxa"/>
            <w:vAlign w:val="bottom"/>
            <w:tcBorders>
              <w:top w:val="single" w:sz="8" w:color="0033A0"/>
            </w:tcBorders>
          </w:tcPr>
          <w:p>
            <w:pPr>
              <w:spacing w:after="0"/>
              <w:rPr>
                <w:sz w:val="11"/>
                <w:szCs w:val="11"/>
                <w:color w:val="auto"/>
              </w:rPr>
            </w:pPr>
          </w:p>
        </w:tc>
        <w:tc>
          <w:tcPr>
            <w:tcW w:w="940" w:type="dxa"/>
            <w:vAlign w:val="bottom"/>
            <w:tcBorders>
              <w:top w:val="single" w:sz="8" w:color="0033A0"/>
            </w:tcBorders>
          </w:tcPr>
          <w:p>
            <w:pPr>
              <w:spacing w:after="0"/>
              <w:rPr>
                <w:sz w:val="11"/>
                <w:szCs w:val="11"/>
                <w:color w:val="auto"/>
              </w:rPr>
            </w:pPr>
          </w:p>
        </w:tc>
      </w:tr>
    </w:tbl>
    <w:p>
      <w:pPr>
        <w:spacing w:after="0" w:line="45" w:lineRule="exact"/>
        <w:rPr>
          <w:sz w:val="20"/>
          <w:szCs w:val="20"/>
          <w:color w:val="auto"/>
        </w:rPr>
      </w:pPr>
    </w:p>
    <w:p>
      <w:pPr>
        <w:ind w:left="520" w:right="220" w:hanging="316"/>
        <w:spacing w:after="0" w:line="183" w:lineRule="auto"/>
        <w:tabs>
          <w:tab w:leader="none" w:pos="520" w:val="left"/>
        </w:tabs>
        <w:numPr>
          <w:ilvl w:val="0"/>
          <w:numId w:val="79"/>
        </w:numPr>
        <w:rPr>
          <w:rFonts w:ascii="Arial" w:cs="Arial" w:eastAsia="Arial" w:hAnsi="Arial"/>
          <w:sz w:val="24"/>
          <w:szCs w:val="24"/>
          <w:color w:val="auto"/>
          <w:vertAlign w:val="superscript"/>
        </w:rPr>
      </w:pPr>
      <w:r>
        <w:rPr>
          <w:rFonts w:ascii="Arial" w:cs="Arial" w:eastAsia="Arial" w:hAnsi="Arial"/>
          <w:sz w:val="14"/>
          <w:szCs w:val="14"/>
          <w:color w:val="auto"/>
        </w:rPr>
        <w:t>Represents fees earned before deferral of any amounts under the Plan for Deferral of Directors’ Fees and fees earned in cash, but elected to be paid in shares of the Company’s common stock.</w:t>
      </w:r>
    </w:p>
    <w:p>
      <w:pPr>
        <w:spacing w:after="0" w:line="31" w:lineRule="exact"/>
        <w:rPr>
          <w:rFonts w:ascii="Arial" w:cs="Arial" w:eastAsia="Arial" w:hAnsi="Arial"/>
          <w:sz w:val="24"/>
          <w:szCs w:val="24"/>
          <w:color w:val="auto"/>
          <w:vertAlign w:val="superscript"/>
        </w:rPr>
      </w:pPr>
    </w:p>
    <w:p>
      <w:pPr>
        <w:ind w:left="520" w:right="160" w:hanging="316"/>
        <w:spacing w:after="0" w:line="199" w:lineRule="auto"/>
        <w:tabs>
          <w:tab w:leader="none" w:pos="520" w:val="left"/>
        </w:tabs>
        <w:numPr>
          <w:ilvl w:val="0"/>
          <w:numId w:val="79"/>
        </w:numPr>
        <w:rPr>
          <w:rFonts w:ascii="Arial" w:cs="Arial" w:eastAsia="Arial" w:hAnsi="Arial"/>
          <w:sz w:val="24"/>
          <w:szCs w:val="24"/>
          <w:color w:val="auto"/>
          <w:vertAlign w:val="superscript"/>
        </w:rPr>
      </w:pPr>
      <w:r>
        <w:rPr>
          <w:rFonts w:ascii="Arial" w:cs="Arial" w:eastAsia="Arial" w:hAnsi="Arial"/>
          <w:sz w:val="14"/>
          <w:szCs w:val="14"/>
          <w:color w:val="auto"/>
        </w:rPr>
        <w:t>Represents the grant date fair value in 2018 related to the allocation of DSUs representing shares of Brink’s Common Stock to each non-employee director under the terms of the 2017 Equity Incentive Plan and the grant date fair value of stock awards made to Mr. Herling as his compensation for service as Non-Executive Chairman of the Board. For Mr. Henry, includes a pro-rated DSU award in connection with his joining the Board in October 2017.</w:t>
      </w:r>
    </w:p>
    <w:p>
      <w:pPr>
        <w:spacing w:after="0" w:line="30" w:lineRule="exact"/>
        <w:rPr>
          <w:rFonts w:ascii="Arial" w:cs="Arial" w:eastAsia="Arial" w:hAnsi="Arial"/>
          <w:sz w:val="24"/>
          <w:szCs w:val="24"/>
          <w:color w:val="auto"/>
          <w:vertAlign w:val="superscript"/>
        </w:rPr>
      </w:pPr>
    </w:p>
    <w:p>
      <w:pPr>
        <w:ind w:left="520" w:right="200"/>
        <w:spacing w:after="0" w:line="250" w:lineRule="auto"/>
        <w:rPr>
          <w:rFonts w:ascii="Arial" w:cs="Arial" w:eastAsia="Arial" w:hAnsi="Arial"/>
          <w:sz w:val="24"/>
          <w:szCs w:val="24"/>
          <w:color w:val="auto"/>
          <w:vertAlign w:val="superscript"/>
        </w:rPr>
      </w:pPr>
      <w:r>
        <w:rPr>
          <w:rFonts w:ascii="Arial" w:cs="Arial" w:eastAsia="Arial" w:hAnsi="Arial"/>
          <w:sz w:val="14"/>
          <w:szCs w:val="14"/>
          <w:color w:val="auto"/>
        </w:rPr>
        <w:t>The following table sets forth (a) the number of DSUs granted to each non-employee director during the year ended December 31, 2018, (b) the aggregate grant date fair value of the DSUs granted to each non-employee director during the year ended December 31, 2018 and (c) the aggregate number of DSUs credited to each non-employee director as of December 31, 2018.</w:t>
      </w:r>
    </w:p>
    <w:p>
      <w:pPr>
        <w:spacing w:after="0" w:line="72"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608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Arial" w:cs="Arial" w:eastAsia="Arial" w:hAnsi="Arial"/>
                <w:sz w:val="13"/>
                <w:szCs w:val="13"/>
                <w:b w:val="1"/>
                <w:bCs w:val="1"/>
                <w:color w:val="0033A0"/>
              </w:rPr>
              <w:t>DSUs Granted</w:t>
            </w:r>
          </w:p>
        </w:tc>
        <w:tc>
          <w:tcPr>
            <w:tcW w:w="1560" w:type="dxa"/>
            <w:vAlign w:val="bottom"/>
          </w:tcPr>
          <w:p>
            <w:pPr>
              <w:jc w:val="right"/>
              <w:ind w:right="270"/>
              <w:spacing w:after="0"/>
              <w:rPr>
                <w:sz w:val="20"/>
                <w:szCs w:val="20"/>
                <w:color w:val="auto"/>
              </w:rPr>
            </w:pPr>
            <w:r>
              <w:rPr>
                <w:rFonts w:ascii="Arial" w:cs="Arial" w:eastAsia="Arial" w:hAnsi="Arial"/>
                <w:sz w:val="13"/>
                <w:szCs w:val="13"/>
                <w:b w:val="1"/>
                <w:bCs w:val="1"/>
                <w:color w:val="0033A0"/>
              </w:rPr>
              <w:t>Grant Date</w:t>
            </w:r>
          </w:p>
        </w:tc>
        <w:tc>
          <w:tcPr>
            <w:tcW w:w="1020" w:type="dxa"/>
            <w:vAlign w:val="bottom"/>
          </w:tcPr>
          <w:p>
            <w:pPr>
              <w:jc w:val="right"/>
              <w:spacing w:after="0"/>
              <w:rPr>
                <w:sz w:val="20"/>
                <w:szCs w:val="20"/>
                <w:color w:val="auto"/>
              </w:rPr>
            </w:pPr>
            <w:r>
              <w:rPr>
                <w:rFonts w:ascii="Arial" w:cs="Arial" w:eastAsia="Arial" w:hAnsi="Arial"/>
                <w:sz w:val="13"/>
                <w:szCs w:val="13"/>
                <w:b w:val="1"/>
                <w:bCs w:val="1"/>
                <w:color w:val="0033A0"/>
              </w:rPr>
              <w:t>Total DSUs</w:t>
            </w:r>
          </w:p>
        </w:tc>
      </w:tr>
      <w:tr>
        <w:trPr>
          <w:trHeight w:val="162"/>
        </w:trPr>
        <w:tc>
          <w:tcPr>
            <w:tcW w:w="6080" w:type="dxa"/>
            <w:vAlign w:val="bottom"/>
            <w:tcBorders>
              <w:bottom w:val="single" w:sz="8" w:color="0033A0"/>
            </w:tcBorders>
          </w:tcPr>
          <w:p>
            <w:pPr>
              <w:ind w:left="60"/>
              <w:spacing w:after="0"/>
              <w:rPr>
                <w:sz w:val="20"/>
                <w:szCs w:val="20"/>
                <w:color w:val="auto"/>
              </w:rPr>
            </w:pPr>
            <w:r>
              <w:rPr>
                <w:rFonts w:ascii="Arial" w:cs="Arial" w:eastAsia="Arial" w:hAnsi="Arial"/>
                <w:sz w:val="13"/>
                <w:szCs w:val="13"/>
                <w:b w:val="1"/>
                <w:bCs w:val="1"/>
                <w:color w:val="0033A0"/>
              </w:rPr>
              <w:t>Name</w:t>
            </w:r>
          </w:p>
        </w:tc>
        <w:tc>
          <w:tcPr>
            <w:tcW w:w="1460" w:type="dxa"/>
            <w:vAlign w:val="bottom"/>
            <w:tcBorders>
              <w:bottom w:val="single" w:sz="8" w:color="0033A0"/>
            </w:tcBorders>
          </w:tcPr>
          <w:p>
            <w:pPr>
              <w:jc w:val="right"/>
              <w:ind w:right="210"/>
              <w:spacing w:after="0"/>
              <w:rPr>
                <w:sz w:val="20"/>
                <w:szCs w:val="20"/>
                <w:color w:val="auto"/>
              </w:rPr>
            </w:pPr>
            <w:r>
              <w:rPr>
                <w:rFonts w:ascii="Arial" w:cs="Arial" w:eastAsia="Arial" w:hAnsi="Arial"/>
                <w:sz w:val="13"/>
                <w:szCs w:val="13"/>
                <w:b w:val="1"/>
                <w:bCs w:val="1"/>
                <w:color w:val="0033A0"/>
              </w:rPr>
              <w:t>in 2018</w:t>
            </w:r>
          </w:p>
        </w:tc>
        <w:tc>
          <w:tcPr>
            <w:tcW w:w="1560" w:type="dxa"/>
            <w:vAlign w:val="bottom"/>
            <w:tcBorders>
              <w:bottom w:val="single" w:sz="8" w:color="0033A0"/>
            </w:tcBorders>
          </w:tcPr>
          <w:p>
            <w:pPr>
              <w:jc w:val="right"/>
              <w:ind w:right="230"/>
              <w:spacing w:after="0"/>
              <w:rPr>
                <w:sz w:val="20"/>
                <w:szCs w:val="20"/>
                <w:color w:val="auto"/>
              </w:rPr>
            </w:pPr>
            <w:r>
              <w:rPr>
                <w:rFonts w:ascii="Arial" w:cs="Arial" w:eastAsia="Arial" w:hAnsi="Arial"/>
                <w:sz w:val="13"/>
                <w:szCs w:val="13"/>
                <w:b w:val="1"/>
                <w:bCs w:val="1"/>
                <w:color w:val="0033A0"/>
              </w:rPr>
              <w:t>Fair Value</w:t>
            </w:r>
            <w:r>
              <w:rPr>
                <w:rFonts w:ascii="Arial" w:cs="Arial" w:eastAsia="Arial" w:hAnsi="Arial"/>
                <w:sz w:val="10"/>
                <w:szCs w:val="10"/>
                <w:b w:val="1"/>
                <w:bCs w:val="1"/>
                <w:color w:val="0033A0"/>
              </w:rPr>
              <w:t>(a)</w:t>
            </w:r>
          </w:p>
        </w:tc>
        <w:tc>
          <w:tcPr>
            <w:tcW w:w="1020" w:type="dxa"/>
            <w:vAlign w:val="bottom"/>
            <w:tcBorders>
              <w:bottom w:val="single" w:sz="8" w:color="0033A0"/>
            </w:tcBorders>
          </w:tcPr>
          <w:p>
            <w:pPr>
              <w:jc w:val="right"/>
              <w:ind w:right="170"/>
              <w:spacing w:after="0"/>
              <w:rPr>
                <w:sz w:val="20"/>
                <w:szCs w:val="20"/>
                <w:color w:val="auto"/>
              </w:rPr>
            </w:pPr>
            <w:r>
              <w:rPr>
                <w:rFonts w:ascii="Arial" w:cs="Arial" w:eastAsia="Arial" w:hAnsi="Arial"/>
                <w:sz w:val="13"/>
                <w:szCs w:val="13"/>
                <w:b w:val="1"/>
                <w:bCs w:val="1"/>
                <w:color w:val="0033A0"/>
              </w:rPr>
              <w:t>Held</w:t>
            </w:r>
          </w:p>
        </w:tc>
      </w:tr>
      <w:tr>
        <w:trPr>
          <w:trHeight w:val="21"/>
        </w:trPr>
        <w:tc>
          <w:tcPr>
            <w:tcW w:w="60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6080" w:type="dxa"/>
            <w:vAlign w:val="bottom"/>
            <w:tcBorders>
              <w:bottom w:val="single" w:sz="8" w:color="D8E0F0"/>
            </w:tcBorders>
            <w:shd w:val="clear" w:color="auto" w:fill="D8E0F0"/>
          </w:tcPr>
          <w:p>
            <w:pPr>
              <w:ind w:left="60"/>
              <w:spacing w:after="0"/>
              <w:rPr>
                <w:sz w:val="20"/>
                <w:szCs w:val="20"/>
                <w:color w:val="auto"/>
              </w:rPr>
            </w:pPr>
            <w:r>
              <w:rPr>
                <w:rFonts w:ascii="Arial" w:cs="Arial" w:eastAsia="Arial" w:hAnsi="Arial"/>
                <w:sz w:val="14"/>
                <w:szCs w:val="14"/>
                <w:color w:val="auto"/>
              </w:rPr>
              <w:t>Mr. Boynton</w:t>
            </w:r>
          </w:p>
        </w:tc>
        <w:tc>
          <w:tcPr>
            <w:tcW w:w="1460" w:type="dxa"/>
            <w:vAlign w:val="bottom"/>
            <w:tcBorders>
              <w:bottom w:val="single" w:sz="8" w:color="D8E0F0"/>
            </w:tcBorders>
            <w:shd w:val="clear" w:color="auto" w:fill="D8E0F0"/>
          </w:tcPr>
          <w:p>
            <w:pPr>
              <w:jc w:val="right"/>
              <w:spacing w:after="0"/>
              <w:rPr>
                <w:sz w:val="20"/>
                <w:szCs w:val="20"/>
                <w:color w:val="auto"/>
              </w:rPr>
            </w:pPr>
            <w:r>
              <w:rPr>
                <w:rFonts w:ascii="Arial" w:cs="Arial" w:eastAsia="Arial" w:hAnsi="Arial"/>
                <w:sz w:val="14"/>
                <w:szCs w:val="14"/>
                <w:color w:val="auto"/>
              </w:rPr>
              <w:t>1,679</w:t>
            </w:r>
          </w:p>
        </w:tc>
        <w:tc>
          <w:tcPr>
            <w:tcW w:w="1560" w:type="dxa"/>
            <w:vAlign w:val="bottom"/>
            <w:tcBorders>
              <w:bottom w:val="single" w:sz="8" w:color="D8E0F0"/>
            </w:tcBorders>
            <w:shd w:val="clear" w:color="auto" w:fill="D8E0F0"/>
          </w:tcPr>
          <w:p>
            <w:pPr>
              <w:jc w:val="right"/>
              <w:ind w:right="230"/>
              <w:spacing w:after="0"/>
              <w:rPr>
                <w:sz w:val="20"/>
                <w:szCs w:val="20"/>
                <w:color w:val="auto"/>
              </w:rPr>
            </w:pPr>
            <w:r>
              <w:rPr>
                <w:rFonts w:ascii="Arial" w:cs="Arial" w:eastAsia="Arial" w:hAnsi="Arial"/>
                <w:sz w:val="14"/>
                <w:szCs w:val="14"/>
                <w:color w:val="auto"/>
              </w:rPr>
              <w:t>$  124,934</w:t>
            </w:r>
          </w:p>
        </w:tc>
        <w:tc>
          <w:tcPr>
            <w:tcW w:w="1020" w:type="dxa"/>
            <w:vAlign w:val="bottom"/>
            <w:tcBorders>
              <w:bottom w:val="single" w:sz="8" w:color="D8E0F0"/>
            </w:tcBorders>
            <w:shd w:val="clear" w:color="auto" w:fill="D8E0F0"/>
          </w:tcPr>
          <w:p>
            <w:pPr>
              <w:jc w:val="right"/>
              <w:spacing w:after="0"/>
              <w:rPr>
                <w:sz w:val="20"/>
                <w:szCs w:val="20"/>
                <w:color w:val="auto"/>
              </w:rPr>
            </w:pPr>
            <w:r>
              <w:rPr>
                <w:rFonts w:ascii="Arial" w:cs="Arial" w:eastAsia="Arial" w:hAnsi="Arial"/>
                <w:sz w:val="14"/>
                <w:szCs w:val="14"/>
                <w:color w:val="auto"/>
              </w:rPr>
              <w:t>26,222</w:t>
            </w:r>
          </w:p>
        </w:tc>
      </w:tr>
      <w:tr>
        <w:trPr>
          <w:trHeight w:val="183"/>
        </w:trPr>
        <w:tc>
          <w:tcPr>
            <w:tcW w:w="6080" w:type="dxa"/>
            <w:vAlign w:val="bottom"/>
          </w:tcPr>
          <w:p>
            <w:pPr>
              <w:ind w:left="60"/>
              <w:spacing w:after="0"/>
              <w:rPr>
                <w:sz w:val="20"/>
                <w:szCs w:val="20"/>
                <w:color w:val="auto"/>
              </w:rPr>
            </w:pPr>
            <w:r>
              <w:rPr>
                <w:rFonts w:ascii="Arial" w:cs="Arial" w:eastAsia="Arial" w:hAnsi="Arial"/>
                <w:sz w:val="14"/>
                <w:szCs w:val="14"/>
                <w:color w:val="auto"/>
              </w:rPr>
              <w:t>Mr. Clough</w:t>
            </w:r>
          </w:p>
        </w:tc>
        <w:tc>
          <w:tcPr>
            <w:tcW w:w="1460" w:type="dxa"/>
            <w:vAlign w:val="bottom"/>
          </w:tcPr>
          <w:p>
            <w:pPr>
              <w:jc w:val="right"/>
              <w:spacing w:after="0"/>
              <w:rPr>
                <w:sz w:val="20"/>
                <w:szCs w:val="20"/>
                <w:color w:val="auto"/>
              </w:rPr>
            </w:pPr>
            <w:r>
              <w:rPr>
                <w:rFonts w:ascii="Arial" w:cs="Arial" w:eastAsia="Arial" w:hAnsi="Arial"/>
                <w:sz w:val="14"/>
                <w:szCs w:val="14"/>
                <w:color w:val="auto"/>
              </w:rPr>
              <w:t>1,679</w:t>
            </w:r>
          </w:p>
        </w:tc>
        <w:tc>
          <w:tcPr>
            <w:tcW w:w="1560" w:type="dxa"/>
            <w:vAlign w:val="bottom"/>
          </w:tcPr>
          <w:p>
            <w:pPr>
              <w:jc w:val="right"/>
              <w:ind w:right="230"/>
              <w:spacing w:after="0"/>
              <w:rPr>
                <w:sz w:val="20"/>
                <w:szCs w:val="20"/>
                <w:color w:val="auto"/>
              </w:rPr>
            </w:pPr>
            <w:r>
              <w:rPr>
                <w:rFonts w:ascii="Arial" w:cs="Arial" w:eastAsia="Arial" w:hAnsi="Arial"/>
                <w:sz w:val="14"/>
                <w:szCs w:val="14"/>
                <w:color w:val="auto"/>
              </w:rPr>
              <w:t>124,934</w:t>
            </w:r>
          </w:p>
        </w:tc>
        <w:tc>
          <w:tcPr>
            <w:tcW w:w="1020" w:type="dxa"/>
            <w:vAlign w:val="bottom"/>
          </w:tcPr>
          <w:p>
            <w:pPr>
              <w:jc w:val="right"/>
              <w:spacing w:after="0"/>
              <w:rPr>
                <w:sz w:val="20"/>
                <w:szCs w:val="20"/>
                <w:color w:val="auto"/>
              </w:rPr>
            </w:pPr>
            <w:r>
              <w:rPr>
                <w:rFonts w:ascii="Arial" w:cs="Arial" w:eastAsia="Arial" w:hAnsi="Arial"/>
                <w:sz w:val="14"/>
                <w:szCs w:val="14"/>
                <w:color w:val="auto"/>
              </w:rPr>
              <w:t>1,679</w:t>
            </w:r>
          </w:p>
        </w:tc>
      </w:tr>
      <w:tr>
        <w:trPr>
          <w:trHeight w:val="175"/>
        </w:trPr>
        <w:tc>
          <w:tcPr>
            <w:tcW w:w="6080" w:type="dxa"/>
            <w:vAlign w:val="bottom"/>
            <w:tcBorders>
              <w:bottom w:val="single" w:sz="8" w:color="D8E0F0"/>
            </w:tcBorders>
            <w:shd w:val="clear" w:color="auto" w:fill="D8E0F0"/>
          </w:tcPr>
          <w:p>
            <w:pPr>
              <w:ind w:left="60"/>
              <w:spacing w:after="0"/>
              <w:rPr>
                <w:sz w:val="20"/>
                <w:szCs w:val="20"/>
                <w:color w:val="auto"/>
              </w:rPr>
            </w:pPr>
            <w:r>
              <w:rPr>
                <w:rFonts w:ascii="Arial" w:cs="Arial" w:eastAsia="Arial" w:hAnsi="Arial"/>
                <w:sz w:val="14"/>
                <w:szCs w:val="14"/>
                <w:color w:val="auto"/>
              </w:rPr>
              <w:t>Ms. Docherty</w:t>
            </w:r>
          </w:p>
        </w:tc>
        <w:tc>
          <w:tcPr>
            <w:tcW w:w="1460" w:type="dxa"/>
            <w:vAlign w:val="bottom"/>
            <w:tcBorders>
              <w:bottom w:val="single" w:sz="8" w:color="D8E0F0"/>
            </w:tcBorders>
            <w:shd w:val="clear" w:color="auto" w:fill="D8E0F0"/>
          </w:tcPr>
          <w:p>
            <w:pPr>
              <w:jc w:val="right"/>
              <w:spacing w:after="0"/>
              <w:rPr>
                <w:sz w:val="20"/>
                <w:szCs w:val="20"/>
                <w:color w:val="auto"/>
              </w:rPr>
            </w:pPr>
            <w:r>
              <w:rPr>
                <w:rFonts w:ascii="Arial" w:cs="Arial" w:eastAsia="Arial" w:hAnsi="Arial"/>
                <w:sz w:val="14"/>
                <w:szCs w:val="14"/>
                <w:color w:val="auto"/>
              </w:rPr>
              <w:t>1,679</w:t>
            </w:r>
          </w:p>
        </w:tc>
        <w:tc>
          <w:tcPr>
            <w:tcW w:w="1560" w:type="dxa"/>
            <w:vAlign w:val="bottom"/>
            <w:tcBorders>
              <w:bottom w:val="single" w:sz="8" w:color="D8E0F0"/>
            </w:tcBorders>
            <w:shd w:val="clear" w:color="auto" w:fill="D8E0F0"/>
          </w:tcPr>
          <w:p>
            <w:pPr>
              <w:jc w:val="right"/>
              <w:ind w:right="230"/>
              <w:spacing w:after="0"/>
              <w:rPr>
                <w:sz w:val="20"/>
                <w:szCs w:val="20"/>
                <w:color w:val="auto"/>
              </w:rPr>
            </w:pPr>
            <w:r>
              <w:rPr>
                <w:rFonts w:ascii="Arial" w:cs="Arial" w:eastAsia="Arial" w:hAnsi="Arial"/>
                <w:sz w:val="14"/>
                <w:szCs w:val="14"/>
                <w:color w:val="auto"/>
              </w:rPr>
              <w:t>124,934</w:t>
            </w:r>
          </w:p>
        </w:tc>
        <w:tc>
          <w:tcPr>
            <w:tcW w:w="1020" w:type="dxa"/>
            <w:vAlign w:val="bottom"/>
            <w:tcBorders>
              <w:bottom w:val="single" w:sz="8" w:color="D8E0F0"/>
            </w:tcBorders>
            <w:shd w:val="clear" w:color="auto" w:fill="D8E0F0"/>
          </w:tcPr>
          <w:p>
            <w:pPr>
              <w:jc w:val="right"/>
              <w:spacing w:after="0"/>
              <w:rPr>
                <w:sz w:val="20"/>
                <w:szCs w:val="20"/>
                <w:color w:val="auto"/>
              </w:rPr>
            </w:pPr>
            <w:r>
              <w:rPr>
                <w:rFonts w:ascii="Arial" w:cs="Arial" w:eastAsia="Arial" w:hAnsi="Arial"/>
                <w:sz w:val="14"/>
                <w:szCs w:val="14"/>
                <w:color w:val="auto"/>
              </w:rPr>
              <w:t>1,679</w:t>
            </w:r>
          </w:p>
        </w:tc>
      </w:tr>
      <w:tr>
        <w:trPr>
          <w:trHeight w:val="183"/>
        </w:trPr>
        <w:tc>
          <w:tcPr>
            <w:tcW w:w="6080" w:type="dxa"/>
            <w:vAlign w:val="bottom"/>
          </w:tcPr>
          <w:p>
            <w:pPr>
              <w:ind w:left="60"/>
              <w:spacing w:after="0"/>
              <w:rPr>
                <w:sz w:val="20"/>
                <w:szCs w:val="20"/>
                <w:color w:val="auto"/>
              </w:rPr>
            </w:pPr>
            <w:r>
              <w:rPr>
                <w:rFonts w:ascii="Arial" w:cs="Arial" w:eastAsia="Arial" w:hAnsi="Arial"/>
                <w:sz w:val="14"/>
                <w:szCs w:val="14"/>
                <w:color w:val="auto"/>
              </w:rPr>
              <w:t>Mr. Hedgebeth</w:t>
            </w:r>
          </w:p>
        </w:tc>
        <w:tc>
          <w:tcPr>
            <w:tcW w:w="1460" w:type="dxa"/>
            <w:vAlign w:val="bottom"/>
          </w:tcPr>
          <w:p>
            <w:pPr>
              <w:jc w:val="right"/>
              <w:spacing w:after="0"/>
              <w:rPr>
                <w:sz w:val="20"/>
                <w:szCs w:val="20"/>
                <w:color w:val="auto"/>
              </w:rPr>
            </w:pPr>
            <w:r>
              <w:rPr>
                <w:rFonts w:ascii="Arial" w:cs="Arial" w:eastAsia="Arial" w:hAnsi="Arial"/>
                <w:sz w:val="14"/>
                <w:szCs w:val="14"/>
                <w:color w:val="auto"/>
              </w:rPr>
              <w:t>1,679</w:t>
            </w:r>
          </w:p>
        </w:tc>
        <w:tc>
          <w:tcPr>
            <w:tcW w:w="1560" w:type="dxa"/>
            <w:vAlign w:val="bottom"/>
          </w:tcPr>
          <w:p>
            <w:pPr>
              <w:jc w:val="right"/>
              <w:ind w:right="230"/>
              <w:spacing w:after="0"/>
              <w:rPr>
                <w:sz w:val="20"/>
                <w:szCs w:val="20"/>
                <w:color w:val="auto"/>
              </w:rPr>
            </w:pPr>
            <w:r>
              <w:rPr>
                <w:rFonts w:ascii="Arial" w:cs="Arial" w:eastAsia="Arial" w:hAnsi="Arial"/>
                <w:sz w:val="14"/>
                <w:szCs w:val="14"/>
                <w:color w:val="auto"/>
              </w:rPr>
              <w:t>124,934</w:t>
            </w:r>
          </w:p>
        </w:tc>
        <w:tc>
          <w:tcPr>
            <w:tcW w:w="1020" w:type="dxa"/>
            <w:vAlign w:val="bottom"/>
          </w:tcPr>
          <w:p>
            <w:pPr>
              <w:jc w:val="right"/>
              <w:spacing w:after="0"/>
              <w:rPr>
                <w:sz w:val="20"/>
                <w:szCs w:val="20"/>
                <w:color w:val="auto"/>
              </w:rPr>
            </w:pPr>
            <w:r>
              <w:rPr>
                <w:rFonts w:ascii="Arial" w:cs="Arial" w:eastAsia="Arial" w:hAnsi="Arial"/>
                <w:sz w:val="14"/>
                <w:szCs w:val="14"/>
                <w:color w:val="auto"/>
              </w:rPr>
              <w:t>13,569</w:t>
            </w:r>
          </w:p>
        </w:tc>
      </w:tr>
      <w:tr>
        <w:trPr>
          <w:trHeight w:val="175"/>
        </w:trPr>
        <w:tc>
          <w:tcPr>
            <w:tcW w:w="6080" w:type="dxa"/>
            <w:vAlign w:val="bottom"/>
            <w:tcBorders>
              <w:bottom w:val="single" w:sz="8" w:color="D8E0F0"/>
            </w:tcBorders>
            <w:shd w:val="clear" w:color="auto" w:fill="D8E0F0"/>
          </w:tcPr>
          <w:p>
            <w:pPr>
              <w:ind w:left="60"/>
              <w:spacing w:after="0"/>
              <w:rPr>
                <w:sz w:val="20"/>
                <w:szCs w:val="20"/>
                <w:color w:val="auto"/>
              </w:rPr>
            </w:pPr>
            <w:r>
              <w:rPr>
                <w:rFonts w:ascii="Arial" w:cs="Arial" w:eastAsia="Arial" w:hAnsi="Arial"/>
                <w:sz w:val="14"/>
                <w:szCs w:val="14"/>
                <w:color w:val="auto"/>
              </w:rPr>
              <w:t>Mr. Henry</w:t>
            </w:r>
          </w:p>
        </w:tc>
        <w:tc>
          <w:tcPr>
            <w:tcW w:w="1460" w:type="dxa"/>
            <w:vAlign w:val="bottom"/>
            <w:tcBorders>
              <w:bottom w:val="single" w:sz="8" w:color="D8E0F0"/>
            </w:tcBorders>
            <w:shd w:val="clear" w:color="auto" w:fill="D8E0F0"/>
          </w:tcPr>
          <w:p>
            <w:pPr>
              <w:jc w:val="right"/>
              <w:spacing w:after="0"/>
              <w:rPr>
                <w:sz w:val="20"/>
                <w:szCs w:val="20"/>
                <w:color w:val="auto"/>
              </w:rPr>
            </w:pPr>
            <w:r>
              <w:rPr>
                <w:rFonts w:ascii="Arial" w:cs="Arial" w:eastAsia="Arial" w:hAnsi="Arial"/>
                <w:sz w:val="14"/>
                <w:szCs w:val="14"/>
                <w:color w:val="auto"/>
              </w:rPr>
              <w:t>2,460</w:t>
            </w:r>
          </w:p>
        </w:tc>
        <w:tc>
          <w:tcPr>
            <w:tcW w:w="1560" w:type="dxa"/>
            <w:vAlign w:val="bottom"/>
            <w:tcBorders>
              <w:bottom w:val="single" w:sz="8" w:color="D8E0F0"/>
            </w:tcBorders>
            <w:shd w:val="clear" w:color="auto" w:fill="D8E0F0"/>
          </w:tcPr>
          <w:p>
            <w:pPr>
              <w:jc w:val="right"/>
              <w:ind w:right="230"/>
              <w:spacing w:after="0"/>
              <w:rPr>
                <w:sz w:val="20"/>
                <w:szCs w:val="20"/>
                <w:color w:val="auto"/>
              </w:rPr>
            </w:pPr>
            <w:r>
              <w:rPr>
                <w:rFonts w:ascii="Arial" w:cs="Arial" w:eastAsia="Arial" w:hAnsi="Arial"/>
                <w:sz w:val="14"/>
                <w:szCs w:val="14"/>
                <w:color w:val="auto"/>
              </w:rPr>
              <w:t>183,361</w:t>
            </w:r>
          </w:p>
        </w:tc>
        <w:tc>
          <w:tcPr>
            <w:tcW w:w="1020" w:type="dxa"/>
            <w:vAlign w:val="bottom"/>
            <w:tcBorders>
              <w:bottom w:val="single" w:sz="8" w:color="D8E0F0"/>
            </w:tcBorders>
            <w:shd w:val="clear" w:color="auto" w:fill="D8E0F0"/>
          </w:tcPr>
          <w:p>
            <w:pPr>
              <w:jc w:val="right"/>
              <w:spacing w:after="0"/>
              <w:rPr>
                <w:sz w:val="20"/>
                <w:szCs w:val="20"/>
                <w:color w:val="auto"/>
              </w:rPr>
            </w:pPr>
            <w:r>
              <w:rPr>
                <w:rFonts w:ascii="Arial" w:cs="Arial" w:eastAsia="Arial" w:hAnsi="Arial"/>
                <w:sz w:val="14"/>
                <w:szCs w:val="14"/>
                <w:color w:val="auto"/>
              </w:rPr>
              <w:t>2,460</w:t>
            </w:r>
          </w:p>
        </w:tc>
      </w:tr>
      <w:tr>
        <w:trPr>
          <w:trHeight w:val="183"/>
        </w:trPr>
        <w:tc>
          <w:tcPr>
            <w:tcW w:w="6080" w:type="dxa"/>
            <w:vAlign w:val="bottom"/>
          </w:tcPr>
          <w:p>
            <w:pPr>
              <w:ind w:left="60"/>
              <w:spacing w:after="0"/>
              <w:rPr>
                <w:sz w:val="20"/>
                <w:szCs w:val="20"/>
                <w:color w:val="auto"/>
              </w:rPr>
            </w:pPr>
            <w:r>
              <w:rPr>
                <w:rFonts w:ascii="Arial" w:cs="Arial" w:eastAsia="Arial" w:hAnsi="Arial"/>
                <w:sz w:val="14"/>
                <w:szCs w:val="14"/>
                <w:color w:val="auto"/>
              </w:rPr>
              <w:t>Mr. Herling</w:t>
            </w:r>
          </w:p>
        </w:tc>
        <w:tc>
          <w:tcPr>
            <w:tcW w:w="1460" w:type="dxa"/>
            <w:vAlign w:val="bottom"/>
          </w:tcPr>
          <w:p>
            <w:pPr>
              <w:jc w:val="right"/>
              <w:spacing w:after="0"/>
              <w:rPr>
                <w:sz w:val="20"/>
                <w:szCs w:val="20"/>
                <w:color w:val="auto"/>
              </w:rPr>
            </w:pPr>
            <w:r>
              <w:rPr>
                <w:rFonts w:ascii="Arial" w:cs="Arial" w:eastAsia="Arial" w:hAnsi="Arial"/>
                <w:sz w:val="14"/>
                <w:szCs w:val="14"/>
                <w:color w:val="auto"/>
              </w:rPr>
              <w:t>1,679</w:t>
            </w:r>
          </w:p>
        </w:tc>
        <w:tc>
          <w:tcPr>
            <w:tcW w:w="1560" w:type="dxa"/>
            <w:vAlign w:val="bottom"/>
          </w:tcPr>
          <w:p>
            <w:pPr>
              <w:jc w:val="right"/>
              <w:ind w:right="230"/>
              <w:spacing w:after="0"/>
              <w:rPr>
                <w:sz w:val="20"/>
                <w:szCs w:val="20"/>
                <w:color w:val="auto"/>
              </w:rPr>
            </w:pPr>
            <w:r>
              <w:rPr>
                <w:rFonts w:ascii="Arial" w:cs="Arial" w:eastAsia="Arial" w:hAnsi="Arial"/>
                <w:sz w:val="14"/>
                <w:szCs w:val="14"/>
                <w:color w:val="auto"/>
              </w:rPr>
              <w:t>124,934</w:t>
            </w:r>
          </w:p>
        </w:tc>
        <w:tc>
          <w:tcPr>
            <w:tcW w:w="1020" w:type="dxa"/>
            <w:vAlign w:val="bottom"/>
          </w:tcPr>
          <w:p>
            <w:pPr>
              <w:jc w:val="right"/>
              <w:spacing w:after="0"/>
              <w:rPr>
                <w:sz w:val="20"/>
                <w:szCs w:val="20"/>
                <w:color w:val="auto"/>
              </w:rPr>
            </w:pPr>
            <w:r>
              <w:rPr>
                <w:rFonts w:ascii="Arial" w:cs="Arial" w:eastAsia="Arial" w:hAnsi="Arial"/>
                <w:sz w:val="14"/>
                <w:szCs w:val="14"/>
                <w:color w:val="auto"/>
              </w:rPr>
              <w:t>23,218</w:t>
            </w:r>
          </w:p>
        </w:tc>
      </w:tr>
      <w:tr>
        <w:trPr>
          <w:trHeight w:val="175"/>
        </w:trPr>
        <w:tc>
          <w:tcPr>
            <w:tcW w:w="6080" w:type="dxa"/>
            <w:vAlign w:val="bottom"/>
            <w:tcBorders>
              <w:bottom w:val="single" w:sz="8" w:color="D8E0F0"/>
            </w:tcBorders>
            <w:shd w:val="clear" w:color="auto" w:fill="D8E0F0"/>
          </w:tcPr>
          <w:p>
            <w:pPr>
              <w:ind w:left="60"/>
              <w:spacing w:after="0"/>
              <w:rPr>
                <w:sz w:val="20"/>
                <w:szCs w:val="20"/>
                <w:color w:val="auto"/>
              </w:rPr>
            </w:pPr>
            <w:r>
              <w:rPr>
                <w:rFonts w:ascii="Arial" w:cs="Arial" w:eastAsia="Arial" w:hAnsi="Arial"/>
                <w:sz w:val="14"/>
                <w:szCs w:val="14"/>
                <w:color w:val="auto"/>
              </w:rPr>
              <w:t>Mr. Stoeckert</w:t>
            </w:r>
          </w:p>
        </w:tc>
        <w:tc>
          <w:tcPr>
            <w:tcW w:w="1460" w:type="dxa"/>
            <w:vAlign w:val="bottom"/>
            <w:tcBorders>
              <w:bottom w:val="single" w:sz="8" w:color="D8E0F0"/>
            </w:tcBorders>
            <w:shd w:val="clear" w:color="auto" w:fill="D8E0F0"/>
          </w:tcPr>
          <w:p>
            <w:pPr>
              <w:jc w:val="right"/>
              <w:spacing w:after="0"/>
              <w:rPr>
                <w:sz w:val="20"/>
                <w:szCs w:val="20"/>
                <w:color w:val="auto"/>
              </w:rPr>
            </w:pPr>
            <w:r>
              <w:rPr>
                <w:rFonts w:ascii="Arial" w:cs="Arial" w:eastAsia="Arial" w:hAnsi="Arial"/>
                <w:sz w:val="14"/>
                <w:szCs w:val="14"/>
                <w:color w:val="auto"/>
              </w:rPr>
              <w:t>1,679</w:t>
            </w:r>
          </w:p>
        </w:tc>
        <w:tc>
          <w:tcPr>
            <w:tcW w:w="1560" w:type="dxa"/>
            <w:vAlign w:val="bottom"/>
            <w:tcBorders>
              <w:bottom w:val="single" w:sz="8" w:color="D8E0F0"/>
            </w:tcBorders>
            <w:shd w:val="clear" w:color="auto" w:fill="D8E0F0"/>
          </w:tcPr>
          <w:p>
            <w:pPr>
              <w:jc w:val="right"/>
              <w:ind w:right="230"/>
              <w:spacing w:after="0"/>
              <w:rPr>
                <w:sz w:val="20"/>
                <w:szCs w:val="20"/>
                <w:color w:val="auto"/>
              </w:rPr>
            </w:pPr>
            <w:r>
              <w:rPr>
                <w:rFonts w:ascii="Arial" w:cs="Arial" w:eastAsia="Arial" w:hAnsi="Arial"/>
                <w:sz w:val="14"/>
                <w:szCs w:val="14"/>
                <w:color w:val="auto"/>
              </w:rPr>
              <w:t>124,934</w:t>
            </w:r>
          </w:p>
        </w:tc>
        <w:tc>
          <w:tcPr>
            <w:tcW w:w="1020" w:type="dxa"/>
            <w:vAlign w:val="bottom"/>
            <w:tcBorders>
              <w:bottom w:val="single" w:sz="8" w:color="D8E0F0"/>
            </w:tcBorders>
            <w:shd w:val="clear" w:color="auto" w:fill="D8E0F0"/>
          </w:tcPr>
          <w:p>
            <w:pPr>
              <w:jc w:val="right"/>
              <w:spacing w:after="0"/>
              <w:rPr>
                <w:sz w:val="20"/>
                <w:szCs w:val="20"/>
                <w:color w:val="auto"/>
              </w:rPr>
            </w:pPr>
            <w:r>
              <w:rPr>
                <w:rFonts w:ascii="Arial" w:cs="Arial" w:eastAsia="Arial" w:hAnsi="Arial"/>
                <w:sz w:val="14"/>
                <w:szCs w:val="14"/>
                <w:color w:val="auto"/>
              </w:rPr>
              <w:t>1,679</w:t>
            </w:r>
          </w:p>
        </w:tc>
      </w:tr>
      <w:tr>
        <w:trPr>
          <w:trHeight w:val="177"/>
        </w:trPr>
        <w:tc>
          <w:tcPr>
            <w:tcW w:w="6080" w:type="dxa"/>
            <w:vAlign w:val="bottom"/>
          </w:tcPr>
          <w:p>
            <w:pPr>
              <w:ind w:left="60"/>
              <w:spacing w:after="0"/>
              <w:rPr>
                <w:sz w:val="20"/>
                <w:szCs w:val="20"/>
                <w:color w:val="auto"/>
              </w:rPr>
            </w:pPr>
            <w:r>
              <w:rPr>
                <w:rFonts w:ascii="Arial" w:cs="Arial" w:eastAsia="Arial" w:hAnsi="Arial"/>
                <w:sz w:val="14"/>
                <w:szCs w:val="14"/>
                <w:color w:val="auto"/>
              </w:rPr>
              <w:t>All Non-Employee Directors as a Group (7 persons)</w:t>
            </w:r>
          </w:p>
        </w:tc>
        <w:tc>
          <w:tcPr>
            <w:tcW w:w="14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70,506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16510</wp:posOffset>
            </wp:positionV>
            <wp:extent cx="643191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431915" cy="8890"/>
                    </a:xfrm>
                    <a:prstGeom prst="rect">
                      <a:avLst/>
                    </a:prstGeom>
                    <a:noFill/>
                  </pic:spPr>
                </pic:pic>
              </a:graphicData>
            </a:graphic>
          </wp:anchor>
        </w:drawing>
      </w:r>
    </w:p>
    <w:p>
      <w:pPr>
        <w:spacing w:after="0" w:line="24" w:lineRule="exact"/>
        <w:rPr>
          <w:sz w:val="20"/>
          <w:szCs w:val="20"/>
          <w:color w:val="auto"/>
        </w:rPr>
      </w:pPr>
    </w:p>
    <w:p>
      <w:pPr>
        <w:ind w:left="960" w:right="100" w:hanging="432"/>
        <w:spacing w:after="0" w:line="258" w:lineRule="auto"/>
        <w:tabs>
          <w:tab w:leader="none" w:pos="960" w:val="left"/>
        </w:tabs>
        <w:numPr>
          <w:ilvl w:val="1"/>
          <w:numId w:val="80"/>
        </w:numPr>
        <w:rPr>
          <w:rFonts w:ascii="Arial" w:cs="Arial" w:eastAsia="Arial" w:hAnsi="Arial"/>
          <w:sz w:val="14"/>
          <w:szCs w:val="14"/>
          <w:color w:val="auto"/>
        </w:rPr>
      </w:pPr>
      <w:r>
        <w:rPr>
          <w:rFonts w:ascii="Arial" w:cs="Arial" w:eastAsia="Arial" w:hAnsi="Arial"/>
          <w:sz w:val="14"/>
          <w:szCs w:val="14"/>
          <w:color w:val="auto"/>
        </w:rPr>
        <w:t>The grant date fair value was computed in accordance with FASB ASC Topic 718 based on the closing quoted sale prices of Brink’s Common Stock, as reported on the New York Stock Exchange on February 23, 2018 (for Mr. Henry) and on May 4, 2018 (for all directors), the respective dates of grant</w:t>
      </w:r>
    </w:p>
    <w:p>
      <w:pPr>
        <w:spacing w:after="0" w:line="18" w:lineRule="exact"/>
        <w:rPr>
          <w:rFonts w:ascii="Arial" w:cs="Arial" w:eastAsia="Arial" w:hAnsi="Arial"/>
          <w:sz w:val="14"/>
          <w:szCs w:val="14"/>
          <w:color w:val="auto"/>
        </w:rPr>
      </w:pPr>
    </w:p>
    <w:p>
      <w:pPr>
        <w:ind w:left="520" w:right="80" w:hanging="316"/>
        <w:spacing w:after="0" w:line="214" w:lineRule="auto"/>
        <w:tabs>
          <w:tab w:leader="none" w:pos="520" w:val="left"/>
        </w:tabs>
        <w:numPr>
          <w:ilvl w:val="0"/>
          <w:numId w:val="81"/>
        </w:numPr>
        <w:rPr>
          <w:rFonts w:ascii="Arial" w:cs="Arial" w:eastAsia="Arial" w:hAnsi="Arial"/>
          <w:sz w:val="24"/>
          <w:szCs w:val="24"/>
          <w:color w:val="auto"/>
          <w:vertAlign w:val="superscript"/>
        </w:rPr>
      </w:pPr>
      <w:r>
        <w:rPr>
          <w:rFonts w:ascii="Arial" w:cs="Arial" w:eastAsia="Arial" w:hAnsi="Arial"/>
          <w:sz w:val="14"/>
          <w:szCs w:val="14"/>
          <w:color w:val="auto"/>
        </w:rPr>
        <w:t>Represents total interest on directors’ fees deferred under the Plan for Deferral of Directors’ Fees. Under the deferral plan, a director may elect to defer receipt of his or her fees to future years and to receive interest thereon, compounded quarterly, at the prime commercial lending rate of JPMorgan Chase, as of the end of the previous calendar quarter. Directors may also elect to have deferred fees notionally invested in one or more mutual funds (which mirror funds available under the Key Employees’ Deferred Compensation Plan). For a discussion of the material terms of the deferral plan, see “Plan for Deferral of Directors’ Fees” on page 68. There is no pension plan for the Board.</w:t>
      </w:r>
    </w:p>
    <w:p>
      <w:pPr>
        <w:spacing w:after="0" w:line="30" w:lineRule="exact"/>
        <w:rPr>
          <w:rFonts w:ascii="Arial" w:cs="Arial" w:eastAsia="Arial" w:hAnsi="Arial"/>
          <w:sz w:val="24"/>
          <w:szCs w:val="24"/>
          <w:color w:val="auto"/>
          <w:vertAlign w:val="superscript"/>
        </w:rPr>
      </w:pPr>
    </w:p>
    <w:p>
      <w:pPr>
        <w:ind w:left="520" w:right="100" w:hanging="316"/>
        <w:spacing w:after="0" w:line="208" w:lineRule="auto"/>
        <w:tabs>
          <w:tab w:leader="none" w:pos="520" w:val="left"/>
        </w:tabs>
        <w:numPr>
          <w:ilvl w:val="0"/>
          <w:numId w:val="81"/>
        </w:numPr>
        <w:rPr>
          <w:rFonts w:ascii="Arial" w:cs="Arial" w:eastAsia="Arial" w:hAnsi="Arial"/>
          <w:sz w:val="24"/>
          <w:szCs w:val="24"/>
          <w:color w:val="auto"/>
          <w:vertAlign w:val="superscript"/>
        </w:rPr>
      </w:pPr>
      <w:r>
        <w:rPr>
          <w:rFonts w:ascii="Arial" w:cs="Arial" w:eastAsia="Arial" w:hAnsi="Arial"/>
          <w:sz w:val="14"/>
          <w:szCs w:val="14"/>
          <w:color w:val="auto"/>
        </w:rPr>
        <w:t>Reflects the value of the perquisites and other personal benefits provided to certain non-employee directors in 2018 in connection with attendance at a meeting of the Board of Directors. For purposes of computing the dollar amounts of the items listed below, the Company used the actual cost of providing the perquisite or other personal benefit to the non-employee director. Includes matching charitable awards made by Brink’s in 2018 as part of the Company’s matching gifts program (which is available to all employees and directors of the Company), in the amounts of $5,000 for Mr. Hedgebeth, $10,000 for Mr. Herling, and $10,000 for Mr. Stoeckert.</w:t>
      </w:r>
    </w:p>
    <w:p>
      <w:pPr>
        <w:spacing w:after="0" w:line="192"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77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0033A0"/>
              </w:rPr>
              <w:t>Personal and</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780" w:type="dxa"/>
            <w:vAlign w:val="bottom"/>
          </w:tcPr>
          <w:p>
            <w:pPr>
              <w:spacing w:after="0"/>
              <w:rPr>
                <w:sz w:val="11"/>
                <w:szCs w:val="11"/>
                <w:color w:val="auto"/>
              </w:rPr>
            </w:pPr>
          </w:p>
        </w:tc>
        <w:tc>
          <w:tcPr>
            <w:tcW w:w="2340" w:type="dxa"/>
            <w:vAlign w:val="bottom"/>
            <w:gridSpan w:val="3"/>
          </w:tcPr>
          <w:p>
            <w:pPr>
              <w:ind w:left="1140"/>
              <w:spacing w:after="0" w:line="135" w:lineRule="exact"/>
              <w:rPr>
                <w:sz w:val="20"/>
                <w:szCs w:val="20"/>
                <w:color w:val="auto"/>
              </w:rPr>
            </w:pPr>
            <w:r>
              <w:rPr>
                <w:rFonts w:ascii="Arial" w:cs="Arial" w:eastAsia="Arial" w:hAnsi="Arial"/>
                <w:sz w:val="13"/>
                <w:szCs w:val="13"/>
                <w:b w:val="1"/>
                <w:bCs w:val="1"/>
                <w:color w:val="0033A0"/>
                <w:w w:val="98"/>
              </w:rPr>
              <w:t>Spousal Travel and</w:t>
            </w: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7780" w:type="dxa"/>
            <w:vAlign w:val="bottom"/>
            <w:tcBorders>
              <w:bottom w:val="single" w:sz="8" w:color="0033A0"/>
            </w:tcBorders>
          </w:tcPr>
          <w:p>
            <w:pPr>
              <w:ind w:left="60"/>
              <w:spacing w:after="0"/>
              <w:rPr>
                <w:sz w:val="20"/>
                <w:szCs w:val="20"/>
                <w:color w:val="auto"/>
              </w:rPr>
            </w:pPr>
            <w:r>
              <w:rPr>
                <w:rFonts w:ascii="Arial" w:cs="Arial" w:eastAsia="Arial" w:hAnsi="Arial"/>
                <w:sz w:val="13"/>
                <w:szCs w:val="13"/>
                <w:b w:val="1"/>
                <w:bCs w:val="1"/>
                <w:color w:val="0033A0"/>
              </w:rPr>
              <w:t>Name</w:t>
            </w:r>
          </w:p>
        </w:tc>
        <w:tc>
          <w:tcPr>
            <w:tcW w:w="1260" w:type="dxa"/>
            <w:vAlign w:val="bottom"/>
            <w:tcBorders>
              <w:bottom w:val="single" w:sz="8" w:color="0033A0"/>
            </w:tcBorders>
          </w:tcPr>
          <w:p>
            <w:pPr>
              <w:spacing w:after="0"/>
              <w:rPr>
                <w:sz w:val="13"/>
                <w:szCs w:val="13"/>
                <w:color w:val="auto"/>
              </w:rPr>
            </w:pPr>
          </w:p>
        </w:tc>
        <w:tc>
          <w:tcPr>
            <w:tcW w:w="1080" w:type="dxa"/>
            <w:vAlign w:val="bottom"/>
            <w:tcBorders>
              <w:bottom w:val="single" w:sz="8" w:color="0033A0"/>
            </w:tcBorders>
            <w:gridSpan w:val="2"/>
          </w:tcPr>
          <w:p>
            <w:pPr>
              <w:jc w:val="right"/>
              <w:ind w:right="200"/>
              <w:spacing w:after="0"/>
              <w:rPr>
                <w:sz w:val="20"/>
                <w:szCs w:val="20"/>
                <w:color w:val="auto"/>
              </w:rPr>
            </w:pPr>
            <w:r>
              <w:rPr>
                <w:rFonts w:ascii="Arial" w:cs="Arial" w:eastAsia="Arial" w:hAnsi="Arial"/>
                <w:sz w:val="13"/>
                <w:szCs w:val="13"/>
                <w:b w:val="1"/>
                <w:bCs w:val="1"/>
                <w:color w:val="0033A0"/>
                <w:w w:val="98"/>
              </w:rPr>
              <w:t>Entertainment</w:t>
            </w: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7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780" w:type="dxa"/>
            <w:vAlign w:val="bottom"/>
            <w:tcBorders>
              <w:bottom w:val="single" w:sz="8" w:color="D8E0F0"/>
            </w:tcBorders>
            <w:shd w:val="clear" w:color="auto" w:fill="D8E0F0"/>
          </w:tcPr>
          <w:p>
            <w:pPr>
              <w:ind w:left="60"/>
              <w:spacing w:after="0"/>
              <w:rPr>
                <w:sz w:val="20"/>
                <w:szCs w:val="20"/>
                <w:color w:val="auto"/>
              </w:rPr>
            </w:pPr>
            <w:r>
              <w:rPr>
                <w:rFonts w:ascii="Arial" w:cs="Arial" w:eastAsia="Arial" w:hAnsi="Arial"/>
                <w:sz w:val="14"/>
                <w:szCs w:val="14"/>
                <w:color w:val="auto"/>
              </w:rPr>
              <w:t>Mr. Clough</w:t>
            </w:r>
          </w:p>
        </w:tc>
        <w:tc>
          <w:tcPr>
            <w:tcW w:w="1260" w:type="dxa"/>
            <w:vAlign w:val="bottom"/>
            <w:tcBorders>
              <w:bottom w:val="single" w:sz="8" w:color="D8E0F0"/>
            </w:tcBorders>
            <w:shd w:val="clear" w:color="auto" w:fill="D8E0F0"/>
          </w:tcPr>
          <w:p>
            <w:pPr>
              <w:ind w:left="114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D8E0F0"/>
            </w:tcBorders>
            <w:gridSpan w:val="2"/>
            <w:shd w:val="clear" w:color="auto" w:fill="D8E0F0"/>
          </w:tcPr>
          <w:p>
            <w:pPr>
              <w:jc w:val="right"/>
              <w:ind w:right="40"/>
              <w:spacing w:after="0"/>
              <w:rPr>
                <w:sz w:val="20"/>
                <w:szCs w:val="20"/>
                <w:color w:val="auto"/>
              </w:rPr>
            </w:pPr>
            <w:r>
              <w:rPr>
                <w:rFonts w:ascii="Arial" w:cs="Arial" w:eastAsia="Arial" w:hAnsi="Arial"/>
                <w:sz w:val="14"/>
                <w:szCs w:val="14"/>
                <w:color w:val="auto"/>
              </w:rPr>
              <w:t>10,620</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7780" w:type="dxa"/>
            <w:vAlign w:val="bottom"/>
          </w:tcPr>
          <w:p>
            <w:pPr>
              <w:ind w:left="60"/>
              <w:spacing w:after="0"/>
              <w:rPr>
                <w:sz w:val="20"/>
                <w:szCs w:val="20"/>
                <w:color w:val="auto"/>
              </w:rPr>
            </w:pPr>
            <w:r>
              <w:rPr>
                <w:rFonts w:ascii="Arial" w:cs="Arial" w:eastAsia="Arial" w:hAnsi="Arial"/>
                <w:sz w:val="14"/>
                <w:szCs w:val="14"/>
                <w:color w:val="auto"/>
              </w:rPr>
              <w:t>Mr. Hedgebeth</w:t>
            </w:r>
          </w:p>
        </w:tc>
        <w:tc>
          <w:tcPr>
            <w:tcW w:w="1260" w:type="dxa"/>
            <w:vAlign w:val="bottom"/>
          </w:tcPr>
          <w:p>
            <w:pPr>
              <w:ind w:left="114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12,211</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7780" w:type="dxa"/>
            <w:vAlign w:val="bottom"/>
            <w:tcBorders>
              <w:bottom w:val="single" w:sz="8" w:color="0033A0"/>
            </w:tcBorders>
          </w:tcPr>
          <w:p>
            <w:pPr>
              <w:spacing w:after="0"/>
              <w:rPr>
                <w:sz w:val="3"/>
                <w:szCs w:val="3"/>
                <w:color w:val="auto"/>
              </w:rPr>
            </w:pPr>
          </w:p>
        </w:tc>
        <w:tc>
          <w:tcPr>
            <w:tcW w:w="2280" w:type="dxa"/>
            <w:vAlign w:val="bottom"/>
            <w:tcBorders>
              <w:bottom w:val="single" w:sz="8" w:color="0033A0"/>
            </w:tcBorders>
            <w:gridSpan w:val="2"/>
          </w:tcPr>
          <w:p>
            <w:pPr>
              <w:spacing w:after="0"/>
              <w:rPr>
                <w:sz w:val="3"/>
                <w:szCs w:val="3"/>
                <w:color w:val="auto"/>
              </w:rPr>
            </w:pPr>
          </w:p>
        </w:tc>
        <w:tc>
          <w:tcPr>
            <w:tcW w:w="60" w:type="dxa"/>
            <w:vAlign w:val="bottom"/>
            <w:tcBorders>
              <w:bottom w:val="single" w:sz="8" w:color="0033A0"/>
            </w:tcBorders>
          </w:tcPr>
          <w:p>
            <w:pPr>
              <w:spacing w:after="0"/>
              <w:rPr>
                <w:sz w:val="3"/>
                <w:szCs w:val="3"/>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69</w:t>
            </w:r>
          </w:p>
        </w:tc>
        <w:tc>
          <w:tcPr>
            <w:tcW w:w="0" w:type="dxa"/>
            <w:vAlign w:val="bottom"/>
          </w:tcPr>
          <w:p>
            <w:pPr>
              <w:spacing w:after="0"/>
              <w:rPr>
                <w:sz w:val="1"/>
                <w:szCs w:val="1"/>
                <w:color w:val="auto"/>
              </w:rPr>
            </w:pPr>
          </w:p>
        </w:tc>
      </w:tr>
      <w:tr>
        <w:trPr>
          <w:trHeight w:val="142"/>
        </w:trPr>
        <w:tc>
          <w:tcPr>
            <w:tcW w:w="7780" w:type="dxa"/>
            <w:vAlign w:val="bottom"/>
          </w:tcPr>
          <w:p>
            <w:pPr>
              <w:spacing w:after="0"/>
              <w:rPr>
                <w:sz w:val="12"/>
                <w:szCs w:val="12"/>
                <w:color w:val="auto"/>
              </w:rPr>
            </w:pPr>
          </w:p>
        </w:tc>
        <w:tc>
          <w:tcPr>
            <w:tcW w:w="2340" w:type="dxa"/>
            <w:vAlign w:val="bottom"/>
            <w:gridSpan w:val="3"/>
          </w:tcPr>
          <w:p>
            <w:pPr>
              <w:spacing w:after="0"/>
              <w:rPr>
                <w:sz w:val="12"/>
                <w:szCs w:val="12"/>
                <w:color w:val="auto"/>
              </w:rPr>
            </w:pPr>
          </w:p>
        </w:tc>
        <w:tc>
          <w:tcPr>
            <w:tcW w:w="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7780" w:type="dxa"/>
            <w:vAlign w:val="bottom"/>
          </w:tcPr>
          <w:p>
            <w:pPr>
              <w:spacing w:after="0"/>
              <w:rPr>
                <w:sz w:val="24"/>
                <w:szCs w:val="24"/>
                <w:color w:val="auto"/>
              </w:rPr>
            </w:pPr>
          </w:p>
        </w:tc>
        <w:tc>
          <w:tcPr>
            <w:tcW w:w="2280" w:type="dxa"/>
            <w:vAlign w:val="bottom"/>
            <w:tcBorders>
              <w:right w:val="single" w:sz="8" w:color="0033A0"/>
            </w:tcBorders>
            <w:gridSpan w:val="2"/>
          </w:tcPr>
          <w:p>
            <w:pPr>
              <w:ind w:left="380"/>
              <w:spacing w:after="0"/>
              <w:rPr>
                <w:sz w:val="20"/>
                <w:szCs w:val="20"/>
                <w:color w:val="auto"/>
              </w:rPr>
            </w:pPr>
            <w:r>
              <w:rPr>
                <w:rFonts w:ascii="Arial" w:cs="Arial" w:eastAsia="Arial" w:hAnsi="Arial"/>
                <w:sz w:val="18"/>
                <w:szCs w:val="18"/>
                <w:i w:val="1"/>
                <w:iCs w:val="1"/>
                <w:color w:val="auto"/>
              </w:rPr>
              <w:t>2019 Proxy Statement</w:t>
            </w:r>
          </w:p>
        </w:tc>
        <w:tc>
          <w:tcPr>
            <w:tcW w:w="60" w:type="dxa"/>
            <w:vAlign w:val="bottom"/>
          </w:tcPr>
          <w:p>
            <w:pPr>
              <w:spacing w:after="0"/>
              <w:rPr>
                <w:sz w:val="24"/>
                <w:szCs w:val="24"/>
                <w:color w:val="auto"/>
              </w:rPr>
            </w:pPr>
          </w:p>
        </w:tc>
        <w:tc>
          <w:tcPr>
            <w:tcW w:w="4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-170815</wp:posOffset>
            </wp:positionV>
            <wp:extent cx="720090" cy="12890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0090" cy="12890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0033A0"/>
        </w:rPr>
        <w:t>The Brink’s Company</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auto"/>
        </w:rPr>
        <w:t>Directors’ Stock Accumulation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68580</wp:posOffset>
            </wp:positionV>
            <wp:extent cx="699770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336" w:lineRule="exact"/>
        <w:rPr>
          <w:sz w:val="20"/>
          <w:szCs w:val="20"/>
          <w:color w:val="auto"/>
        </w:rPr>
      </w:pPr>
    </w:p>
    <w:p>
      <w:pPr>
        <w:ind w:left="220"/>
        <w:spacing w:after="0" w:line="237" w:lineRule="auto"/>
        <w:rPr>
          <w:sz w:val="20"/>
          <w:szCs w:val="20"/>
          <w:color w:val="auto"/>
        </w:rPr>
      </w:pPr>
      <w:r>
        <w:rPr>
          <w:rFonts w:ascii="Arial" w:cs="Arial" w:eastAsia="Arial" w:hAnsi="Arial"/>
          <w:sz w:val="18"/>
          <w:szCs w:val="18"/>
          <w:color w:val="auto"/>
        </w:rPr>
        <w:t>Prior to 2015, the Board granted awards of Directors’ Stock Accumulation Plan units (“DSAP Units”) under the Directors’ Stock Accumulation Plan, which expired by its terms on May 15, 2015. DSAP Units vested one year from their grant dates and are settled in Brink’s Common Stock on a one-for-one basis after a director’s separation from service on the Board.</w:t>
      </w:r>
    </w:p>
    <w:p>
      <w:pPr>
        <w:spacing w:after="0" w:line="97" w:lineRule="exact"/>
        <w:rPr>
          <w:sz w:val="20"/>
          <w:szCs w:val="20"/>
          <w:color w:val="auto"/>
        </w:rPr>
      </w:pPr>
    </w:p>
    <w:p>
      <w:pPr>
        <w:ind w:left="220" w:right="100"/>
        <w:spacing w:after="0" w:line="237" w:lineRule="auto"/>
        <w:rPr>
          <w:sz w:val="20"/>
          <w:szCs w:val="20"/>
          <w:color w:val="auto"/>
        </w:rPr>
      </w:pPr>
      <w:r>
        <w:rPr>
          <w:rFonts w:ascii="Arial" w:cs="Arial" w:eastAsia="Arial" w:hAnsi="Arial"/>
          <w:sz w:val="18"/>
          <w:szCs w:val="18"/>
          <w:color w:val="auto"/>
        </w:rPr>
        <w:t>The following table sets forth the aggregate number of DSAP Units held by each non-employee director as of December 31, 2018 based on previous grants under the Directors’ Stock Accumulation Plan. Each of Ms. Docherty and Messrs. Clough, Henry, and Stoeckert joined the Board after the Directors’ Stock Accumulation Plan expired, and therefore do not have any DSAP Units.</w:t>
      </w:r>
    </w:p>
    <w:p>
      <w:pPr>
        <w:spacing w:after="0" w:line="285" w:lineRule="exact"/>
        <w:rPr>
          <w:sz w:val="20"/>
          <w:szCs w:val="20"/>
          <w:color w:val="auto"/>
        </w:rPr>
      </w:pPr>
    </w:p>
    <w:tbl>
      <w:tblPr>
        <w:tblLayout w:type="fixed"/>
        <w:tblInd w:w="200" w:type="dxa"/>
        <w:tblCellMar>
          <w:top w:w="0" w:type="dxa"/>
          <w:left w:w="0" w:type="dxa"/>
          <w:bottom w:w="0" w:type="dxa"/>
          <w:right w:w="0" w:type="dxa"/>
        </w:tblCellMar>
      </w:tblPr>
      <w:tr>
        <w:trPr>
          <w:trHeight w:val="297"/>
        </w:trPr>
        <w:tc>
          <w:tcPr>
            <w:tcW w:w="360" w:type="dxa"/>
            <w:vAlign w:val="bottom"/>
            <w:tcBorders>
              <w:right w:val="single" w:sz="8" w:color="0033A0"/>
            </w:tcBorders>
          </w:tcPr>
          <w:p>
            <w:pPr>
              <w:jc w:val="right"/>
              <w:ind w:right="70"/>
              <w:spacing w:after="0"/>
              <w:rPr>
                <w:sz w:val="20"/>
                <w:szCs w:val="20"/>
                <w:color w:val="auto"/>
              </w:rPr>
            </w:pPr>
            <w:r>
              <w:rPr>
                <w:rFonts w:ascii="Arial" w:cs="Arial" w:eastAsia="Arial" w:hAnsi="Arial"/>
                <w:sz w:val="18"/>
                <w:szCs w:val="18"/>
                <w:b w:val="1"/>
                <w:bCs w:val="1"/>
                <w:color w:val="auto"/>
                <w:w w:val="89"/>
              </w:rPr>
              <w:t>70</w:t>
            </w:r>
          </w:p>
        </w:tc>
        <w:tc>
          <w:tcPr>
            <w:tcW w:w="3380" w:type="dxa"/>
            <w:vAlign w:val="bottom"/>
          </w:tcPr>
          <w:p>
            <w:pPr>
              <w:ind w:left="1600"/>
              <w:spacing w:after="0"/>
              <w:rPr>
                <w:sz w:val="20"/>
                <w:szCs w:val="20"/>
                <w:color w:val="auto"/>
              </w:rPr>
            </w:pPr>
            <w:r>
              <w:rPr>
                <w:rFonts w:ascii="Arial" w:cs="Arial" w:eastAsia="Arial" w:hAnsi="Arial"/>
                <w:sz w:val="18"/>
                <w:szCs w:val="18"/>
                <w:i w:val="1"/>
                <w:iCs w:val="1"/>
                <w:color w:val="auto"/>
                <w:w w:val="98"/>
              </w:rPr>
              <w:t>2019 Proxy Statement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-170815</wp:posOffset>
            </wp:positionV>
            <wp:extent cx="720090" cy="12890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009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3340" w:type="dxa"/>
            <w:vAlign w:val="bottom"/>
          </w:tcPr>
          <w:p>
            <w:pPr>
              <w:spacing w:after="0"/>
              <w:rPr>
                <w:sz w:val="14"/>
                <w:szCs w:val="14"/>
                <w:color w:val="auto"/>
              </w:rPr>
            </w:pPr>
          </w:p>
        </w:tc>
        <w:tc>
          <w:tcPr>
            <w:tcW w:w="2060" w:type="dxa"/>
            <w:vAlign w:val="bottom"/>
          </w:tcPr>
          <w:p>
            <w:pPr>
              <w:jc w:val="right"/>
              <w:ind w:right="394"/>
              <w:spacing w:after="0"/>
              <w:rPr>
                <w:sz w:val="20"/>
                <w:szCs w:val="20"/>
                <w:color w:val="auto"/>
              </w:rPr>
            </w:pPr>
            <w:r>
              <w:rPr>
                <w:rFonts w:ascii="Arial" w:cs="Arial" w:eastAsia="Arial" w:hAnsi="Arial"/>
                <w:sz w:val="14"/>
                <w:szCs w:val="14"/>
                <w:b w:val="1"/>
                <w:bCs w:val="1"/>
                <w:color w:val="0033A0"/>
              </w:rPr>
              <w:t>Total</w:t>
            </w:r>
          </w:p>
        </w:tc>
      </w:tr>
      <w:tr>
        <w:trPr>
          <w:trHeight w:val="175"/>
        </w:trPr>
        <w:tc>
          <w:tcPr>
            <w:tcW w:w="3340" w:type="dxa"/>
            <w:vAlign w:val="bottom"/>
            <w:tcBorders>
              <w:bottom w:val="single" w:sz="8" w:color="0033A0"/>
            </w:tcBorders>
          </w:tcPr>
          <w:p>
            <w:pPr>
              <w:ind w:left="80"/>
              <w:spacing w:after="0"/>
              <w:rPr>
                <w:sz w:val="20"/>
                <w:szCs w:val="20"/>
                <w:color w:val="auto"/>
              </w:rPr>
            </w:pPr>
            <w:r>
              <w:rPr>
                <w:rFonts w:ascii="Arial" w:cs="Arial" w:eastAsia="Arial" w:hAnsi="Arial"/>
                <w:sz w:val="14"/>
                <w:szCs w:val="14"/>
                <w:b w:val="1"/>
                <w:bCs w:val="1"/>
                <w:color w:val="0033A0"/>
              </w:rPr>
              <w:t>Name</w:t>
            </w:r>
          </w:p>
        </w:tc>
        <w:tc>
          <w:tcPr>
            <w:tcW w:w="2060" w:type="dxa"/>
            <w:vAlign w:val="bottom"/>
            <w:tcBorders>
              <w:bottom w:val="single" w:sz="8" w:color="0033A0"/>
            </w:tcBorders>
          </w:tcPr>
          <w:p>
            <w:pPr>
              <w:jc w:val="right"/>
              <w:spacing w:after="0"/>
              <w:rPr>
                <w:sz w:val="20"/>
                <w:szCs w:val="20"/>
                <w:color w:val="auto"/>
              </w:rPr>
            </w:pPr>
            <w:r>
              <w:rPr>
                <w:rFonts w:ascii="Arial" w:cs="Arial" w:eastAsia="Arial" w:hAnsi="Arial"/>
                <w:sz w:val="14"/>
                <w:szCs w:val="14"/>
                <w:b w:val="1"/>
                <w:bCs w:val="1"/>
                <w:color w:val="0033A0"/>
              </w:rPr>
              <w:t>DSAP Units Held</w:t>
            </w:r>
          </w:p>
        </w:tc>
      </w:tr>
      <w:tr>
        <w:trPr>
          <w:trHeight w:val="21"/>
        </w:trPr>
        <w:tc>
          <w:tcPr>
            <w:tcW w:w="33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23"/>
        </w:trPr>
        <w:tc>
          <w:tcPr>
            <w:tcW w:w="3340" w:type="dxa"/>
            <w:vAlign w:val="bottom"/>
            <w:tcBorders>
              <w:bottom w:val="single" w:sz="8" w:color="E5EAF5"/>
            </w:tcBorders>
            <w:shd w:val="clear" w:color="auto" w:fill="E5EAF5"/>
          </w:tcPr>
          <w:p>
            <w:pPr>
              <w:ind w:left="80"/>
              <w:spacing w:after="0" w:line="202" w:lineRule="exact"/>
              <w:rPr>
                <w:sz w:val="20"/>
                <w:szCs w:val="20"/>
                <w:color w:val="auto"/>
              </w:rPr>
            </w:pPr>
            <w:r>
              <w:rPr>
                <w:rFonts w:ascii="Arial" w:cs="Arial" w:eastAsia="Arial" w:hAnsi="Arial"/>
                <w:sz w:val="18"/>
                <w:szCs w:val="18"/>
                <w:color w:val="auto"/>
              </w:rPr>
              <w:t>Mr. Boynton</w:t>
            </w:r>
          </w:p>
        </w:tc>
        <w:tc>
          <w:tcPr>
            <w:tcW w:w="2060" w:type="dxa"/>
            <w:vAlign w:val="bottom"/>
            <w:tcBorders>
              <w:bottom w:val="single" w:sz="8" w:color="E5EAF5"/>
            </w:tcBorders>
            <w:shd w:val="clear" w:color="auto" w:fill="E5EAF5"/>
          </w:tcPr>
          <w:p>
            <w:pPr>
              <w:jc w:val="right"/>
              <w:spacing w:after="0" w:line="202" w:lineRule="exact"/>
              <w:rPr>
                <w:sz w:val="20"/>
                <w:szCs w:val="20"/>
                <w:color w:val="auto"/>
              </w:rPr>
            </w:pPr>
            <w:r>
              <w:rPr>
                <w:rFonts w:ascii="Arial" w:cs="Arial" w:eastAsia="Arial" w:hAnsi="Arial"/>
                <w:sz w:val="18"/>
                <w:szCs w:val="18"/>
                <w:color w:val="auto"/>
              </w:rPr>
              <w:t>4,525</w:t>
            </w:r>
          </w:p>
        </w:tc>
      </w:tr>
      <w:tr>
        <w:trPr>
          <w:trHeight w:val="217"/>
        </w:trPr>
        <w:tc>
          <w:tcPr>
            <w:tcW w:w="3340" w:type="dxa"/>
            <w:vAlign w:val="bottom"/>
          </w:tcPr>
          <w:p>
            <w:pPr>
              <w:ind w:left="80"/>
              <w:spacing w:after="0"/>
              <w:rPr>
                <w:sz w:val="20"/>
                <w:szCs w:val="20"/>
                <w:color w:val="auto"/>
              </w:rPr>
            </w:pPr>
            <w:r>
              <w:rPr>
                <w:rFonts w:ascii="Arial" w:cs="Arial" w:eastAsia="Arial" w:hAnsi="Arial"/>
                <w:sz w:val="18"/>
                <w:szCs w:val="18"/>
                <w:color w:val="auto"/>
              </w:rPr>
              <w:t>Mr. Clough</w:t>
            </w:r>
          </w:p>
        </w:tc>
        <w:tc>
          <w:tcPr>
            <w:tcW w:w="2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
        </w:trPr>
        <w:tc>
          <w:tcPr>
            <w:tcW w:w="33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23"/>
        </w:trPr>
        <w:tc>
          <w:tcPr>
            <w:tcW w:w="3340" w:type="dxa"/>
            <w:vAlign w:val="bottom"/>
            <w:tcBorders>
              <w:bottom w:val="single" w:sz="8" w:color="E5EAF5"/>
            </w:tcBorders>
            <w:shd w:val="clear" w:color="auto" w:fill="E5EAF5"/>
          </w:tcPr>
          <w:p>
            <w:pPr>
              <w:ind w:left="80"/>
              <w:spacing w:after="0" w:line="202" w:lineRule="exact"/>
              <w:rPr>
                <w:sz w:val="20"/>
                <w:szCs w:val="20"/>
                <w:color w:val="auto"/>
              </w:rPr>
            </w:pPr>
            <w:r>
              <w:rPr>
                <w:rFonts w:ascii="Arial" w:cs="Arial" w:eastAsia="Arial" w:hAnsi="Arial"/>
                <w:sz w:val="18"/>
                <w:szCs w:val="18"/>
                <w:color w:val="auto"/>
              </w:rPr>
              <w:t>Ms. Docherty</w:t>
            </w:r>
          </w:p>
        </w:tc>
        <w:tc>
          <w:tcPr>
            <w:tcW w:w="2060" w:type="dxa"/>
            <w:vAlign w:val="bottom"/>
            <w:tcBorders>
              <w:bottom w:val="single" w:sz="8" w:color="E5EAF5"/>
            </w:tcBorders>
            <w:shd w:val="clear" w:color="auto" w:fill="E5EAF5"/>
          </w:tcPr>
          <w:p>
            <w:pPr>
              <w:jc w:val="right"/>
              <w:spacing w:after="0" w:line="202" w:lineRule="exact"/>
              <w:rPr>
                <w:sz w:val="20"/>
                <w:szCs w:val="20"/>
                <w:color w:val="auto"/>
              </w:rPr>
            </w:pPr>
            <w:r>
              <w:rPr>
                <w:rFonts w:ascii="Arial" w:cs="Arial" w:eastAsia="Arial" w:hAnsi="Arial"/>
                <w:sz w:val="18"/>
                <w:szCs w:val="18"/>
                <w:color w:val="auto"/>
              </w:rPr>
              <w:t>—</w:t>
            </w:r>
          </w:p>
        </w:tc>
      </w:tr>
      <w:tr>
        <w:trPr>
          <w:trHeight w:val="217"/>
        </w:trPr>
        <w:tc>
          <w:tcPr>
            <w:tcW w:w="3340" w:type="dxa"/>
            <w:vAlign w:val="bottom"/>
          </w:tcPr>
          <w:p>
            <w:pPr>
              <w:ind w:left="80"/>
              <w:spacing w:after="0"/>
              <w:rPr>
                <w:sz w:val="20"/>
                <w:szCs w:val="20"/>
                <w:color w:val="auto"/>
              </w:rPr>
            </w:pPr>
            <w:r>
              <w:rPr>
                <w:rFonts w:ascii="Arial" w:cs="Arial" w:eastAsia="Arial" w:hAnsi="Arial"/>
                <w:sz w:val="18"/>
                <w:szCs w:val="18"/>
                <w:color w:val="auto"/>
              </w:rPr>
              <w:t>Mr. Hedgebeth</w:t>
            </w:r>
          </w:p>
        </w:tc>
        <w:tc>
          <w:tcPr>
            <w:tcW w:w="2060" w:type="dxa"/>
            <w:vAlign w:val="bottom"/>
          </w:tcPr>
          <w:p>
            <w:pPr>
              <w:jc w:val="right"/>
              <w:spacing w:after="0"/>
              <w:rPr>
                <w:sz w:val="20"/>
                <w:szCs w:val="20"/>
                <w:color w:val="auto"/>
              </w:rPr>
            </w:pPr>
            <w:r>
              <w:rPr>
                <w:rFonts w:ascii="Arial" w:cs="Arial" w:eastAsia="Arial" w:hAnsi="Arial"/>
                <w:sz w:val="18"/>
                <w:szCs w:val="18"/>
                <w:color w:val="auto"/>
              </w:rPr>
              <w:t>2,345</w:t>
            </w:r>
          </w:p>
        </w:tc>
      </w:tr>
      <w:tr>
        <w:trPr>
          <w:trHeight w:val="26"/>
        </w:trPr>
        <w:tc>
          <w:tcPr>
            <w:tcW w:w="33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23"/>
        </w:trPr>
        <w:tc>
          <w:tcPr>
            <w:tcW w:w="3340" w:type="dxa"/>
            <w:vAlign w:val="bottom"/>
            <w:tcBorders>
              <w:bottom w:val="single" w:sz="8" w:color="E5EAF5"/>
            </w:tcBorders>
            <w:shd w:val="clear" w:color="auto" w:fill="E5EAF5"/>
          </w:tcPr>
          <w:p>
            <w:pPr>
              <w:ind w:left="80"/>
              <w:spacing w:after="0" w:line="202" w:lineRule="exact"/>
              <w:rPr>
                <w:sz w:val="20"/>
                <w:szCs w:val="20"/>
                <w:color w:val="auto"/>
              </w:rPr>
            </w:pPr>
            <w:r>
              <w:rPr>
                <w:rFonts w:ascii="Arial" w:cs="Arial" w:eastAsia="Arial" w:hAnsi="Arial"/>
                <w:sz w:val="18"/>
                <w:szCs w:val="18"/>
                <w:color w:val="auto"/>
              </w:rPr>
              <w:t>Mr. Henry</w:t>
            </w:r>
          </w:p>
        </w:tc>
        <w:tc>
          <w:tcPr>
            <w:tcW w:w="2060" w:type="dxa"/>
            <w:vAlign w:val="bottom"/>
            <w:tcBorders>
              <w:bottom w:val="single" w:sz="8" w:color="E5EAF5"/>
            </w:tcBorders>
            <w:shd w:val="clear" w:color="auto" w:fill="E5EAF5"/>
          </w:tcPr>
          <w:p>
            <w:pPr>
              <w:jc w:val="right"/>
              <w:spacing w:after="0" w:line="202" w:lineRule="exact"/>
              <w:rPr>
                <w:sz w:val="20"/>
                <w:szCs w:val="20"/>
                <w:color w:val="auto"/>
              </w:rPr>
            </w:pPr>
            <w:r>
              <w:rPr>
                <w:rFonts w:ascii="Arial" w:cs="Arial" w:eastAsia="Arial" w:hAnsi="Arial"/>
                <w:sz w:val="18"/>
                <w:szCs w:val="18"/>
                <w:color w:val="auto"/>
              </w:rPr>
              <w:t>—</w:t>
            </w:r>
          </w:p>
        </w:tc>
      </w:tr>
      <w:tr>
        <w:trPr>
          <w:trHeight w:val="217"/>
        </w:trPr>
        <w:tc>
          <w:tcPr>
            <w:tcW w:w="3340" w:type="dxa"/>
            <w:vAlign w:val="bottom"/>
          </w:tcPr>
          <w:p>
            <w:pPr>
              <w:ind w:left="80"/>
              <w:spacing w:after="0"/>
              <w:rPr>
                <w:sz w:val="20"/>
                <w:szCs w:val="20"/>
                <w:color w:val="auto"/>
              </w:rPr>
            </w:pPr>
            <w:r>
              <w:rPr>
                <w:rFonts w:ascii="Arial" w:cs="Arial" w:eastAsia="Arial" w:hAnsi="Arial"/>
                <w:sz w:val="18"/>
                <w:szCs w:val="18"/>
                <w:color w:val="auto"/>
              </w:rPr>
              <w:t>Mr. Herling</w:t>
            </w:r>
          </w:p>
        </w:tc>
        <w:tc>
          <w:tcPr>
            <w:tcW w:w="2060" w:type="dxa"/>
            <w:vAlign w:val="bottom"/>
          </w:tcPr>
          <w:p>
            <w:pPr>
              <w:jc w:val="right"/>
              <w:spacing w:after="0"/>
              <w:rPr>
                <w:sz w:val="20"/>
                <w:szCs w:val="20"/>
                <w:color w:val="auto"/>
              </w:rPr>
            </w:pPr>
            <w:r>
              <w:rPr>
                <w:rFonts w:ascii="Arial" w:cs="Arial" w:eastAsia="Arial" w:hAnsi="Arial"/>
                <w:sz w:val="18"/>
                <w:szCs w:val="18"/>
                <w:color w:val="auto"/>
              </w:rPr>
              <w:t>5,562</w:t>
            </w:r>
          </w:p>
        </w:tc>
      </w:tr>
      <w:tr>
        <w:trPr>
          <w:trHeight w:val="26"/>
        </w:trPr>
        <w:tc>
          <w:tcPr>
            <w:tcW w:w="33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23"/>
        </w:trPr>
        <w:tc>
          <w:tcPr>
            <w:tcW w:w="3340" w:type="dxa"/>
            <w:vAlign w:val="bottom"/>
            <w:tcBorders>
              <w:bottom w:val="single" w:sz="8" w:color="E5EAF5"/>
            </w:tcBorders>
            <w:shd w:val="clear" w:color="auto" w:fill="E5EAF5"/>
          </w:tcPr>
          <w:p>
            <w:pPr>
              <w:ind w:left="80"/>
              <w:spacing w:after="0" w:line="202" w:lineRule="exact"/>
              <w:rPr>
                <w:sz w:val="20"/>
                <w:szCs w:val="20"/>
                <w:color w:val="auto"/>
              </w:rPr>
            </w:pPr>
            <w:r>
              <w:rPr>
                <w:rFonts w:ascii="Arial" w:cs="Arial" w:eastAsia="Arial" w:hAnsi="Arial"/>
                <w:sz w:val="18"/>
                <w:szCs w:val="18"/>
                <w:color w:val="auto"/>
              </w:rPr>
              <w:t>Mr. Stoeckert</w:t>
            </w:r>
          </w:p>
        </w:tc>
        <w:tc>
          <w:tcPr>
            <w:tcW w:w="2060" w:type="dxa"/>
            <w:vAlign w:val="bottom"/>
            <w:tcBorders>
              <w:bottom w:val="single" w:sz="8" w:color="E5EAF5"/>
            </w:tcBorders>
            <w:shd w:val="clear" w:color="auto" w:fill="E5EAF5"/>
          </w:tcPr>
          <w:p>
            <w:pPr>
              <w:jc w:val="right"/>
              <w:spacing w:after="0" w:line="202" w:lineRule="exact"/>
              <w:rPr>
                <w:sz w:val="20"/>
                <w:szCs w:val="20"/>
                <w:color w:val="auto"/>
              </w:rPr>
            </w:pPr>
            <w:r>
              <w:rPr>
                <w:rFonts w:ascii="Arial" w:cs="Arial" w:eastAsia="Arial" w:hAnsi="Arial"/>
                <w:sz w:val="18"/>
                <w:szCs w:val="18"/>
                <w:color w:val="auto"/>
              </w:rPr>
              <w:t>—</w:t>
            </w:r>
          </w:p>
        </w:tc>
      </w:tr>
      <w:tr>
        <w:trPr>
          <w:trHeight w:val="202"/>
        </w:trPr>
        <w:tc>
          <w:tcPr>
            <w:tcW w:w="3340" w:type="dxa"/>
            <w:vAlign w:val="bottom"/>
          </w:tcPr>
          <w:p>
            <w:pPr>
              <w:ind w:left="80"/>
              <w:spacing w:after="0" w:line="201" w:lineRule="exact"/>
              <w:rPr>
                <w:sz w:val="20"/>
                <w:szCs w:val="20"/>
                <w:color w:val="auto"/>
              </w:rPr>
            </w:pPr>
            <w:r>
              <w:rPr>
                <w:rFonts w:ascii="Arial" w:cs="Arial" w:eastAsia="Arial" w:hAnsi="Arial"/>
                <w:sz w:val="18"/>
                <w:szCs w:val="18"/>
                <w:color w:val="auto"/>
              </w:rPr>
              <w:t>All Non-Employee Directors as a Group</w:t>
            </w:r>
          </w:p>
        </w:tc>
        <w:tc>
          <w:tcPr>
            <w:tcW w:w="2060" w:type="dxa"/>
            <w:vAlign w:val="bottom"/>
          </w:tcPr>
          <w:p>
            <w:pPr>
              <w:spacing w:after="0"/>
              <w:rPr>
                <w:sz w:val="17"/>
                <w:szCs w:val="17"/>
                <w:color w:val="auto"/>
              </w:rPr>
            </w:pPr>
          </w:p>
        </w:tc>
      </w:tr>
      <w:tr>
        <w:trPr>
          <w:trHeight w:val="217"/>
        </w:trPr>
        <w:tc>
          <w:tcPr>
            <w:tcW w:w="3340" w:type="dxa"/>
            <w:vAlign w:val="bottom"/>
          </w:tcPr>
          <w:p>
            <w:pPr>
              <w:ind w:left="80"/>
              <w:spacing w:after="0"/>
              <w:rPr>
                <w:sz w:val="20"/>
                <w:szCs w:val="20"/>
                <w:color w:val="auto"/>
              </w:rPr>
            </w:pPr>
            <w:r>
              <w:rPr>
                <w:rFonts w:ascii="Arial" w:cs="Arial" w:eastAsia="Arial" w:hAnsi="Arial"/>
                <w:sz w:val="18"/>
                <w:szCs w:val="18"/>
                <w:color w:val="auto"/>
              </w:rPr>
              <w:t>(7 persons)</w:t>
            </w:r>
          </w:p>
        </w:tc>
        <w:tc>
          <w:tcPr>
            <w:tcW w:w="2060" w:type="dxa"/>
            <w:vAlign w:val="bottom"/>
          </w:tcPr>
          <w:p>
            <w:pPr>
              <w:jc w:val="right"/>
              <w:spacing w:after="0"/>
              <w:rPr>
                <w:sz w:val="20"/>
                <w:szCs w:val="20"/>
                <w:color w:val="auto"/>
              </w:rPr>
            </w:pPr>
            <w:r>
              <w:rPr>
                <w:rFonts w:ascii="Arial" w:cs="Arial" w:eastAsia="Arial" w:hAnsi="Arial"/>
                <w:sz w:val="18"/>
                <w:szCs w:val="18"/>
                <w:color w:val="auto"/>
              </w:rPr>
              <w:t>12,432</w:t>
            </w:r>
          </w:p>
        </w:tc>
      </w:tr>
      <w:tr>
        <w:trPr>
          <w:trHeight w:val="34"/>
        </w:trPr>
        <w:tc>
          <w:tcPr>
            <w:tcW w:w="3340" w:type="dxa"/>
            <w:vAlign w:val="bottom"/>
            <w:tcBorders>
              <w:bottom w:val="single" w:sz="8" w:color="0033A0"/>
            </w:tcBorders>
          </w:tcPr>
          <w:p>
            <w:pPr>
              <w:spacing w:after="0"/>
              <w:rPr>
                <w:sz w:val="2"/>
                <w:szCs w:val="2"/>
                <w:color w:val="auto"/>
              </w:rPr>
            </w:pPr>
          </w:p>
        </w:tc>
        <w:tc>
          <w:tcPr>
            <w:tcW w:w="2060" w:type="dxa"/>
            <w:vAlign w:val="bottom"/>
            <w:tcBorders>
              <w:bottom w:val="single" w:sz="8" w:color="0033A0"/>
            </w:tcBorders>
          </w:tcPr>
          <w:p>
            <w:pPr>
              <w:spacing w:after="0"/>
              <w:rPr>
                <w:sz w:val="2"/>
                <w:szCs w:val="2"/>
                <w:color w:val="auto"/>
              </w:rPr>
            </w:pPr>
          </w:p>
        </w:tc>
      </w:tr>
    </w:tbl>
    <w:p>
      <w:pPr>
        <w:sectPr>
          <w:pgSz w:w="11900" w:h="16838" w:orient="portrait"/>
          <w:cols w:equalWidth="0" w:num="2">
            <w:col w:w="5480" w:space="340"/>
            <w:col w:w="5400"/>
          </w:cols>
          <w:pgMar w:left="240" w:top="459" w:right="439" w:bottom="1440" w:gutter="0" w:footer="0" w:header="0"/>
          <w:type w:val="continuous"/>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0033A0"/>
        </w:rPr>
        <w:t>The Brink’s Company</w:t>
      </w:r>
    </w:p>
    <w:p>
      <w:pPr>
        <w:spacing w:after="0" w:line="161" w:lineRule="exact"/>
        <w:rPr>
          <w:sz w:val="20"/>
          <w:szCs w:val="20"/>
          <w:color w:val="auto"/>
        </w:rPr>
      </w:pPr>
    </w:p>
    <w:p>
      <w:pPr>
        <w:ind w:left="200"/>
        <w:spacing w:after="0"/>
        <w:rPr>
          <w:sz w:val="20"/>
          <w:szCs w:val="20"/>
          <w:color w:val="auto"/>
        </w:rPr>
      </w:pPr>
      <w:r>
        <w:rPr>
          <w:rFonts w:ascii="Arial" w:cs="Arial" w:eastAsia="Arial" w:hAnsi="Arial"/>
          <w:sz w:val="43"/>
          <w:szCs w:val="43"/>
          <w:color w:val="0033A0"/>
        </w:rPr>
        <w:t>STOCK OWNERSHIP</w:t>
      </w:r>
    </w:p>
    <w:p>
      <w:pPr>
        <w:spacing w:after="0" w:line="192"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auto"/>
        </w:rPr>
        <w:t>Directors and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68580</wp:posOffset>
            </wp:positionV>
            <wp:extent cx="699770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8" w:lineRule="exact"/>
        <w:rPr>
          <w:sz w:val="20"/>
          <w:szCs w:val="20"/>
          <w:color w:val="auto"/>
        </w:rPr>
      </w:pPr>
    </w:p>
    <w:p>
      <w:pPr>
        <w:ind w:left="200" w:right="20"/>
        <w:spacing w:after="0" w:line="237" w:lineRule="auto"/>
        <w:rPr>
          <w:sz w:val="20"/>
          <w:szCs w:val="20"/>
          <w:color w:val="auto"/>
        </w:rPr>
      </w:pPr>
      <w:r>
        <w:rPr>
          <w:rFonts w:ascii="Arial" w:cs="Arial" w:eastAsia="Arial" w:hAnsi="Arial"/>
          <w:sz w:val="18"/>
          <w:szCs w:val="18"/>
          <w:color w:val="auto"/>
        </w:rPr>
        <w:t>The following table shows the beneficial ownership of our common shares as of January 11, 2019 by our directors, director nominees, executive officers named in the Summary Compensation Table, and all of our directors and executive officers as a group. Under applicable SEC rules, the definition of beneficial ownership for purposes of this table includes shares over which a person has sole or shared voting power, or sole or shared power to invest or dispose of the shares, whether or not a person has any economic interest in the shares, and also includes shares for which the person has the right to acquire beneficial ownership within 60 days of January 11, 2019. Except as otherwise indicated, a person has sole voting and investment power with respect to the shares of Brink’s Common Stock beneficially owned by that person.</w:t>
      </w:r>
    </w:p>
    <w:p>
      <w:pPr>
        <w:spacing w:after="0" w:line="94"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48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0033A0"/>
              </w:rPr>
              <w:t>Name of Individual</w:t>
            </w:r>
          </w:p>
        </w:tc>
        <w:tc>
          <w:tcPr>
            <w:tcW w:w="2400" w:type="dxa"/>
            <w:vAlign w:val="bottom"/>
            <w:vMerge w:val="restart"/>
          </w:tcPr>
          <w:p>
            <w:pPr>
              <w:jc w:val="right"/>
              <w:ind w:right="521"/>
              <w:spacing w:after="0"/>
              <w:rPr>
                <w:sz w:val="20"/>
                <w:szCs w:val="20"/>
                <w:color w:val="auto"/>
              </w:rPr>
            </w:pPr>
            <w:r>
              <w:rPr>
                <w:rFonts w:ascii="Arial" w:cs="Arial" w:eastAsia="Arial" w:hAnsi="Arial"/>
                <w:sz w:val="14"/>
                <w:szCs w:val="14"/>
                <w:b w:val="1"/>
                <w:bCs w:val="1"/>
                <w:color w:val="0033A0"/>
              </w:rPr>
              <w:t>Number of Shares</w:t>
            </w:r>
          </w:p>
        </w:tc>
        <w:tc>
          <w:tcPr>
            <w:tcW w:w="1960" w:type="dxa"/>
            <w:vAlign w:val="bottom"/>
            <w:vMerge w:val="restart"/>
          </w:tcPr>
          <w:p>
            <w:pPr>
              <w:jc w:val="right"/>
              <w:ind w:right="700"/>
              <w:spacing w:after="0"/>
              <w:rPr>
                <w:sz w:val="20"/>
                <w:szCs w:val="20"/>
                <w:color w:val="auto"/>
              </w:rPr>
            </w:pPr>
            <w:r>
              <w:rPr>
                <w:rFonts w:ascii="Arial" w:cs="Arial" w:eastAsia="Arial" w:hAnsi="Arial"/>
                <w:sz w:val="14"/>
                <w:szCs w:val="14"/>
                <w:b w:val="1"/>
                <w:bCs w:val="1"/>
                <w:color w:val="0033A0"/>
              </w:rPr>
              <w:t>Percent of</w:t>
            </w:r>
          </w:p>
        </w:tc>
        <w:tc>
          <w:tcPr>
            <w:tcW w:w="1860" w:type="dxa"/>
            <w:vAlign w:val="bottom"/>
          </w:tcPr>
          <w:p>
            <w:pPr>
              <w:jc w:val="center"/>
              <w:ind w:left="482"/>
              <w:spacing w:after="0"/>
              <w:rPr>
                <w:sz w:val="20"/>
                <w:szCs w:val="20"/>
                <w:color w:val="auto"/>
              </w:rPr>
            </w:pPr>
            <w:r>
              <w:rPr>
                <w:rFonts w:ascii="Arial" w:cs="Arial" w:eastAsia="Arial" w:hAnsi="Arial"/>
                <w:sz w:val="14"/>
                <w:szCs w:val="14"/>
                <w:b w:val="1"/>
                <w:bCs w:val="1"/>
                <w:color w:val="0033A0"/>
              </w:rPr>
              <w:t>Number of Other</w:t>
            </w:r>
          </w:p>
        </w:tc>
        <w:tc>
          <w:tcPr>
            <w:tcW w:w="0" w:type="dxa"/>
            <w:vAlign w:val="bottom"/>
          </w:tcPr>
          <w:p>
            <w:pPr>
              <w:spacing w:after="0"/>
              <w:rPr>
                <w:sz w:val="1"/>
                <w:szCs w:val="1"/>
                <w:color w:val="auto"/>
              </w:rPr>
            </w:pPr>
          </w:p>
        </w:tc>
      </w:tr>
      <w:tr>
        <w:trPr>
          <w:trHeight w:val="152"/>
        </w:trPr>
        <w:tc>
          <w:tcPr>
            <w:tcW w:w="4800" w:type="dxa"/>
            <w:vAlign w:val="bottom"/>
            <w:gridSpan w:val="2"/>
            <w:vMerge w:val="continue"/>
          </w:tcPr>
          <w:p>
            <w:pPr>
              <w:spacing w:after="0"/>
              <w:rPr>
                <w:sz w:val="13"/>
                <w:szCs w:val="13"/>
                <w:color w:val="auto"/>
              </w:rPr>
            </w:pPr>
          </w:p>
        </w:tc>
        <w:tc>
          <w:tcPr>
            <w:tcW w:w="2400" w:type="dxa"/>
            <w:vAlign w:val="bottom"/>
            <w:vMerge w:val="continue"/>
          </w:tcPr>
          <w:p>
            <w:pPr>
              <w:spacing w:after="0"/>
              <w:rPr>
                <w:sz w:val="13"/>
                <w:szCs w:val="13"/>
                <w:color w:val="auto"/>
              </w:rPr>
            </w:pPr>
          </w:p>
        </w:tc>
        <w:tc>
          <w:tcPr>
            <w:tcW w:w="1960" w:type="dxa"/>
            <w:vAlign w:val="bottom"/>
            <w:vMerge w:val="continue"/>
          </w:tcPr>
          <w:p>
            <w:pPr>
              <w:spacing w:after="0"/>
              <w:rPr>
                <w:sz w:val="13"/>
                <w:szCs w:val="13"/>
                <w:color w:val="auto"/>
              </w:rPr>
            </w:pPr>
          </w:p>
        </w:tc>
        <w:tc>
          <w:tcPr>
            <w:tcW w:w="1860" w:type="dxa"/>
            <w:vAlign w:val="bottom"/>
          </w:tcPr>
          <w:p>
            <w:pPr>
              <w:jc w:val="center"/>
              <w:ind w:left="502"/>
              <w:spacing w:after="0" w:line="152" w:lineRule="exact"/>
              <w:rPr>
                <w:sz w:val="20"/>
                <w:szCs w:val="20"/>
                <w:color w:val="auto"/>
              </w:rPr>
            </w:pPr>
            <w:r>
              <w:rPr>
                <w:rFonts w:ascii="Arial" w:cs="Arial" w:eastAsia="Arial" w:hAnsi="Arial"/>
                <w:sz w:val="11"/>
                <w:szCs w:val="11"/>
                <w:b w:val="1"/>
                <w:bCs w:val="1"/>
                <w:color w:val="0033A0"/>
              </w:rPr>
              <w:t>Units Owned</w:t>
            </w:r>
            <w:r>
              <w:rPr>
                <w:rFonts w:ascii="Arial" w:cs="Arial" w:eastAsia="Arial" w:hAnsi="Arial"/>
                <w:sz w:val="17"/>
                <w:szCs w:val="17"/>
                <w:b w:val="1"/>
                <w:bCs w:val="1"/>
                <w:color w:val="0033A0"/>
                <w:vertAlign w:val="superscript"/>
              </w:rPr>
              <w:t>(b)</w:t>
            </w:r>
          </w:p>
        </w:tc>
        <w:tc>
          <w:tcPr>
            <w:tcW w:w="0" w:type="dxa"/>
            <w:vAlign w:val="bottom"/>
          </w:tcPr>
          <w:p>
            <w:pPr>
              <w:spacing w:after="0"/>
              <w:rPr>
                <w:sz w:val="1"/>
                <w:szCs w:val="1"/>
                <w:color w:val="auto"/>
              </w:rPr>
            </w:pPr>
          </w:p>
        </w:tc>
      </w:tr>
      <w:tr>
        <w:trPr>
          <w:trHeight w:val="162"/>
        </w:trPr>
        <w:tc>
          <w:tcPr>
            <w:tcW w:w="4800" w:type="dxa"/>
            <w:vAlign w:val="bottom"/>
            <w:tcBorders>
              <w:bottom w:val="single" w:sz="8" w:color="0033A0"/>
            </w:tcBorders>
            <w:gridSpan w:val="2"/>
          </w:tcPr>
          <w:p>
            <w:pPr>
              <w:ind w:left="60"/>
              <w:spacing w:after="0"/>
              <w:rPr>
                <w:sz w:val="20"/>
                <w:szCs w:val="20"/>
                <w:color w:val="auto"/>
              </w:rPr>
            </w:pPr>
            <w:r>
              <w:rPr>
                <w:rFonts w:ascii="Arial" w:cs="Arial" w:eastAsia="Arial" w:hAnsi="Arial"/>
                <w:sz w:val="14"/>
                <w:szCs w:val="14"/>
                <w:b w:val="1"/>
                <w:bCs w:val="1"/>
                <w:color w:val="0033A0"/>
              </w:rPr>
              <w:t>or Identity of Group</w:t>
            </w:r>
          </w:p>
        </w:tc>
        <w:tc>
          <w:tcPr>
            <w:tcW w:w="2400" w:type="dxa"/>
            <w:vAlign w:val="bottom"/>
            <w:tcBorders>
              <w:bottom w:val="single" w:sz="8" w:color="0033A0"/>
            </w:tcBorders>
          </w:tcPr>
          <w:p>
            <w:pPr>
              <w:jc w:val="right"/>
              <w:ind w:right="421"/>
              <w:spacing w:after="0" w:line="162" w:lineRule="exact"/>
              <w:rPr>
                <w:sz w:val="20"/>
                <w:szCs w:val="20"/>
                <w:color w:val="auto"/>
              </w:rPr>
            </w:pPr>
            <w:r>
              <w:rPr>
                <w:rFonts w:ascii="Arial" w:cs="Arial" w:eastAsia="Arial" w:hAnsi="Arial"/>
                <w:sz w:val="11"/>
                <w:szCs w:val="11"/>
                <w:b w:val="1"/>
                <w:bCs w:val="1"/>
                <w:color w:val="0033A0"/>
              </w:rPr>
              <w:t>Beneficially Owned</w:t>
            </w:r>
            <w:r>
              <w:rPr>
                <w:rFonts w:ascii="Arial" w:cs="Arial" w:eastAsia="Arial" w:hAnsi="Arial"/>
                <w:sz w:val="18"/>
                <w:szCs w:val="18"/>
                <w:b w:val="1"/>
                <w:bCs w:val="1"/>
                <w:color w:val="0033A0"/>
                <w:vertAlign w:val="superscript"/>
              </w:rPr>
              <w:t>(a)</w:t>
            </w:r>
          </w:p>
        </w:tc>
        <w:tc>
          <w:tcPr>
            <w:tcW w:w="1960" w:type="dxa"/>
            <w:vAlign w:val="bottom"/>
            <w:tcBorders>
              <w:bottom w:val="single" w:sz="8" w:color="0033A0"/>
            </w:tcBorders>
          </w:tcPr>
          <w:p>
            <w:pPr>
              <w:jc w:val="right"/>
              <w:ind w:right="840"/>
              <w:spacing w:after="0"/>
              <w:rPr>
                <w:sz w:val="20"/>
                <w:szCs w:val="20"/>
                <w:color w:val="auto"/>
              </w:rPr>
            </w:pPr>
            <w:r>
              <w:rPr>
                <w:rFonts w:ascii="Arial" w:cs="Arial" w:eastAsia="Arial" w:hAnsi="Arial"/>
                <w:sz w:val="14"/>
                <w:szCs w:val="14"/>
                <w:b w:val="1"/>
                <w:bCs w:val="1"/>
                <w:color w:val="0033A0"/>
              </w:rPr>
              <w:t>Class*</w:t>
            </w:r>
          </w:p>
        </w:tc>
        <w:tc>
          <w:tcPr>
            <w:tcW w:w="1860" w:type="dxa"/>
            <w:vAlign w:val="bottom"/>
            <w:tcBorders>
              <w:bottom w:val="single" w:sz="8" w:color="0033A0"/>
            </w:tcBorders>
          </w:tcPr>
          <w:p>
            <w:pPr>
              <w:jc w:val="center"/>
              <w:ind w:left="502"/>
              <w:spacing w:after="0"/>
              <w:rPr>
                <w:sz w:val="20"/>
                <w:szCs w:val="20"/>
                <w:color w:val="auto"/>
              </w:rPr>
            </w:pPr>
            <w:r>
              <w:rPr>
                <w:rFonts w:ascii="Arial" w:cs="Arial" w:eastAsia="Arial" w:hAnsi="Arial"/>
                <w:sz w:val="12"/>
                <w:szCs w:val="12"/>
                <w:b w:val="1"/>
                <w:bCs w:val="1"/>
                <w:color w:val="0033A0"/>
              </w:rPr>
              <w:t>(c)</w:t>
            </w:r>
          </w:p>
        </w:tc>
        <w:tc>
          <w:tcPr>
            <w:tcW w:w="0" w:type="dxa"/>
            <w:vAlign w:val="bottom"/>
          </w:tcPr>
          <w:p>
            <w:pPr>
              <w:spacing w:after="0"/>
              <w:rPr>
                <w:sz w:val="1"/>
                <w:szCs w:val="1"/>
                <w:color w:val="auto"/>
              </w:rPr>
            </w:pPr>
          </w:p>
        </w:tc>
      </w:tr>
      <w:tr>
        <w:trPr>
          <w:trHeight w:val="21"/>
        </w:trPr>
        <w:tc>
          <w:tcPr>
            <w:tcW w:w="17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0" w:type="dxa"/>
            <w:vAlign w:val="bottom"/>
            <w:tcBorders>
              <w:bottom w:val="single" w:sz="8" w:color="E5EAF5"/>
            </w:tcBorders>
            <w:gridSpan w:val="2"/>
            <w:shd w:val="clear" w:color="auto" w:fill="E5EAF5"/>
          </w:tcPr>
          <w:p>
            <w:pPr>
              <w:ind w:left="60"/>
              <w:spacing w:after="0"/>
              <w:rPr>
                <w:sz w:val="20"/>
                <w:szCs w:val="20"/>
                <w:color w:val="auto"/>
              </w:rPr>
            </w:pPr>
            <w:r>
              <w:rPr>
                <w:rFonts w:ascii="Arial" w:cs="Arial" w:eastAsia="Arial" w:hAnsi="Arial"/>
                <w:sz w:val="16"/>
                <w:szCs w:val="16"/>
                <w:color w:val="auto"/>
              </w:rPr>
              <w:t>Mr. Beech</w:t>
            </w:r>
          </w:p>
        </w:tc>
        <w:tc>
          <w:tcPr>
            <w:tcW w:w="2400" w:type="dxa"/>
            <w:vAlign w:val="bottom"/>
            <w:tcBorders>
              <w:bottom w:val="single" w:sz="8" w:color="E5EAF5"/>
            </w:tcBorders>
            <w:shd w:val="clear" w:color="auto" w:fill="E5EAF5"/>
          </w:tcPr>
          <w:p>
            <w:pPr>
              <w:jc w:val="right"/>
              <w:ind w:right="421"/>
              <w:spacing w:after="0"/>
              <w:rPr>
                <w:sz w:val="20"/>
                <w:szCs w:val="20"/>
                <w:color w:val="auto"/>
              </w:rPr>
            </w:pPr>
            <w:r>
              <w:rPr>
                <w:rFonts w:ascii="Arial" w:cs="Arial" w:eastAsia="Arial" w:hAnsi="Arial"/>
                <w:sz w:val="16"/>
                <w:szCs w:val="16"/>
                <w:color w:val="auto"/>
              </w:rPr>
              <w:t>66,221</w:t>
            </w:r>
          </w:p>
        </w:tc>
        <w:tc>
          <w:tcPr>
            <w:tcW w:w="1960" w:type="dxa"/>
            <w:vAlign w:val="bottom"/>
            <w:tcBorders>
              <w:bottom w:val="single" w:sz="8" w:color="E5EAF5"/>
            </w:tcBorders>
            <w:shd w:val="clear" w:color="auto" w:fill="E5EAF5"/>
          </w:tcPr>
          <w:p>
            <w:pPr>
              <w:jc w:val="right"/>
              <w:ind w:right="700"/>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E5EAF5"/>
            </w:tcBorders>
            <w:shd w:val="clear" w:color="auto" w:fill="E5EAF5"/>
          </w:tcPr>
          <w:p>
            <w:pPr>
              <w:jc w:val="right"/>
              <w:spacing w:after="0"/>
              <w:rPr>
                <w:sz w:val="20"/>
                <w:szCs w:val="20"/>
                <w:color w:val="auto"/>
              </w:rPr>
            </w:pPr>
            <w:r>
              <w:rPr>
                <w:rFonts w:ascii="Arial" w:cs="Arial" w:eastAsia="Arial" w:hAnsi="Arial"/>
                <w:sz w:val="16"/>
                <w:szCs w:val="16"/>
                <w:color w:val="auto"/>
              </w:rPr>
              <w:t>10,557</w:t>
            </w:r>
          </w:p>
        </w:tc>
        <w:tc>
          <w:tcPr>
            <w:tcW w:w="0" w:type="dxa"/>
            <w:vAlign w:val="bottom"/>
          </w:tcPr>
          <w:p>
            <w:pPr>
              <w:spacing w:after="0"/>
              <w:rPr>
                <w:sz w:val="1"/>
                <w:szCs w:val="1"/>
                <w:color w:val="auto"/>
              </w:rPr>
            </w:pPr>
          </w:p>
        </w:tc>
      </w:tr>
      <w:tr>
        <w:trPr>
          <w:trHeight w:val="197"/>
        </w:trPr>
        <w:tc>
          <w:tcPr>
            <w:tcW w:w="4800" w:type="dxa"/>
            <w:vAlign w:val="bottom"/>
            <w:gridSpan w:val="2"/>
          </w:tcPr>
          <w:p>
            <w:pPr>
              <w:ind w:left="60"/>
              <w:spacing w:after="0"/>
              <w:rPr>
                <w:sz w:val="20"/>
                <w:szCs w:val="20"/>
                <w:color w:val="auto"/>
              </w:rPr>
            </w:pPr>
            <w:r>
              <w:rPr>
                <w:rFonts w:ascii="Arial" w:cs="Arial" w:eastAsia="Arial" w:hAnsi="Arial"/>
                <w:sz w:val="16"/>
                <w:szCs w:val="16"/>
                <w:color w:val="auto"/>
              </w:rPr>
              <w:t>Mr. Boynton</w:t>
            </w:r>
          </w:p>
        </w:tc>
        <w:tc>
          <w:tcPr>
            <w:tcW w:w="2400" w:type="dxa"/>
            <w:vAlign w:val="bottom"/>
          </w:tcPr>
          <w:p>
            <w:pPr>
              <w:jc w:val="right"/>
              <w:ind w:right="421"/>
              <w:spacing w:after="0"/>
              <w:rPr>
                <w:sz w:val="20"/>
                <w:szCs w:val="20"/>
                <w:color w:val="auto"/>
              </w:rPr>
            </w:pPr>
            <w:r>
              <w:rPr>
                <w:rFonts w:ascii="Arial" w:cs="Arial" w:eastAsia="Arial" w:hAnsi="Arial"/>
                <w:sz w:val="16"/>
                <w:szCs w:val="16"/>
                <w:color w:val="auto"/>
              </w:rPr>
              <w:t>13,098</w:t>
            </w:r>
          </w:p>
        </w:tc>
        <w:tc>
          <w:tcPr>
            <w:tcW w:w="1960" w:type="dxa"/>
            <w:vAlign w:val="bottom"/>
          </w:tcPr>
          <w:p>
            <w:pPr>
              <w:jc w:val="right"/>
              <w:ind w:right="700"/>
              <w:spacing w:after="0"/>
              <w:rPr>
                <w:sz w:val="20"/>
                <w:szCs w:val="20"/>
                <w:color w:val="auto"/>
              </w:rPr>
            </w:pPr>
            <w:r>
              <w:rPr>
                <w:rFonts w:ascii="Arial" w:cs="Arial" w:eastAsia="Arial" w:hAnsi="Arial"/>
                <w:sz w:val="16"/>
                <w:szCs w:val="16"/>
                <w:color w:val="auto"/>
              </w:rPr>
              <w:t>*</w:t>
            </w:r>
          </w:p>
        </w:tc>
        <w:tc>
          <w:tcPr>
            <w:tcW w:w="1860" w:type="dxa"/>
            <w:vAlign w:val="bottom"/>
          </w:tcPr>
          <w:p>
            <w:pPr>
              <w:jc w:val="right"/>
              <w:spacing w:after="0"/>
              <w:rPr>
                <w:sz w:val="20"/>
                <w:szCs w:val="20"/>
                <w:color w:val="auto"/>
              </w:rPr>
            </w:pPr>
            <w:r>
              <w:rPr>
                <w:rFonts w:ascii="Arial" w:cs="Arial" w:eastAsia="Arial" w:hAnsi="Arial"/>
                <w:sz w:val="16"/>
                <w:szCs w:val="16"/>
                <w:color w:val="auto"/>
              </w:rPr>
              <w:t>17,649</w:t>
            </w:r>
          </w:p>
        </w:tc>
        <w:tc>
          <w:tcPr>
            <w:tcW w:w="0" w:type="dxa"/>
            <w:vAlign w:val="bottom"/>
          </w:tcPr>
          <w:p>
            <w:pPr>
              <w:spacing w:after="0"/>
              <w:rPr>
                <w:sz w:val="1"/>
                <w:szCs w:val="1"/>
                <w:color w:val="auto"/>
              </w:rPr>
            </w:pPr>
          </w:p>
        </w:tc>
      </w:tr>
      <w:tr>
        <w:trPr>
          <w:trHeight w:val="33"/>
        </w:trPr>
        <w:tc>
          <w:tcPr>
            <w:tcW w:w="17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4800" w:type="dxa"/>
            <w:vAlign w:val="bottom"/>
            <w:tcBorders>
              <w:bottom w:val="single" w:sz="8" w:color="E5EAF5"/>
            </w:tcBorders>
            <w:gridSpan w:val="2"/>
            <w:shd w:val="clear" w:color="auto" w:fill="E5EAF5"/>
          </w:tcPr>
          <w:p>
            <w:pPr>
              <w:ind w:left="60"/>
              <w:spacing w:after="0"/>
              <w:rPr>
                <w:sz w:val="20"/>
                <w:szCs w:val="20"/>
                <w:color w:val="auto"/>
              </w:rPr>
            </w:pPr>
            <w:r>
              <w:rPr>
                <w:rFonts w:ascii="Arial" w:cs="Arial" w:eastAsia="Arial" w:hAnsi="Arial"/>
                <w:sz w:val="16"/>
                <w:szCs w:val="16"/>
                <w:color w:val="auto"/>
              </w:rPr>
              <w:t>Mr. Clough</w:t>
            </w:r>
          </w:p>
        </w:tc>
        <w:tc>
          <w:tcPr>
            <w:tcW w:w="2400" w:type="dxa"/>
            <w:vAlign w:val="bottom"/>
            <w:tcBorders>
              <w:bottom w:val="single" w:sz="8" w:color="E5EAF5"/>
            </w:tcBorders>
            <w:shd w:val="clear" w:color="auto" w:fill="E5EAF5"/>
          </w:tcPr>
          <w:p>
            <w:pPr>
              <w:jc w:val="right"/>
              <w:ind w:right="421"/>
              <w:spacing w:after="0"/>
              <w:rPr>
                <w:sz w:val="20"/>
                <w:szCs w:val="20"/>
                <w:color w:val="auto"/>
              </w:rPr>
            </w:pPr>
            <w:r>
              <w:rPr>
                <w:rFonts w:ascii="Arial" w:cs="Arial" w:eastAsia="Arial" w:hAnsi="Arial"/>
                <w:sz w:val="16"/>
                <w:szCs w:val="16"/>
                <w:color w:val="auto"/>
              </w:rPr>
              <w:t>8,433</w:t>
            </w:r>
          </w:p>
        </w:tc>
        <w:tc>
          <w:tcPr>
            <w:tcW w:w="1960" w:type="dxa"/>
            <w:vAlign w:val="bottom"/>
            <w:tcBorders>
              <w:bottom w:val="single" w:sz="8" w:color="E5EAF5"/>
            </w:tcBorders>
            <w:shd w:val="clear" w:color="auto" w:fill="E5EAF5"/>
          </w:tcPr>
          <w:p>
            <w:pPr>
              <w:jc w:val="right"/>
              <w:ind w:right="700"/>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E5EAF5"/>
            </w:tcBorders>
            <w:shd w:val="clear" w:color="auto" w:fill="E5EAF5"/>
          </w:tcPr>
          <w:p>
            <w:pPr>
              <w:jc w:val="right"/>
              <w:spacing w:after="0"/>
              <w:rPr>
                <w:sz w:val="20"/>
                <w:szCs w:val="20"/>
                <w:color w:val="auto"/>
              </w:rPr>
            </w:pPr>
            <w:r>
              <w:rPr>
                <w:rFonts w:ascii="Arial" w:cs="Arial" w:eastAsia="Arial" w:hAnsi="Arial"/>
                <w:sz w:val="16"/>
                <w:szCs w:val="16"/>
                <w:color w:val="auto"/>
              </w:rPr>
              <w:t>1,679</w:t>
            </w:r>
          </w:p>
        </w:tc>
        <w:tc>
          <w:tcPr>
            <w:tcW w:w="0" w:type="dxa"/>
            <w:vAlign w:val="bottom"/>
          </w:tcPr>
          <w:p>
            <w:pPr>
              <w:spacing w:after="0"/>
              <w:rPr>
                <w:sz w:val="1"/>
                <w:szCs w:val="1"/>
                <w:color w:val="auto"/>
              </w:rPr>
            </w:pPr>
          </w:p>
        </w:tc>
      </w:tr>
      <w:tr>
        <w:trPr>
          <w:trHeight w:val="197"/>
        </w:trPr>
        <w:tc>
          <w:tcPr>
            <w:tcW w:w="4800" w:type="dxa"/>
            <w:vAlign w:val="bottom"/>
            <w:gridSpan w:val="2"/>
          </w:tcPr>
          <w:p>
            <w:pPr>
              <w:ind w:left="60"/>
              <w:spacing w:after="0"/>
              <w:rPr>
                <w:sz w:val="20"/>
                <w:szCs w:val="20"/>
                <w:color w:val="auto"/>
              </w:rPr>
            </w:pPr>
            <w:r>
              <w:rPr>
                <w:rFonts w:ascii="Arial" w:cs="Arial" w:eastAsia="Arial" w:hAnsi="Arial"/>
                <w:sz w:val="16"/>
                <w:szCs w:val="16"/>
                <w:color w:val="auto"/>
              </w:rPr>
              <w:t>Ms. Docherty</w:t>
            </w:r>
          </w:p>
        </w:tc>
        <w:tc>
          <w:tcPr>
            <w:tcW w:w="2400" w:type="dxa"/>
            <w:vAlign w:val="bottom"/>
          </w:tcPr>
          <w:p>
            <w:pPr>
              <w:jc w:val="right"/>
              <w:ind w:right="421"/>
              <w:spacing w:after="0"/>
              <w:rPr>
                <w:sz w:val="20"/>
                <w:szCs w:val="20"/>
                <w:color w:val="auto"/>
              </w:rPr>
            </w:pPr>
            <w:r>
              <w:rPr>
                <w:rFonts w:ascii="Arial" w:cs="Arial" w:eastAsia="Arial" w:hAnsi="Arial"/>
                <w:sz w:val="16"/>
                <w:szCs w:val="16"/>
                <w:color w:val="auto"/>
              </w:rPr>
              <w:t>13,001</w:t>
            </w:r>
          </w:p>
        </w:tc>
        <w:tc>
          <w:tcPr>
            <w:tcW w:w="1960" w:type="dxa"/>
            <w:vAlign w:val="bottom"/>
          </w:tcPr>
          <w:p>
            <w:pPr>
              <w:jc w:val="right"/>
              <w:ind w:right="700"/>
              <w:spacing w:after="0"/>
              <w:rPr>
                <w:sz w:val="20"/>
                <w:szCs w:val="20"/>
                <w:color w:val="auto"/>
              </w:rPr>
            </w:pPr>
            <w:r>
              <w:rPr>
                <w:rFonts w:ascii="Arial" w:cs="Arial" w:eastAsia="Arial" w:hAnsi="Arial"/>
                <w:sz w:val="16"/>
                <w:szCs w:val="16"/>
                <w:color w:val="auto"/>
              </w:rPr>
              <w:t>*</w:t>
            </w:r>
          </w:p>
        </w:tc>
        <w:tc>
          <w:tcPr>
            <w:tcW w:w="1860" w:type="dxa"/>
            <w:vAlign w:val="bottom"/>
          </w:tcPr>
          <w:p>
            <w:pPr>
              <w:jc w:val="right"/>
              <w:spacing w:after="0"/>
              <w:rPr>
                <w:sz w:val="20"/>
                <w:szCs w:val="20"/>
                <w:color w:val="auto"/>
              </w:rPr>
            </w:pPr>
            <w:r>
              <w:rPr>
                <w:rFonts w:ascii="Arial" w:cs="Arial" w:eastAsia="Arial" w:hAnsi="Arial"/>
                <w:sz w:val="16"/>
                <w:szCs w:val="16"/>
                <w:color w:val="auto"/>
              </w:rPr>
              <w:t>1,679</w:t>
            </w:r>
          </w:p>
        </w:tc>
        <w:tc>
          <w:tcPr>
            <w:tcW w:w="0" w:type="dxa"/>
            <w:vAlign w:val="bottom"/>
          </w:tcPr>
          <w:p>
            <w:pPr>
              <w:spacing w:after="0"/>
              <w:rPr>
                <w:sz w:val="1"/>
                <w:szCs w:val="1"/>
                <w:color w:val="auto"/>
              </w:rPr>
            </w:pPr>
          </w:p>
        </w:tc>
      </w:tr>
      <w:tr>
        <w:trPr>
          <w:trHeight w:val="33"/>
        </w:trPr>
        <w:tc>
          <w:tcPr>
            <w:tcW w:w="17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4800" w:type="dxa"/>
            <w:vAlign w:val="bottom"/>
            <w:tcBorders>
              <w:bottom w:val="single" w:sz="8" w:color="E5EAF5"/>
            </w:tcBorders>
            <w:gridSpan w:val="2"/>
            <w:shd w:val="clear" w:color="auto" w:fill="E5EAF5"/>
          </w:tcPr>
          <w:p>
            <w:pPr>
              <w:ind w:left="60"/>
              <w:spacing w:after="0"/>
              <w:rPr>
                <w:sz w:val="20"/>
                <w:szCs w:val="20"/>
                <w:color w:val="auto"/>
              </w:rPr>
            </w:pPr>
            <w:r>
              <w:rPr>
                <w:rFonts w:ascii="Arial" w:cs="Arial" w:eastAsia="Arial" w:hAnsi="Arial"/>
                <w:sz w:val="16"/>
                <w:szCs w:val="16"/>
                <w:color w:val="auto"/>
              </w:rPr>
              <w:t>Mr. Domanico</w:t>
            </w:r>
          </w:p>
        </w:tc>
        <w:tc>
          <w:tcPr>
            <w:tcW w:w="2400" w:type="dxa"/>
            <w:vAlign w:val="bottom"/>
            <w:tcBorders>
              <w:bottom w:val="single" w:sz="8" w:color="E5EAF5"/>
            </w:tcBorders>
            <w:shd w:val="clear" w:color="auto" w:fill="E5EAF5"/>
          </w:tcPr>
          <w:p>
            <w:pPr>
              <w:jc w:val="right"/>
              <w:ind w:right="421"/>
              <w:spacing w:after="0"/>
              <w:rPr>
                <w:sz w:val="20"/>
                <w:szCs w:val="20"/>
                <w:color w:val="auto"/>
              </w:rPr>
            </w:pPr>
            <w:r>
              <w:rPr>
                <w:rFonts w:ascii="Arial" w:cs="Arial" w:eastAsia="Arial" w:hAnsi="Arial"/>
                <w:sz w:val="16"/>
                <w:szCs w:val="16"/>
                <w:color w:val="auto"/>
              </w:rPr>
              <w:t>55,703</w:t>
            </w:r>
          </w:p>
        </w:tc>
        <w:tc>
          <w:tcPr>
            <w:tcW w:w="1960" w:type="dxa"/>
            <w:vAlign w:val="bottom"/>
            <w:tcBorders>
              <w:bottom w:val="single" w:sz="8" w:color="E5EAF5"/>
            </w:tcBorders>
            <w:shd w:val="clear" w:color="auto" w:fill="E5EAF5"/>
          </w:tcPr>
          <w:p>
            <w:pPr>
              <w:jc w:val="right"/>
              <w:ind w:right="700"/>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E5EAF5"/>
            </w:tcBorders>
            <w:shd w:val="clear" w:color="auto" w:fill="E5EAF5"/>
          </w:tcPr>
          <w:p>
            <w:pPr>
              <w:jc w:val="right"/>
              <w:spacing w:after="0"/>
              <w:rPr>
                <w:sz w:val="20"/>
                <w:szCs w:val="20"/>
                <w:color w:val="auto"/>
              </w:rPr>
            </w:pPr>
            <w:r>
              <w:rPr>
                <w:rFonts w:ascii="Arial" w:cs="Arial" w:eastAsia="Arial" w:hAnsi="Arial"/>
                <w:sz w:val="16"/>
                <w:szCs w:val="16"/>
                <w:color w:val="auto"/>
              </w:rPr>
              <w:t>12,290</w:t>
            </w:r>
          </w:p>
        </w:tc>
        <w:tc>
          <w:tcPr>
            <w:tcW w:w="0" w:type="dxa"/>
            <w:vAlign w:val="bottom"/>
          </w:tcPr>
          <w:p>
            <w:pPr>
              <w:spacing w:after="0"/>
              <w:rPr>
                <w:sz w:val="1"/>
                <w:szCs w:val="1"/>
                <w:color w:val="auto"/>
              </w:rPr>
            </w:pPr>
          </w:p>
        </w:tc>
      </w:tr>
      <w:tr>
        <w:trPr>
          <w:trHeight w:val="197"/>
        </w:trPr>
        <w:tc>
          <w:tcPr>
            <w:tcW w:w="4800" w:type="dxa"/>
            <w:vAlign w:val="bottom"/>
            <w:gridSpan w:val="2"/>
          </w:tcPr>
          <w:p>
            <w:pPr>
              <w:ind w:left="60"/>
              <w:spacing w:after="0"/>
              <w:rPr>
                <w:sz w:val="20"/>
                <w:szCs w:val="20"/>
                <w:color w:val="auto"/>
              </w:rPr>
            </w:pPr>
            <w:r>
              <w:rPr>
                <w:rFonts w:ascii="Arial" w:cs="Arial" w:eastAsia="Arial" w:hAnsi="Arial"/>
                <w:sz w:val="16"/>
                <w:szCs w:val="16"/>
                <w:color w:val="auto"/>
              </w:rPr>
              <w:t>Mr. Hedgebeth</w:t>
            </w:r>
          </w:p>
        </w:tc>
        <w:tc>
          <w:tcPr>
            <w:tcW w:w="2400" w:type="dxa"/>
            <w:vAlign w:val="bottom"/>
          </w:tcPr>
          <w:p>
            <w:pPr>
              <w:jc w:val="right"/>
              <w:ind w:right="421"/>
              <w:spacing w:after="0"/>
              <w:rPr>
                <w:sz w:val="20"/>
                <w:szCs w:val="20"/>
                <w:color w:val="auto"/>
              </w:rPr>
            </w:pPr>
            <w:r>
              <w:rPr>
                <w:rFonts w:ascii="Arial" w:cs="Arial" w:eastAsia="Arial" w:hAnsi="Arial"/>
                <w:sz w:val="16"/>
                <w:szCs w:val="16"/>
                <w:color w:val="auto"/>
              </w:rPr>
              <w:t>10,918</w:t>
            </w:r>
          </w:p>
        </w:tc>
        <w:tc>
          <w:tcPr>
            <w:tcW w:w="1960" w:type="dxa"/>
            <w:vAlign w:val="bottom"/>
          </w:tcPr>
          <w:p>
            <w:pPr>
              <w:jc w:val="right"/>
              <w:ind w:right="700"/>
              <w:spacing w:after="0"/>
              <w:rPr>
                <w:sz w:val="20"/>
                <w:szCs w:val="20"/>
                <w:color w:val="auto"/>
              </w:rPr>
            </w:pPr>
            <w:r>
              <w:rPr>
                <w:rFonts w:ascii="Arial" w:cs="Arial" w:eastAsia="Arial" w:hAnsi="Arial"/>
                <w:sz w:val="16"/>
                <w:szCs w:val="16"/>
                <w:color w:val="auto"/>
              </w:rPr>
              <w:t>*</w:t>
            </w:r>
          </w:p>
        </w:tc>
        <w:tc>
          <w:tcPr>
            <w:tcW w:w="1860" w:type="dxa"/>
            <w:vAlign w:val="bottom"/>
          </w:tcPr>
          <w:p>
            <w:pPr>
              <w:jc w:val="right"/>
              <w:spacing w:after="0"/>
              <w:rPr>
                <w:sz w:val="20"/>
                <w:szCs w:val="20"/>
                <w:color w:val="auto"/>
              </w:rPr>
            </w:pPr>
            <w:r>
              <w:rPr>
                <w:rFonts w:ascii="Arial" w:cs="Arial" w:eastAsia="Arial" w:hAnsi="Arial"/>
                <w:sz w:val="16"/>
                <w:szCs w:val="16"/>
                <w:color w:val="auto"/>
              </w:rPr>
              <w:t>11,760</w:t>
            </w:r>
          </w:p>
        </w:tc>
        <w:tc>
          <w:tcPr>
            <w:tcW w:w="0" w:type="dxa"/>
            <w:vAlign w:val="bottom"/>
          </w:tcPr>
          <w:p>
            <w:pPr>
              <w:spacing w:after="0"/>
              <w:rPr>
                <w:sz w:val="1"/>
                <w:szCs w:val="1"/>
                <w:color w:val="auto"/>
              </w:rPr>
            </w:pPr>
          </w:p>
        </w:tc>
      </w:tr>
      <w:tr>
        <w:trPr>
          <w:trHeight w:val="33"/>
        </w:trPr>
        <w:tc>
          <w:tcPr>
            <w:tcW w:w="17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4800" w:type="dxa"/>
            <w:vAlign w:val="bottom"/>
            <w:tcBorders>
              <w:bottom w:val="single" w:sz="8" w:color="E5EAF5"/>
            </w:tcBorders>
            <w:gridSpan w:val="2"/>
            <w:shd w:val="clear" w:color="auto" w:fill="E5EAF5"/>
          </w:tcPr>
          <w:p>
            <w:pPr>
              <w:ind w:left="60"/>
              <w:spacing w:after="0"/>
              <w:rPr>
                <w:sz w:val="20"/>
                <w:szCs w:val="20"/>
                <w:color w:val="auto"/>
              </w:rPr>
            </w:pPr>
            <w:r>
              <w:rPr>
                <w:rFonts w:ascii="Arial" w:cs="Arial" w:eastAsia="Arial" w:hAnsi="Arial"/>
                <w:sz w:val="16"/>
                <w:szCs w:val="16"/>
                <w:color w:val="auto"/>
              </w:rPr>
              <w:t>Mr. Henry</w:t>
            </w:r>
          </w:p>
        </w:tc>
        <w:tc>
          <w:tcPr>
            <w:tcW w:w="2400" w:type="dxa"/>
            <w:vAlign w:val="bottom"/>
            <w:tcBorders>
              <w:bottom w:val="single" w:sz="8" w:color="E5EAF5"/>
            </w:tcBorders>
            <w:shd w:val="clear" w:color="auto" w:fill="E5EAF5"/>
          </w:tcPr>
          <w:p>
            <w:pPr>
              <w:jc w:val="right"/>
              <w:ind w:right="421"/>
              <w:spacing w:after="0"/>
              <w:rPr>
                <w:sz w:val="20"/>
                <w:szCs w:val="20"/>
                <w:color w:val="auto"/>
              </w:rPr>
            </w:pPr>
            <w:r>
              <w:rPr>
                <w:rFonts w:ascii="Arial" w:cs="Arial" w:eastAsia="Arial" w:hAnsi="Arial"/>
                <w:sz w:val="16"/>
                <w:szCs w:val="16"/>
                <w:color w:val="auto"/>
              </w:rPr>
              <w:t>2,531</w:t>
            </w:r>
          </w:p>
        </w:tc>
        <w:tc>
          <w:tcPr>
            <w:tcW w:w="1960" w:type="dxa"/>
            <w:vAlign w:val="bottom"/>
            <w:tcBorders>
              <w:bottom w:val="single" w:sz="8" w:color="E5EAF5"/>
            </w:tcBorders>
            <w:shd w:val="clear" w:color="auto" w:fill="E5EAF5"/>
          </w:tcPr>
          <w:p>
            <w:pPr>
              <w:jc w:val="right"/>
              <w:ind w:right="700"/>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E5EAF5"/>
            </w:tcBorders>
            <w:shd w:val="clear" w:color="auto" w:fill="E5EAF5"/>
          </w:tcPr>
          <w:p>
            <w:pPr>
              <w:jc w:val="right"/>
              <w:spacing w:after="0"/>
              <w:rPr>
                <w:sz w:val="20"/>
                <w:szCs w:val="20"/>
                <w:color w:val="auto"/>
              </w:rPr>
            </w:pPr>
            <w:r>
              <w:rPr>
                <w:rFonts w:ascii="Arial" w:cs="Arial" w:eastAsia="Arial" w:hAnsi="Arial"/>
                <w:sz w:val="16"/>
                <w:szCs w:val="16"/>
                <w:color w:val="auto"/>
              </w:rPr>
              <w:t>1,679</w:t>
            </w:r>
          </w:p>
        </w:tc>
        <w:tc>
          <w:tcPr>
            <w:tcW w:w="0" w:type="dxa"/>
            <w:vAlign w:val="bottom"/>
          </w:tcPr>
          <w:p>
            <w:pPr>
              <w:spacing w:after="0"/>
              <w:rPr>
                <w:sz w:val="1"/>
                <w:szCs w:val="1"/>
                <w:color w:val="auto"/>
              </w:rPr>
            </w:pPr>
          </w:p>
        </w:tc>
      </w:tr>
      <w:tr>
        <w:trPr>
          <w:trHeight w:val="197"/>
        </w:trPr>
        <w:tc>
          <w:tcPr>
            <w:tcW w:w="4800" w:type="dxa"/>
            <w:vAlign w:val="bottom"/>
            <w:gridSpan w:val="2"/>
          </w:tcPr>
          <w:p>
            <w:pPr>
              <w:ind w:left="60"/>
              <w:spacing w:after="0"/>
              <w:rPr>
                <w:sz w:val="20"/>
                <w:szCs w:val="20"/>
                <w:color w:val="auto"/>
              </w:rPr>
            </w:pPr>
            <w:r>
              <w:rPr>
                <w:rFonts w:ascii="Arial" w:cs="Arial" w:eastAsia="Arial" w:hAnsi="Arial"/>
                <w:sz w:val="16"/>
                <w:szCs w:val="16"/>
                <w:color w:val="auto"/>
              </w:rPr>
              <w:t>Mr. Herling</w:t>
            </w:r>
          </w:p>
        </w:tc>
        <w:tc>
          <w:tcPr>
            <w:tcW w:w="2400" w:type="dxa"/>
            <w:vAlign w:val="bottom"/>
          </w:tcPr>
          <w:p>
            <w:pPr>
              <w:jc w:val="right"/>
              <w:ind w:right="421"/>
              <w:spacing w:after="0"/>
              <w:rPr>
                <w:sz w:val="20"/>
                <w:szCs w:val="20"/>
                <w:color w:val="auto"/>
              </w:rPr>
            </w:pPr>
            <w:r>
              <w:rPr>
                <w:rFonts w:ascii="Arial" w:cs="Arial" w:eastAsia="Arial" w:hAnsi="Arial"/>
                <w:sz w:val="16"/>
                <w:szCs w:val="16"/>
                <w:color w:val="auto"/>
              </w:rPr>
              <w:t>14,716</w:t>
            </w:r>
          </w:p>
        </w:tc>
        <w:tc>
          <w:tcPr>
            <w:tcW w:w="1960" w:type="dxa"/>
            <w:vAlign w:val="bottom"/>
          </w:tcPr>
          <w:p>
            <w:pPr>
              <w:jc w:val="right"/>
              <w:ind w:right="700"/>
              <w:spacing w:after="0"/>
              <w:rPr>
                <w:sz w:val="20"/>
                <w:szCs w:val="20"/>
                <w:color w:val="auto"/>
              </w:rPr>
            </w:pPr>
            <w:r>
              <w:rPr>
                <w:rFonts w:ascii="Arial" w:cs="Arial" w:eastAsia="Arial" w:hAnsi="Arial"/>
                <w:sz w:val="16"/>
                <w:szCs w:val="16"/>
                <w:color w:val="auto"/>
              </w:rPr>
              <w:t>*</w:t>
            </w:r>
          </w:p>
        </w:tc>
        <w:tc>
          <w:tcPr>
            <w:tcW w:w="1860" w:type="dxa"/>
            <w:vAlign w:val="bottom"/>
          </w:tcPr>
          <w:p>
            <w:pPr>
              <w:jc w:val="right"/>
              <w:spacing w:after="0"/>
              <w:rPr>
                <w:sz w:val="20"/>
                <w:szCs w:val="20"/>
                <w:color w:val="auto"/>
              </w:rPr>
            </w:pPr>
            <w:r>
              <w:rPr>
                <w:rFonts w:ascii="Arial" w:cs="Arial" w:eastAsia="Arial" w:hAnsi="Arial"/>
                <w:sz w:val="16"/>
                <w:szCs w:val="16"/>
                <w:color w:val="auto"/>
              </w:rPr>
              <w:t>20,168</w:t>
            </w:r>
          </w:p>
        </w:tc>
        <w:tc>
          <w:tcPr>
            <w:tcW w:w="0" w:type="dxa"/>
            <w:vAlign w:val="bottom"/>
          </w:tcPr>
          <w:p>
            <w:pPr>
              <w:spacing w:after="0"/>
              <w:rPr>
                <w:sz w:val="1"/>
                <w:szCs w:val="1"/>
                <w:color w:val="auto"/>
              </w:rPr>
            </w:pPr>
          </w:p>
        </w:tc>
      </w:tr>
      <w:tr>
        <w:trPr>
          <w:trHeight w:val="33"/>
        </w:trPr>
        <w:tc>
          <w:tcPr>
            <w:tcW w:w="17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4800" w:type="dxa"/>
            <w:vAlign w:val="bottom"/>
            <w:tcBorders>
              <w:bottom w:val="single" w:sz="8" w:color="E5EAF5"/>
            </w:tcBorders>
            <w:gridSpan w:val="2"/>
            <w:shd w:val="clear" w:color="auto" w:fill="E5EAF5"/>
          </w:tcPr>
          <w:p>
            <w:pPr>
              <w:ind w:left="60"/>
              <w:spacing w:after="0" w:line="189" w:lineRule="exact"/>
              <w:rPr>
                <w:sz w:val="20"/>
                <w:szCs w:val="20"/>
                <w:color w:val="auto"/>
              </w:rPr>
            </w:pPr>
            <w:r>
              <w:rPr>
                <w:rFonts w:ascii="Arial" w:cs="Arial" w:eastAsia="Arial" w:hAnsi="Arial"/>
                <w:sz w:val="13"/>
                <w:szCs w:val="13"/>
                <w:color w:val="auto"/>
              </w:rPr>
              <w:t xml:space="preserve">Mr. Marshall </w:t>
            </w:r>
            <w:r>
              <w:rPr>
                <w:rFonts w:ascii="Arial" w:cs="Arial" w:eastAsia="Arial" w:hAnsi="Arial"/>
                <w:sz w:val="21"/>
                <w:szCs w:val="21"/>
                <w:color w:val="auto"/>
                <w:vertAlign w:val="superscript"/>
              </w:rPr>
              <w:t>(d)</w:t>
            </w:r>
          </w:p>
        </w:tc>
        <w:tc>
          <w:tcPr>
            <w:tcW w:w="2400" w:type="dxa"/>
            <w:vAlign w:val="bottom"/>
            <w:tcBorders>
              <w:bottom w:val="single" w:sz="8" w:color="E5EAF5"/>
            </w:tcBorders>
            <w:shd w:val="clear" w:color="auto" w:fill="E5EAF5"/>
          </w:tcPr>
          <w:p>
            <w:pPr>
              <w:jc w:val="right"/>
              <w:ind w:right="421"/>
              <w:spacing w:after="0"/>
              <w:rPr>
                <w:sz w:val="20"/>
                <w:szCs w:val="20"/>
                <w:color w:val="auto"/>
              </w:rPr>
            </w:pPr>
            <w:r>
              <w:rPr>
                <w:rFonts w:ascii="Arial" w:cs="Arial" w:eastAsia="Arial" w:hAnsi="Arial"/>
                <w:sz w:val="16"/>
                <w:szCs w:val="16"/>
                <w:color w:val="auto"/>
              </w:rPr>
              <w:t>107,478</w:t>
            </w:r>
          </w:p>
        </w:tc>
        <w:tc>
          <w:tcPr>
            <w:tcW w:w="1960" w:type="dxa"/>
            <w:vAlign w:val="bottom"/>
            <w:tcBorders>
              <w:bottom w:val="single" w:sz="8" w:color="E5EAF5"/>
            </w:tcBorders>
            <w:shd w:val="clear" w:color="auto" w:fill="E5EAF5"/>
          </w:tcPr>
          <w:p>
            <w:pPr>
              <w:jc w:val="right"/>
              <w:ind w:right="700"/>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E5EAF5"/>
            </w:tcBorders>
            <w:shd w:val="clear" w:color="auto" w:fill="E5EAF5"/>
          </w:tcPr>
          <w:p>
            <w:pPr>
              <w:jc w:val="right"/>
              <w:spacing w:after="0"/>
              <w:rPr>
                <w:sz w:val="20"/>
                <w:szCs w:val="20"/>
                <w:color w:val="auto"/>
              </w:rPr>
            </w:pPr>
            <w:r>
              <w:rPr>
                <w:rFonts w:ascii="Arial" w:cs="Arial" w:eastAsia="Arial" w:hAnsi="Arial"/>
                <w:sz w:val="16"/>
                <w:szCs w:val="16"/>
                <w:color w:val="auto"/>
              </w:rPr>
              <w:t>52,329</w:t>
            </w:r>
          </w:p>
        </w:tc>
        <w:tc>
          <w:tcPr>
            <w:tcW w:w="0" w:type="dxa"/>
            <w:vAlign w:val="bottom"/>
          </w:tcPr>
          <w:p>
            <w:pPr>
              <w:spacing w:after="0"/>
              <w:rPr>
                <w:sz w:val="1"/>
                <w:szCs w:val="1"/>
                <w:color w:val="auto"/>
              </w:rPr>
            </w:pPr>
          </w:p>
        </w:tc>
      </w:tr>
      <w:tr>
        <w:trPr>
          <w:trHeight w:val="230"/>
        </w:trPr>
        <w:tc>
          <w:tcPr>
            <w:tcW w:w="4800" w:type="dxa"/>
            <w:vAlign w:val="bottom"/>
            <w:gridSpan w:val="2"/>
          </w:tcPr>
          <w:p>
            <w:pPr>
              <w:ind w:left="60"/>
              <w:spacing w:after="0" w:line="230" w:lineRule="exact"/>
              <w:rPr>
                <w:sz w:val="20"/>
                <w:szCs w:val="20"/>
                <w:color w:val="auto"/>
              </w:rPr>
            </w:pPr>
            <w:r>
              <w:rPr>
                <w:rFonts w:ascii="Arial" w:cs="Arial" w:eastAsia="Arial" w:hAnsi="Arial"/>
                <w:sz w:val="16"/>
                <w:szCs w:val="16"/>
                <w:color w:val="auto"/>
              </w:rPr>
              <w:t xml:space="preserve">Mr. Pertz </w:t>
            </w:r>
            <w:r>
              <w:rPr>
                <w:rFonts w:ascii="Arial" w:cs="Arial" w:eastAsia="Arial" w:hAnsi="Arial"/>
                <w:sz w:val="26"/>
                <w:szCs w:val="26"/>
                <w:color w:val="auto"/>
                <w:vertAlign w:val="superscript"/>
              </w:rPr>
              <w:t>(e)</w:t>
            </w:r>
          </w:p>
        </w:tc>
        <w:tc>
          <w:tcPr>
            <w:tcW w:w="2400" w:type="dxa"/>
            <w:vAlign w:val="bottom"/>
          </w:tcPr>
          <w:p>
            <w:pPr>
              <w:jc w:val="right"/>
              <w:ind w:right="421"/>
              <w:spacing w:after="0"/>
              <w:rPr>
                <w:sz w:val="20"/>
                <w:szCs w:val="20"/>
                <w:color w:val="auto"/>
              </w:rPr>
            </w:pPr>
            <w:r>
              <w:rPr>
                <w:rFonts w:ascii="Arial" w:cs="Arial" w:eastAsia="Arial" w:hAnsi="Arial"/>
                <w:sz w:val="16"/>
                <w:szCs w:val="16"/>
                <w:color w:val="auto"/>
              </w:rPr>
              <w:t>238,141</w:t>
            </w:r>
          </w:p>
        </w:tc>
        <w:tc>
          <w:tcPr>
            <w:tcW w:w="1960" w:type="dxa"/>
            <w:vAlign w:val="bottom"/>
          </w:tcPr>
          <w:p>
            <w:pPr>
              <w:jc w:val="right"/>
              <w:ind w:right="700"/>
              <w:spacing w:after="0"/>
              <w:rPr>
                <w:sz w:val="20"/>
                <w:szCs w:val="20"/>
                <w:color w:val="auto"/>
              </w:rPr>
            </w:pPr>
            <w:r>
              <w:rPr>
                <w:rFonts w:ascii="Arial" w:cs="Arial" w:eastAsia="Arial" w:hAnsi="Arial"/>
                <w:sz w:val="16"/>
                <w:szCs w:val="16"/>
                <w:color w:val="auto"/>
              </w:rPr>
              <w:t>*</w:t>
            </w:r>
          </w:p>
        </w:tc>
        <w:tc>
          <w:tcPr>
            <w:tcW w:w="1860" w:type="dxa"/>
            <w:vAlign w:val="bottom"/>
          </w:tcPr>
          <w:p>
            <w:pPr>
              <w:jc w:val="right"/>
              <w:spacing w:after="0"/>
              <w:rPr>
                <w:sz w:val="20"/>
                <w:szCs w:val="20"/>
                <w:color w:val="auto"/>
              </w:rPr>
            </w:pPr>
            <w:r>
              <w:rPr>
                <w:rFonts w:ascii="Arial" w:cs="Arial" w:eastAsia="Arial" w:hAnsi="Arial"/>
                <w:sz w:val="16"/>
                <w:szCs w:val="16"/>
                <w:color w:val="auto"/>
              </w:rPr>
              <w:t>10,416</w:t>
            </w:r>
          </w:p>
        </w:tc>
        <w:tc>
          <w:tcPr>
            <w:tcW w:w="0" w:type="dxa"/>
            <w:vAlign w:val="bottom"/>
          </w:tcPr>
          <w:p>
            <w:pPr>
              <w:spacing w:after="0"/>
              <w:rPr>
                <w:sz w:val="1"/>
                <w:szCs w:val="1"/>
                <w:color w:val="auto"/>
              </w:rPr>
            </w:pPr>
          </w:p>
        </w:tc>
      </w:tr>
      <w:tr>
        <w:trPr>
          <w:trHeight w:val="210"/>
        </w:trPr>
        <w:tc>
          <w:tcPr>
            <w:tcW w:w="4800" w:type="dxa"/>
            <w:vAlign w:val="bottom"/>
            <w:tcBorders>
              <w:bottom w:val="single" w:sz="8" w:color="E5EAF5"/>
            </w:tcBorders>
            <w:gridSpan w:val="2"/>
            <w:shd w:val="clear" w:color="auto" w:fill="E5EAF5"/>
          </w:tcPr>
          <w:p>
            <w:pPr>
              <w:ind w:left="60"/>
              <w:spacing w:after="0"/>
              <w:rPr>
                <w:sz w:val="20"/>
                <w:szCs w:val="20"/>
                <w:color w:val="auto"/>
              </w:rPr>
            </w:pPr>
            <w:r>
              <w:rPr>
                <w:rFonts w:ascii="Arial" w:cs="Arial" w:eastAsia="Arial" w:hAnsi="Arial"/>
                <w:sz w:val="16"/>
                <w:szCs w:val="16"/>
                <w:color w:val="auto"/>
              </w:rPr>
              <w:t>Mr. Stoeckert</w:t>
            </w:r>
          </w:p>
        </w:tc>
        <w:tc>
          <w:tcPr>
            <w:tcW w:w="2400" w:type="dxa"/>
            <w:vAlign w:val="bottom"/>
            <w:tcBorders>
              <w:bottom w:val="single" w:sz="8" w:color="E5EAF5"/>
            </w:tcBorders>
            <w:shd w:val="clear" w:color="auto" w:fill="E5EAF5"/>
          </w:tcPr>
          <w:p>
            <w:pPr>
              <w:jc w:val="right"/>
              <w:ind w:right="421"/>
              <w:spacing w:after="0"/>
              <w:rPr>
                <w:sz w:val="20"/>
                <w:szCs w:val="20"/>
                <w:color w:val="auto"/>
              </w:rPr>
            </w:pPr>
            <w:r>
              <w:rPr>
                <w:rFonts w:ascii="Arial" w:cs="Arial" w:eastAsia="Arial" w:hAnsi="Arial"/>
                <w:sz w:val="16"/>
                <w:szCs w:val="16"/>
                <w:color w:val="auto"/>
              </w:rPr>
              <w:t>19,523</w:t>
            </w:r>
          </w:p>
        </w:tc>
        <w:tc>
          <w:tcPr>
            <w:tcW w:w="1960" w:type="dxa"/>
            <w:vAlign w:val="bottom"/>
            <w:tcBorders>
              <w:bottom w:val="single" w:sz="8" w:color="E5EAF5"/>
            </w:tcBorders>
            <w:shd w:val="clear" w:color="auto" w:fill="E5EAF5"/>
          </w:tcPr>
          <w:p>
            <w:pPr>
              <w:jc w:val="right"/>
              <w:ind w:right="700"/>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E5EAF5"/>
            </w:tcBorders>
            <w:shd w:val="clear" w:color="auto" w:fill="E5EAF5"/>
          </w:tcPr>
          <w:p>
            <w:pPr>
              <w:jc w:val="right"/>
              <w:spacing w:after="0"/>
              <w:rPr>
                <w:sz w:val="20"/>
                <w:szCs w:val="20"/>
                <w:color w:val="auto"/>
              </w:rPr>
            </w:pPr>
            <w:r>
              <w:rPr>
                <w:rFonts w:ascii="Arial" w:cs="Arial" w:eastAsia="Arial" w:hAnsi="Arial"/>
                <w:sz w:val="16"/>
                <w:szCs w:val="16"/>
                <w:color w:val="auto"/>
              </w:rPr>
              <w:t>1,679</w:t>
            </w:r>
          </w:p>
        </w:tc>
        <w:tc>
          <w:tcPr>
            <w:tcW w:w="0" w:type="dxa"/>
            <w:vAlign w:val="bottom"/>
          </w:tcPr>
          <w:p>
            <w:pPr>
              <w:spacing w:after="0"/>
              <w:rPr>
                <w:sz w:val="1"/>
                <w:szCs w:val="1"/>
                <w:color w:val="auto"/>
              </w:rPr>
            </w:pPr>
          </w:p>
        </w:tc>
      </w:tr>
      <w:tr>
        <w:trPr>
          <w:trHeight w:val="197"/>
        </w:trPr>
        <w:tc>
          <w:tcPr>
            <w:tcW w:w="4800" w:type="dxa"/>
            <w:vAlign w:val="bottom"/>
            <w:gridSpan w:val="2"/>
          </w:tcPr>
          <w:p>
            <w:pPr>
              <w:ind w:left="60"/>
              <w:spacing w:after="0"/>
              <w:rPr>
                <w:sz w:val="20"/>
                <w:szCs w:val="20"/>
                <w:color w:val="auto"/>
              </w:rPr>
            </w:pPr>
            <w:r>
              <w:rPr>
                <w:rFonts w:ascii="Arial" w:cs="Arial" w:eastAsia="Arial" w:hAnsi="Arial"/>
                <w:sz w:val="16"/>
                <w:szCs w:val="16"/>
                <w:color w:val="auto"/>
              </w:rPr>
              <w:t>Mr. Zukerman</w:t>
            </w:r>
          </w:p>
        </w:tc>
        <w:tc>
          <w:tcPr>
            <w:tcW w:w="2400" w:type="dxa"/>
            <w:vAlign w:val="bottom"/>
          </w:tcPr>
          <w:p>
            <w:pPr>
              <w:jc w:val="right"/>
              <w:ind w:right="421"/>
              <w:spacing w:after="0"/>
              <w:rPr>
                <w:sz w:val="20"/>
                <w:szCs w:val="20"/>
                <w:color w:val="auto"/>
              </w:rPr>
            </w:pPr>
            <w:r>
              <w:rPr>
                <w:rFonts w:ascii="Arial" w:cs="Arial" w:eastAsia="Arial" w:hAnsi="Arial"/>
                <w:sz w:val="16"/>
                <w:szCs w:val="16"/>
                <w:color w:val="auto"/>
              </w:rPr>
              <w:t>69,917</w:t>
            </w:r>
          </w:p>
        </w:tc>
        <w:tc>
          <w:tcPr>
            <w:tcW w:w="1960" w:type="dxa"/>
            <w:vAlign w:val="bottom"/>
          </w:tcPr>
          <w:p>
            <w:pPr>
              <w:jc w:val="right"/>
              <w:ind w:right="700"/>
              <w:spacing w:after="0"/>
              <w:rPr>
                <w:sz w:val="20"/>
                <w:szCs w:val="20"/>
                <w:color w:val="auto"/>
              </w:rPr>
            </w:pPr>
            <w:r>
              <w:rPr>
                <w:rFonts w:ascii="Arial" w:cs="Arial" w:eastAsia="Arial" w:hAnsi="Arial"/>
                <w:sz w:val="16"/>
                <w:szCs w:val="16"/>
                <w:color w:val="auto"/>
              </w:rPr>
              <w:t>*</w:t>
            </w:r>
          </w:p>
        </w:tc>
        <w:tc>
          <w:tcPr>
            <w:tcW w:w="1860" w:type="dxa"/>
            <w:vAlign w:val="bottom"/>
          </w:tcPr>
          <w:p>
            <w:pPr>
              <w:jc w:val="right"/>
              <w:spacing w:after="0"/>
              <w:rPr>
                <w:sz w:val="20"/>
                <w:szCs w:val="20"/>
                <w:color w:val="auto"/>
              </w:rPr>
            </w:pPr>
            <w:r>
              <w:rPr>
                <w:rFonts w:ascii="Arial" w:cs="Arial" w:eastAsia="Arial" w:hAnsi="Arial"/>
                <w:sz w:val="16"/>
                <w:szCs w:val="16"/>
                <w:color w:val="auto"/>
              </w:rPr>
              <w:t>4,886</w:t>
            </w:r>
          </w:p>
        </w:tc>
        <w:tc>
          <w:tcPr>
            <w:tcW w:w="0" w:type="dxa"/>
            <w:vAlign w:val="bottom"/>
          </w:tcPr>
          <w:p>
            <w:pPr>
              <w:spacing w:after="0"/>
              <w:rPr>
                <w:sz w:val="1"/>
                <w:szCs w:val="1"/>
                <w:color w:val="auto"/>
              </w:rPr>
            </w:pPr>
          </w:p>
        </w:tc>
      </w:tr>
      <w:tr>
        <w:trPr>
          <w:trHeight w:val="33"/>
        </w:trPr>
        <w:tc>
          <w:tcPr>
            <w:tcW w:w="17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4800" w:type="dxa"/>
            <w:vAlign w:val="bottom"/>
            <w:tcBorders>
              <w:bottom w:val="single" w:sz="8" w:color="E5EAF5"/>
            </w:tcBorders>
            <w:gridSpan w:val="2"/>
            <w:shd w:val="clear" w:color="auto" w:fill="E5EAF5"/>
          </w:tcPr>
          <w:p>
            <w:pPr>
              <w:ind w:left="60"/>
              <w:spacing w:after="0"/>
              <w:rPr>
                <w:sz w:val="20"/>
                <w:szCs w:val="20"/>
                <w:color w:val="auto"/>
              </w:rPr>
            </w:pPr>
            <w:r>
              <w:rPr>
                <w:rFonts w:ascii="Arial" w:cs="Arial" w:eastAsia="Arial" w:hAnsi="Arial"/>
                <w:sz w:val="16"/>
                <w:szCs w:val="16"/>
                <w:color w:val="auto"/>
              </w:rPr>
              <w:t>All directors and executive officers as a group (13 persons)</w:t>
            </w:r>
          </w:p>
        </w:tc>
        <w:tc>
          <w:tcPr>
            <w:tcW w:w="2400" w:type="dxa"/>
            <w:vAlign w:val="bottom"/>
            <w:tcBorders>
              <w:bottom w:val="single" w:sz="8" w:color="E5EAF5"/>
            </w:tcBorders>
            <w:shd w:val="clear" w:color="auto" w:fill="E5EAF5"/>
          </w:tcPr>
          <w:p>
            <w:pPr>
              <w:jc w:val="right"/>
              <w:ind w:right="421"/>
              <w:spacing w:after="0"/>
              <w:rPr>
                <w:sz w:val="20"/>
                <w:szCs w:val="20"/>
                <w:color w:val="auto"/>
              </w:rPr>
            </w:pPr>
            <w:r>
              <w:rPr>
                <w:rFonts w:ascii="Arial" w:cs="Arial" w:eastAsia="Arial" w:hAnsi="Arial"/>
                <w:sz w:val="16"/>
                <w:szCs w:val="16"/>
                <w:color w:val="auto"/>
              </w:rPr>
              <w:t>520,119</w:t>
            </w:r>
          </w:p>
        </w:tc>
        <w:tc>
          <w:tcPr>
            <w:tcW w:w="1960" w:type="dxa"/>
            <w:vAlign w:val="bottom"/>
            <w:tcBorders>
              <w:bottom w:val="single" w:sz="8" w:color="E5EAF5"/>
            </w:tcBorders>
            <w:shd w:val="clear" w:color="auto" w:fill="E5EAF5"/>
          </w:tcPr>
          <w:p>
            <w:pPr>
              <w:jc w:val="right"/>
              <w:ind w:right="560"/>
              <w:spacing w:after="0"/>
              <w:rPr>
                <w:sz w:val="20"/>
                <w:szCs w:val="20"/>
                <w:color w:val="auto"/>
              </w:rPr>
            </w:pPr>
            <w:r>
              <w:rPr>
                <w:rFonts w:ascii="Arial" w:cs="Arial" w:eastAsia="Arial" w:hAnsi="Arial"/>
                <w:sz w:val="16"/>
                <w:szCs w:val="16"/>
                <w:color w:val="auto"/>
              </w:rPr>
              <w:t>1.05%</w:t>
            </w:r>
          </w:p>
        </w:tc>
        <w:tc>
          <w:tcPr>
            <w:tcW w:w="1860" w:type="dxa"/>
            <w:vAlign w:val="bottom"/>
            <w:tcBorders>
              <w:bottom w:val="single" w:sz="8" w:color="E5EAF5"/>
            </w:tcBorders>
            <w:shd w:val="clear" w:color="auto" w:fill="E5EAF5"/>
          </w:tcPr>
          <w:p>
            <w:pPr>
              <w:jc w:val="right"/>
              <w:spacing w:after="0"/>
              <w:rPr>
                <w:sz w:val="20"/>
                <w:szCs w:val="20"/>
                <w:color w:val="auto"/>
              </w:rPr>
            </w:pPr>
            <w:r>
              <w:rPr>
                <w:rFonts w:ascii="Arial" w:cs="Arial" w:eastAsia="Arial" w:hAnsi="Arial"/>
                <w:sz w:val="16"/>
                <w:szCs w:val="16"/>
                <w:color w:val="auto"/>
              </w:rPr>
              <w:t>113,809</w:t>
            </w:r>
          </w:p>
        </w:tc>
        <w:tc>
          <w:tcPr>
            <w:tcW w:w="0" w:type="dxa"/>
            <w:vAlign w:val="bottom"/>
          </w:tcPr>
          <w:p>
            <w:pPr>
              <w:spacing w:after="0"/>
              <w:rPr>
                <w:sz w:val="1"/>
                <w:szCs w:val="1"/>
                <w:color w:val="auto"/>
              </w:rPr>
            </w:pPr>
          </w:p>
        </w:tc>
      </w:tr>
      <w:tr>
        <w:trPr>
          <w:trHeight w:val="129"/>
        </w:trPr>
        <w:tc>
          <w:tcPr>
            <w:tcW w:w="1740" w:type="dxa"/>
            <w:vAlign w:val="bottom"/>
            <w:tcBorders>
              <w:top w:val="single" w:sz="8" w:color="0033A0"/>
              <w:bottom w:val="single" w:sz="8" w:color="auto"/>
            </w:tcBorders>
          </w:tcPr>
          <w:p>
            <w:pPr>
              <w:spacing w:after="0"/>
              <w:rPr>
                <w:sz w:val="11"/>
                <w:szCs w:val="11"/>
                <w:color w:val="auto"/>
              </w:rPr>
            </w:pPr>
          </w:p>
        </w:tc>
        <w:tc>
          <w:tcPr>
            <w:tcW w:w="3060" w:type="dxa"/>
            <w:vAlign w:val="bottom"/>
            <w:tcBorders>
              <w:top w:val="single" w:sz="8" w:color="0033A0"/>
            </w:tcBorders>
          </w:tcPr>
          <w:p>
            <w:pPr>
              <w:spacing w:after="0"/>
              <w:rPr>
                <w:sz w:val="11"/>
                <w:szCs w:val="11"/>
                <w:color w:val="auto"/>
              </w:rPr>
            </w:pPr>
          </w:p>
        </w:tc>
        <w:tc>
          <w:tcPr>
            <w:tcW w:w="2400" w:type="dxa"/>
            <w:vAlign w:val="bottom"/>
            <w:tcBorders>
              <w:top w:val="single" w:sz="8" w:color="0033A0"/>
            </w:tcBorders>
          </w:tcPr>
          <w:p>
            <w:pPr>
              <w:spacing w:after="0"/>
              <w:rPr>
                <w:sz w:val="11"/>
                <w:szCs w:val="11"/>
                <w:color w:val="auto"/>
              </w:rPr>
            </w:pPr>
          </w:p>
        </w:tc>
        <w:tc>
          <w:tcPr>
            <w:tcW w:w="1960" w:type="dxa"/>
            <w:vAlign w:val="bottom"/>
            <w:tcBorders>
              <w:top w:val="single" w:sz="8" w:color="0033A0"/>
            </w:tcBorders>
          </w:tcPr>
          <w:p>
            <w:pPr>
              <w:spacing w:after="0"/>
              <w:rPr>
                <w:sz w:val="11"/>
                <w:szCs w:val="11"/>
                <w:color w:val="auto"/>
              </w:rPr>
            </w:pPr>
          </w:p>
        </w:tc>
        <w:tc>
          <w:tcPr>
            <w:tcW w:w="1860" w:type="dxa"/>
            <w:vAlign w:val="bottom"/>
            <w:tcBorders>
              <w:top w:val="single" w:sz="8" w:color="0033A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520" w:right="180" w:hanging="316"/>
        <w:spacing w:after="0" w:line="258" w:lineRule="auto"/>
        <w:tabs>
          <w:tab w:leader="none" w:pos="520" w:val="left"/>
        </w:tabs>
        <w:numPr>
          <w:ilvl w:val="0"/>
          <w:numId w:val="82"/>
        </w:numPr>
        <w:rPr>
          <w:rFonts w:ascii="Arial" w:cs="Arial" w:eastAsia="Arial" w:hAnsi="Arial"/>
          <w:sz w:val="14"/>
          <w:szCs w:val="14"/>
          <w:color w:val="auto"/>
        </w:rPr>
      </w:pPr>
      <w:r>
        <w:rPr>
          <w:rFonts w:ascii="Arial" w:cs="Arial" w:eastAsia="Arial" w:hAnsi="Arial"/>
          <w:sz w:val="14"/>
          <w:szCs w:val="14"/>
          <w:color w:val="auto"/>
        </w:rPr>
        <w:t>Based on the number of shares outstanding as of March 1, 2019. None of such individuals beneficially owns more than 1% of the outstanding Brink’s Common Stock, unless otherwise noted above.</w:t>
      </w:r>
    </w:p>
    <w:p>
      <w:pPr>
        <w:spacing w:after="0" w:line="19" w:lineRule="exact"/>
        <w:rPr>
          <w:sz w:val="20"/>
          <w:szCs w:val="20"/>
          <w:color w:val="auto"/>
        </w:rPr>
      </w:pPr>
    </w:p>
    <w:p>
      <w:pPr>
        <w:ind w:left="520" w:right="200" w:hanging="316"/>
        <w:spacing w:after="0" w:line="208" w:lineRule="auto"/>
        <w:tabs>
          <w:tab w:leader="none" w:pos="520" w:val="left"/>
        </w:tabs>
        <w:numPr>
          <w:ilvl w:val="0"/>
          <w:numId w:val="83"/>
        </w:numPr>
        <w:rPr>
          <w:rFonts w:ascii="Arial" w:cs="Arial" w:eastAsia="Arial" w:hAnsi="Arial"/>
          <w:sz w:val="24"/>
          <w:szCs w:val="24"/>
          <w:color w:val="auto"/>
          <w:vertAlign w:val="superscript"/>
        </w:rPr>
      </w:pPr>
      <w:r>
        <w:rPr>
          <w:rFonts w:ascii="Arial" w:cs="Arial" w:eastAsia="Arial" w:hAnsi="Arial"/>
          <w:sz w:val="14"/>
          <w:szCs w:val="14"/>
          <w:color w:val="auto"/>
        </w:rPr>
        <w:t>Includes, for the following directors and executive officers, shares of Brink’s Common Stock that could be acquired within 60 days after January 11, 2019: (1) for each executive officer, upon vesting of Restricted Stock Units awarded under the 2013 Equity Incentive Plan; (2) for each named executive officer, upon vesting of outstanding PSUs at target levels; and (3) for each of Messrs. Boynton, Hedgebeth and Herling upon settlement of units credited to his account under the Directors’ Stock Accumulation Plan and/or the Plan for Deferral of Directors’ Fees, as follows:</w:t>
      </w:r>
    </w:p>
    <w:p>
      <w:pPr>
        <w:spacing w:after="0" w:line="107" w:lineRule="exact"/>
        <w:rPr>
          <w:sz w:val="20"/>
          <w:szCs w:val="20"/>
          <w:color w:val="auto"/>
        </w:rPr>
      </w:pPr>
    </w:p>
    <w:tbl>
      <w:tblPr>
        <w:tblLayout w:type="fixed"/>
        <w:tblInd w:w="660" w:type="dxa"/>
        <w:tblCellMar>
          <w:top w:w="0" w:type="dxa"/>
          <w:left w:w="0" w:type="dxa"/>
          <w:bottom w:w="0" w:type="dxa"/>
          <w:right w:w="0" w:type="dxa"/>
        </w:tblCellMar>
      </w:tblPr>
      <w:tr>
        <w:trPr>
          <w:trHeight w:val="210"/>
        </w:trPr>
        <w:tc>
          <w:tcPr>
            <w:tcW w:w="9000" w:type="dxa"/>
            <w:vAlign w:val="bottom"/>
            <w:tcBorders>
              <w:bottom w:val="single" w:sz="8" w:color="D8E0F0"/>
            </w:tcBorders>
            <w:shd w:val="clear" w:color="auto" w:fill="D8E0F0"/>
          </w:tcPr>
          <w:p>
            <w:pPr>
              <w:ind w:left="60"/>
              <w:spacing w:after="0"/>
              <w:rPr>
                <w:sz w:val="20"/>
                <w:szCs w:val="20"/>
                <w:color w:val="auto"/>
              </w:rPr>
            </w:pPr>
            <w:r>
              <w:rPr>
                <w:rFonts w:ascii="Arial" w:cs="Arial" w:eastAsia="Arial" w:hAnsi="Arial"/>
                <w:sz w:val="16"/>
                <w:szCs w:val="16"/>
                <w:color w:val="auto"/>
              </w:rPr>
              <w:t>Mr. Beech</w:t>
            </w:r>
          </w:p>
        </w:tc>
        <w:tc>
          <w:tcPr>
            <w:tcW w:w="1120" w:type="dxa"/>
            <w:vAlign w:val="bottom"/>
            <w:tcBorders>
              <w:bottom w:val="single" w:sz="8" w:color="D8E0F0"/>
            </w:tcBorders>
            <w:shd w:val="clear" w:color="auto" w:fill="D8E0F0"/>
          </w:tcPr>
          <w:p>
            <w:pPr>
              <w:jc w:val="right"/>
              <w:ind w:right="119"/>
              <w:spacing w:after="0"/>
              <w:rPr>
                <w:sz w:val="20"/>
                <w:szCs w:val="20"/>
                <w:color w:val="auto"/>
              </w:rPr>
            </w:pPr>
            <w:r>
              <w:rPr>
                <w:rFonts w:ascii="Arial" w:cs="Arial" w:eastAsia="Arial" w:hAnsi="Arial"/>
                <w:sz w:val="16"/>
                <w:szCs w:val="16"/>
                <w:color w:val="auto"/>
              </w:rPr>
              <w:t>16,644</w:t>
            </w:r>
          </w:p>
        </w:tc>
      </w:tr>
      <w:tr>
        <w:trPr>
          <w:trHeight w:val="197"/>
        </w:trPr>
        <w:tc>
          <w:tcPr>
            <w:tcW w:w="9000" w:type="dxa"/>
            <w:vAlign w:val="bottom"/>
          </w:tcPr>
          <w:p>
            <w:pPr>
              <w:ind w:left="60"/>
              <w:spacing w:after="0"/>
              <w:rPr>
                <w:sz w:val="20"/>
                <w:szCs w:val="20"/>
                <w:color w:val="auto"/>
              </w:rPr>
            </w:pPr>
            <w:r>
              <w:rPr>
                <w:rFonts w:ascii="Arial" w:cs="Arial" w:eastAsia="Arial" w:hAnsi="Arial"/>
                <w:sz w:val="16"/>
                <w:szCs w:val="16"/>
                <w:color w:val="auto"/>
              </w:rPr>
              <w:t>Mr. Boynton</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13,098</w:t>
            </w:r>
          </w:p>
        </w:tc>
      </w:tr>
      <w:tr>
        <w:trPr>
          <w:trHeight w:val="33"/>
        </w:trPr>
        <w:tc>
          <w:tcPr>
            <w:tcW w:w="90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0"/>
        </w:trPr>
        <w:tc>
          <w:tcPr>
            <w:tcW w:w="9000" w:type="dxa"/>
            <w:vAlign w:val="bottom"/>
            <w:tcBorders>
              <w:bottom w:val="single" w:sz="8" w:color="D8E0F0"/>
            </w:tcBorders>
            <w:shd w:val="clear" w:color="auto" w:fill="D8E0F0"/>
          </w:tcPr>
          <w:p>
            <w:pPr>
              <w:ind w:left="60"/>
              <w:spacing w:after="0"/>
              <w:rPr>
                <w:sz w:val="20"/>
                <w:szCs w:val="20"/>
                <w:color w:val="auto"/>
              </w:rPr>
            </w:pPr>
            <w:r>
              <w:rPr>
                <w:rFonts w:ascii="Arial" w:cs="Arial" w:eastAsia="Arial" w:hAnsi="Arial"/>
                <w:sz w:val="16"/>
                <w:szCs w:val="16"/>
                <w:color w:val="auto"/>
              </w:rPr>
              <w:t>Mr. Domanico</w:t>
            </w:r>
          </w:p>
        </w:tc>
        <w:tc>
          <w:tcPr>
            <w:tcW w:w="1120" w:type="dxa"/>
            <w:vAlign w:val="bottom"/>
            <w:tcBorders>
              <w:bottom w:val="single" w:sz="8" w:color="D8E0F0"/>
            </w:tcBorders>
            <w:shd w:val="clear" w:color="auto" w:fill="D8E0F0"/>
          </w:tcPr>
          <w:p>
            <w:pPr>
              <w:jc w:val="right"/>
              <w:ind w:right="119"/>
              <w:spacing w:after="0"/>
              <w:rPr>
                <w:sz w:val="20"/>
                <w:szCs w:val="20"/>
                <w:color w:val="auto"/>
              </w:rPr>
            </w:pPr>
            <w:r>
              <w:rPr>
                <w:rFonts w:ascii="Arial" w:cs="Arial" w:eastAsia="Arial" w:hAnsi="Arial"/>
                <w:sz w:val="16"/>
                <w:szCs w:val="16"/>
                <w:color w:val="auto"/>
              </w:rPr>
              <w:t>18,874</w:t>
            </w:r>
          </w:p>
        </w:tc>
      </w:tr>
      <w:tr>
        <w:trPr>
          <w:trHeight w:val="197"/>
        </w:trPr>
        <w:tc>
          <w:tcPr>
            <w:tcW w:w="9000" w:type="dxa"/>
            <w:vAlign w:val="bottom"/>
          </w:tcPr>
          <w:p>
            <w:pPr>
              <w:ind w:left="60"/>
              <w:spacing w:after="0"/>
              <w:rPr>
                <w:sz w:val="20"/>
                <w:szCs w:val="20"/>
                <w:color w:val="auto"/>
              </w:rPr>
            </w:pPr>
            <w:r>
              <w:rPr>
                <w:rFonts w:ascii="Arial" w:cs="Arial" w:eastAsia="Arial" w:hAnsi="Arial"/>
                <w:sz w:val="16"/>
                <w:szCs w:val="16"/>
                <w:color w:val="auto"/>
              </w:rPr>
              <w:t>Mr. Hedgebeth</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4,154</w:t>
            </w:r>
          </w:p>
        </w:tc>
      </w:tr>
      <w:tr>
        <w:trPr>
          <w:trHeight w:val="33"/>
        </w:trPr>
        <w:tc>
          <w:tcPr>
            <w:tcW w:w="90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0"/>
        </w:trPr>
        <w:tc>
          <w:tcPr>
            <w:tcW w:w="9000" w:type="dxa"/>
            <w:vAlign w:val="bottom"/>
            <w:tcBorders>
              <w:bottom w:val="single" w:sz="8" w:color="D8E0F0"/>
            </w:tcBorders>
            <w:shd w:val="clear" w:color="auto" w:fill="D8E0F0"/>
          </w:tcPr>
          <w:p>
            <w:pPr>
              <w:ind w:left="60"/>
              <w:spacing w:after="0"/>
              <w:rPr>
                <w:sz w:val="20"/>
                <w:szCs w:val="20"/>
                <w:color w:val="auto"/>
              </w:rPr>
            </w:pPr>
            <w:r>
              <w:rPr>
                <w:rFonts w:ascii="Arial" w:cs="Arial" w:eastAsia="Arial" w:hAnsi="Arial"/>
                <w:sz w:val="16"/>
                <w:szCs w:val="16"/>
                <w:color w:val="auto"/>
              </w:rPr>
              <w:t>Mr. Herling</w:t>
            </w:r>
          </w:p>
        </w:tc>
        <w:tc>
          <w:tcPr>
            <w:tcW w:w="1120" w:type="dxa"/>
            <w:vAlign w:val="bottom"/>
            <w:tcBorders>
              <w:bottom w:val="single" w:sz="8" w:color="D8E0F0"/>
            </w:tcBorders>
            <w:shd w:val="clear" w:color="auto" w:fill="D8E0F0"/>
          </w:tcPr>
          <w:p>
            <w:pPr>
              <w:jc w:val="right"/>
              <w:ind w:right="119"/>
              <w:spacing w:after="0"/>
              <w:rPr>
                <w:sz w:val="20"/>
                <w:szCs w:val="20"/>
                <w:color w:val="auto"/>
              </w:rPr>
            </w:pPr>
            <w:r>
              <w:rPr>
                <w:rFonts w:ascii="Arial" w:cs="Arial" w:eastAsia="Arial" w:hAnsi="Arial"/>
                <w:sz w:val="16"/>
                <w:szCs w:val="16"/>
                <w:color w:val="auto"/>
              </w:rPr>
              <w:t>8,612</w:t>
            </w:r>
          </w:p>
        </w:tc>
      </w:tr>
      <w:tr>
        <w:trPr>
          <w:trHeight w:val="197"/>
        </w:trPr>
        <w:tc>
          <w:tcPr>
            <w:tcW w:w="9000" w:type="dxa"/>
            <w:vAlign w:val="bottom"/>
          </w:tcPr>
          <w:p>
            <w:pPr>
              <w:ind w:left="60"/>
              <w:spacing w:after="0"/>
              <w:rPr>
                <w:sz w:val="20"/>
                <w:szCs w:val="20"/>
                <w:color w:val="auto"/>
              </w:rPr>
            </w:pPr>
            <w:r>
              <w:rPr>
                <w:rFonts w:ascii="Arial" w:cs="Arial" w:eastAsia="Arial" w:hAnsi="Arial"/>
                <w:sz w:val="16"/>
                <w:szCs w:val="16"/>
                <w:color w:val="auto"/>
              </w:rPr>
              <w:t>Mr. Marshall</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17,196</w:t>
            </w:r>
          </w:p>
        </w:tc>
      </w:tr>
      <w:tr>
        <w:trPr>
          <w:trHeight w:val="33"/>
        </w:trPr>
        <w:tc>
          <w:tcPr>
            <w:tcW w:w="90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0"/>
        </w:trPr>
        <w:tc>
          <w:tcPr>
            <w:tcW w:w="9000" w:type="dxa"/>
            <w:vAlign w:val="bottom"/>
            <w:tcBorders>
              <w:bottom w:val="single" w:sz="8" w:color="D8E0F0"/>
            </w:tcBorders>
            <w:shd w:val="clear" w:color="auto" w:fill="D8E0F0"/>
          </w:tcPr>
          <w:p>
            <w:pPr>
              <w:ind w:left="60"/>
              <w:spacing w:after="0"/>
              <w:rPr>
                <w:sz w:val="20"/>
                <w:szCs w:val="20"/>
                <w:color w:val="auto"/>
              </w:rPr>
            </w:pPr>
            <w:r>
              <w:rPr>
                <w:rFonts w:ascii="Arial" w:cs="Arial" w:eastAsia="Arial" w:hAnsi="Arial"/>
                <w:sz w:val="16"/>
                <w:szCs w:val="16"/>
                <w:color w:val="auto"/>
              </w:rPr>
              <w:t>Mr. Pertz</w:t>
            </w:r>
          </w:p>
        </w:tc>
        <w:tc>
          <w:tcPr>
            <w:tcW w:w="1120" w:type="dxa"/>
            <w:vAlign w:val="bottom"/>
            <w:tcBorders>
              <w:bottom w:val="single" w:sz="8" w:color="D8E0F0"/>
            </w:tcBorders>
            <w:shd w:val="clear" w:color="auto" w:fill="D8E0F0"/>
          </w:tcPr>
          <w:p>
            <w:pPr>
              <w:jc w:val="right"/>
              <w:ind w:right="119"/>
              <w:spacing w:after="0"/>
              <w:rPr>
                <w:sz w:val="20"/>
                <w:szCs w:val="20"/>
                <w:color w:val="auto"/>
              </w:rPr>
            </w:pPr>
            <w:r>
              <w:rPr>
                <w:rFonts w:ascii="Arial" w:cs="Arial" w:eastAsia="Arial" w:hAnsi="Arial"/>
                <w:sz w:val="16"/>
                <w:szCs w:val="16"/>
                <w:color w:val="auto"/>
              </w:rPr>
              <w:t>59,961</w:t>
            </w:r>
          </w:p>
        </w:tc>
      </w:tr>
      <w:tr>
        <w:trPr>
          <w:trHeight w:val="197"/>
        </w:trPr>
        <w:tc>
          <w:tcPr>
            <w:tcW w:w="9000" w:type="dxa"/>
            <w:vAlign w:val="bottom"/>
          </w:tcPr>
          <w:p>
            <w:pPr>
              <w:ind w:left="60"/>
              <w:spacing w:after="0"/>
              <w:rPr>
                <w:sz w:val="20"/>
                <w:szCs w:val="20"/>
                <w:color w:val="auto"/>
              </w:rPr>
            </w:pPr>
            <w:r>
              <w:rPr>
                <w:rFonts w:ascii="Arial" w:cs="Arial" w:eastAsia="Arial" w:hAnsi="Arial"/>
                <w:sz w:val="16"/>
                <w:szCs w:val="16"/>
                <w:color w:val="auto"/>
              </w:rPr>
              <w:t>Mr. Zukerman</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14,406</w:t>
            </w:r>
          </w:p>
        </w:tc>
      </w:tr>
      <w:tr>
        <w:trPr>
          <w:trHeight w:val="33"/>
        </w:trPr>
        <w:tc>
          <w:tcPr>
            <w:tcW w:w="90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89"/>
        </w:trPr>
        <w:tc>
          <w:tcPr>
            <w:tcW w:w="9000" w:type="dxa"/>
            <w:vAlign w:val="bottom"/>
            <w:shd w:val="clear" w:color="auto" w:fill="D8E0F0"/>
          </w:tcPr>
          <w:p>
            <w:pPr>
              <w:ind w:left="60"/>
              <w:spacing w:after="0"/>
              <w:rPr>
                <w:sz w:val="20"/>
                <w:szCs w:val="20"/>
                <w:color w:val="auto"/>
              </w:rPr>
            </w:pPr>
            <w:r>
              <w:rPr>
                <w:rFonts w:ascii="Arial" w:cs="Arial" w:eastAsia="Arial" w:hAnsi="Arial"/>
                <w:sz w:val="16"/>
                <w:szCs w:val="16"/>
                <w:color w:val="auto"/>
              </w:rPr>
              <w:t>All directors and executive officers as a group</w:t>
            </w:r>
          </w:p>
        </w:tc>
        <w:tc>
          <w:tcPr>
            <w:tcW w:w="1120" w:type="dxa"/>
            <w:vAlign w:val="bottom"/>
            <w:shd w:val="clear" w:color="auto" w:fill="D8E0F0"/>
          </w:tcPr>
          <w:p>
            <w:pPr>
              <w:jc w:val="right"/>
              <w:ind w:right="119"/>
              <w:spacing w:after="0"/>
              <w:rPr>
                <w:sz w:val="20"/>
                <w:szCs w:val="20"/>
                <w:color w:val="auto"/>
              </w:rPr>
            </w:pPr>
            <w:r>
              <w:rPr>
                <w:rFonts w:ascii="Arial" w:cs="Arial" w:eastAsia="Arial" w:hAnsi="Arial"/>
                <w:sz w:val="16"/>
                <w:szCs w:val="16"/>
                <w:color w:val="auto"/>
              </w:rPr>
              <w:t>144,238</w:t>
            </w:r>
          </w:p>
        </w:tc>
      </w:tr>
      <w:tr>
        <w:trPr>
          <w:trHeight w:val="54"/>
        </w:trPr>
        <w:tc>
          <w:tcPr>
            <w:tcW w:w="9000" w:type="dxa"/>
            <w:vAlign w:val="bottom"/>
            <w:shd w:val="clear" w:color="auto" w:fill="D8E0F0"/>
          </w:tcPr>
          <w:p>
            <w:pPr>
              <w:spacing w:after="0"/>
              <w:rPr>
                <w:sz w:val="4"/>
                <w:szCs w:val="4"/>
                <w:color w:val="auto"/>
              </w:rPr>
            </w:pPr>
          </w:p>
        </w:tc>
        <w:tc>
          <w:tcPr>
            <w:tcW w:w="1120" w:type="dxa"/>
            <w:vAlign w:val="bottom"/>
            <w:shd w:val="clear" w:color="auto" w:fill="D8E0F0"/>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0</wp:posOffset>
            </wp:positionV>
            <wp:extent cx="643191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431915" cy="8890"/>
                    </a:xfrm>
                    <a:prstGeom prst="rect">
                      <a:avLst/>
                    </a:prstGeom>
                    <a:noFill/>
                  </pic:spPr>
                </pic:pic>
              </a:graphicData>
            </a:graphic>
          </wp:anchor>
        </w:drawing>
      </w:r>
    </w:p>
    <w:p>
      <w:pPr>
        <w:ind w:left="520" w:right="40" w:hanging="316"/>
        <w:spacing w:after="0"/>
        <w:tabs>
          <w:tab w:leader="none" w:pos="520" w:val="left"/>
        </w:tabs>
        <w:numPr>
          <w:ilvl w:val="0"/>
          <w:numId w:val="84"/>
        </w:numPr>
        <w:rPr>
          <w:rFonts w:ascii="Arial" w:cs="Arial" w:eastAsia="Arial" w:hAnsi="Arial"/>
          <w:sz w:val="24"/>
          <w:szCs w:val="24"/>
          <w:color w:val="auto"/>
          <w:vertAlign w:val="superscript"/>
        </w:rPr>
      </w:pPr>
      <w:r>
        <w:rPr>
          <w:rFonts w:ascii="Arial" w:cs="Arial" w:eastAsia="Arial" w:hAnsi="Arial"/>
          <w:sz w:val="14"/>
          <w:szCs w:val="14"/>
          <w:color w:val="auto"/>
        </w:rPr>
        <w:t>Each non-employee director also holds units representing shares of Brink’s Common Stock that have been credited to his or her account on or prior to January 11, 2019: (1) under the 2017 Equity Incentive Plan and the Non-Employee Directors’ Equity Plan (Deferred Stock Units), which will be settled in Brink’s Common Stock on a one-for-one basis six months after a director’s separation from service on the Board; (2) under the 2013 or 2017 Equity Incentive Plan, which will be settled in Brink’s Common Stock on a one-for-one basis upon vesting; (3) as a result of compensation elected to be received in stock and deferred under the Plan for the Deferral of Directors’ Fees; and, or (4) as a result of Deferred Stock Units awarded under the 2017 Equity Incentive Plan and the Non-Employee Directors’ Equity Plan that have vested but, pursuant to an election by a director, have been further deferred under the Plan for the Deferral of Directors’ Fees. These Deferred Stock Units are not included in the number of shares of Brink’s Common Stock beneficially owned by such persons. For additional information about the Deferred Stock Units, see “Director Compensation.”</w:t>
      </w:r>
    </w:p>
    <w:p>
      <w:pPr>
        <w:spacing w:after="0" w:line="198" w:lineRule="exact"/>
        <w:rPr>
          <w:sz w:val="20"/>
          <w:szCs w:val="20"/>
          <w:color w:val="auto"/>
        </w:rPr>
      </w:pPr>
    </w:p>
    <w:tbl>
      <w:tblPr>
        <w:tblLayout w:type="fixed"/>
        <w:tblInd w:w="8820" w:type="dxa"/>
        <w:tblCellMar>
          <w:top w:w="0" w:type="dxa"/>
          <w:left w:w="0" w:type="dxa"/>
          <w:bottom w:w="0" w:type="dxa"/>
          <w:right w:w="0" w:type="dxa"/>
        </w:tblCellMar>
      </w:tblPr>
      <w:tr>
        <w:trPr>
          <w:trHeight w:val="297"/>
        </w:trPr>
        <w:tc>
          <w:tcPr>
            <w:tcW w:w="1900" w:type="dxa"/>
            <w:vAlign w:val="bottom"/>
            <w:tcBorders>
              <w:right w:val="single" w:sz="8" w:color="0033A0"/>
            </w:tcBorders>
          </w:tcPr>
          <w:p>
            <w:pPr>
              <w:spacing w:after="0"/>
              <w:rPr>
                <w:sz w:val="20"/>
                <w:szCs w:val="20"/>
                <w:color w:val="auto"/>
              </w:rPr>
            </w:pPr>
            <w:r>
              <w:rPr>
                <w:rFonts w:ascii="Arial" w:cs="Arial" w:eastAsia="Arial" w:hAnsi="Arial"/>
                <w:sz w:val="18"/>
                <w:szCs w:val="18"/>
                <w:i w:val="1"/>
                <w:iCs w:val="1"/>
                <w:color w:val="auto"/>
              </w:rPr>
              <w:t>2019 Proxy Statement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-170815</wp:posOffset>
            </wp:positionV>
            <wp:extent cx="720090" cy="12890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0090" cy="12890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0033A0"/>
        </w:rPr>
        <w:t>The Brink’s Company</w:t>
      </w:r>
    </w:p>
    <w:p>
      <w:pPr>
        <w:spacing w:after="0" w:line="208" w:lineRule="exact"/>
        <w:rPr>
          <w:sz w:val="20"/>
          <w:szCs w:val="20"/>
          <w:color w:val="auto"/>
        </w:rPr>
      </w:pPr>
    </w:p>
    <w:p>
      <w:pPr>
        <w:ind w:left="520" w:right="40" w:hanging="316"/>
        <w:spacing w:after="0" w:line="208" w:lineRule="auto"/>
        <w:tabs>
          <w:tab w:leader="none" w:pos="520" w:val="left"/>
        </w:tabs>
        <w:numPr>
          <w:ilvl w:val="0"/>
          <w:numId w:val="85"/>
        </w:numPr>
        <w:rPr>
          <w:rFonts w:ascii="Arial" w:cs="Arial" w:eastAsia="Arial" w:hAnsi="Arial"/>
          <w:sz w:val="24"/>
          <w:szCs w:val="24"/>
          <w:color w:val="auto"/>
          <w:vertAlign w:val="superscript"/>
        </w:rPr>
      </w:pPr>
      <w:r>
        <w:rPr>
          <w:rFonts w:ascii="Arial" w:cs="Arial" w:eastAsia="Arial" w:hAnsi="Arial"/>
          <w:sz w:val="14"/>
          <w:szCs w:val="14"/>
          <w:color w:val="auto"/>
        </w:rPr>
        <w:t>Each named executive officer also holds: (1) units representing shares of Brink’s Common Stock that have been credited to his or her account on or prior to January 11, 2019, under the Key Employees’ Deferred Compensation Program (Deferred Compensation Units), which will be settled in Brink’s Common Stock on a one-for-one basis on a date selected by the individual or six months after the individual’s separation from service, and/or (2) Restricted Stock Units issued under the 2013 Equity Incentive Plan or the 2017 Equity Incentive Plan, which will be settled in Brink’s Common Stock on a one-for-one basis after a vesting period, as follows:</w:t>
      </w:r>
    </w:p>
    <w:p>
      <w:pPr>
        <w:spacing w:after="0" w:line="94"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5400" w:type="dxa"/>
            <w:vAlign w:val="bottom"/>
          </w:tcPr>
          <w:p>
            <w:pPr>
              <w:spacing w:after="0"/>
              <w:rPr>
                <w:sz w:val="14"/>
                <w:szCs w:val="14"/>
                <w:color w:val="auto"/>
              </w:rPr>
            </w:pPr>
          </w:p>
        </w:tc>
        <w:tc>
          <w:tcPr>
            <w:tcW w:w="1700" w:type="dxa"/>
            <w:vAlign w:val="bottom"/>
          </w:tcPr>
          <w:p>
            <w:pPr>
              <w:jc w:val="center"/>
              <w:ind w:right="68"/>
              <w:spacing w:after="0"/>
              <w:rPr>
                <w:sz w:val="20"/>
                <w:szCs w:val="20"/>
                <w:color w:val="auto"/>
              </w:rPr>
            </w:pPr>
            <w:r>
              <w:rPr>
                <w:rFonts w:ascii="Arial" w:cs="Arial" w:eastAsia="Arial" w:hAnsi="Arial"/>
                <w:sz w:val="14"/>
                <w:szCs w:val="14"/>
                <w:b w:val="1"/>
                <w:bCs w:val="1"/>
                <w:color w:val="0033A0"/>
              </w:rPr>
              <w:t>Deferred</w:t>
            </w:r>
          </w:p>
        </w:tc>
        <w:tc>
          <w:tcPr>
            <w:tcW w:w="1720" w:type="dxa"/>
            <w:vAlign w:val="bottom"/>
          </w:tcPr>
          <w:p>
            <w:pPr>
              <w:jc w:val="center"/>
              <w:ind w:right="68"/>
              <w:spacing w:after="0"/>
              <w:rPr>
                <w:sz w:val="20"/>
                <w:szCs w:val="20"/>
                <w:color w:val="auto"/>
              </w:rPr>
            </w:pPr>
            <w:r>
              <w:rPr>
                <w:rFonts w:ascii="Arial" w:cs="Arial" w:eastAsia="Arial" w:hAnsi="Arial"/>
                <w:sz w:val="14"/>
                <w:szCs w:val="14"/>
                <w:b w:val="1"/>
                <w:bCs w:val="1"/>
                <w:color w:val="0033A0"/>
              </w:rPr>
              <w:t>Restricted</w:t>
            </w:r>
          </w:p>
        </w:tc>
        <w:tc>
          <w:tcPr>
            <w:tcW w:w="1300" w:type="dxa"/>
            <w:vAlign w:val="bottom"/>
          </w:tcPr>
          <w:p>
            <w:pPr>
              <w:spacing w:after="0"/>
              <w:rPr>
                <w:sz w:val="14"/>
                <w:szCs w:val="14"/>
                <w:color w:val="auto"/>
              </w:rPr>
            </w:pPr>
          </w:p>
        </w:tc>
      </w:tr>
      <w:tr>
        <w:trPr>
          <w:trHeight w:val="162"/>
        </w:trPr>
        <w:tc>
          <w:tcPr>
            <w:tcW w:w="5400" w:type="dxa"/>
            <w:vAlign w:val="bottom"/>
          </w:tcPr>
          <w:p>
            <w:pPr>
              <w:spacing w:after="0"/>
              <w:rPr>
                <w:sz w:val="14"/>
                <w:szCs w:val="14"/>
                <w:color w:val="auto"/>
              </w:rPr>
            </w:pPr>
          </w:p>
        </w:tc>
        <w:tc>
          <w:tcPr>
            <w:tcW w:w="1700" w:type="dxa"/>
            <w:vAlign w:val="bottom"/>
          </w:tcPr>
          <w:p>
            <w:pPr>
              <w:jc w:val="center"/>
              <w:ind w:right="68"/>
              <w:spacing w:after="0"/>
              <w:rPr>
                <w:sz w:val="20"/>
                <w:szCs w:val="20"/>
                <w:color w:val="auto"/>
              </w:rPr>
            </w:pPr>
            <w:r>
              <w:rPr>
                <w:rFonts w:ascii="Arial" w:cs="Arial" w:eastAsia="Arial" w:hAnsi="Arial"/>
                <w:sz w:val="14"/>
                <w:szCs w:val="14"/>
                <w:b w:val="1"/>
                <w:bCs w:val="1"/>
                <w:color w:val="0033A0"/>
              </w:rPr>
              <w:t>Compensation</w:t>
            </w:r>
          </w:p>
        </w:tc>
        <w:tc>
          <w:tcPr>
            <w:tcW w:w="1720" w:type="dxa"/>
            <w:vAlign w:val="bottom"/>
          </w:tcPr>
          <w:p>
            <w:pPr>
              <w:jc w:val="center"/>
              <w:ind w:right="88"/>
              <w:spacing w:after="0"/>
              <w:rPr>
                <w:sz w:val="20"/>
                <w:szCs w:val="20"/>
                <w:color w:val="auto"/>
              </w:rPr>
            </w:pPr>
            <w:r>
              <w:rPr>
                <w:rFonts w:ascii="Arial" w:cs="Arial" w:eastAsia="Arial" w:hAnsi="Arial"/>
                <w:sz w:val="14"/>
                <w:szCs w:val="14"/>
                <w:b w:val="1"/>
                <w:bCs w:val="1"/>
                <w:color w:val="0033A0"/>
              </w:rPr>
              <w:t>Stock</w:t>
            </w:r>
          </w:p>
        </w:tc>
        <w:tc>
          <w:tcPr>
            <w:tcW w:w="1300" w:type="dxa"/>
            <w:vAlign w:val="bottom"/>
          </w:tcPr>
          <w:p>
            <w:pPr>
              <w:spacing w:after="0"/>
              <w:rPr>
                <w:sz w:val="14"/>
                <w:szCs w:val="14"/>
                <w:color w:val="auto"/>
              </w:rPr>
            </w:pPr>
          </w:p>
        </w:tc>
      </w:tr>
      <w:tr>
        <w:trPr>
          <w:trHeight w:val="175"/>
        </w:trPr>
        <w:tc>
          <w:tcPr>
            <w:tcW w:w="5400" w:type="dxa"/>
            <w:vAlign w:val="bottom"/>
            <w:tcBorders>
              <w:bottom w:val="single" w:sz="8" w:color="0033A0"/>
            </w:tcBorders>
          </w:tcPr>
          <w:p>
            <w:pPr>
              <w:spacing w:after="0"/>
              <w:rPr>
                <w:sz w:val="15"/>
                <w:szCs w:val="15"/>
                <w:color w:val="auto"/>
              </w:rPr>
            </w:pPr>
          </w:p>
        </w:tc>
        <w:tc>
          <w:tcPr>
            <w:tcW w:w="1700" w:type="dxa"/>
            <w:vAlign w:val="bottom"/>
            <w:tcBorders>
              <w:bottom w:val="single" w:sz="8" w:color="0033A0"/>
            </w:tcBorders>
          </w:tcPr>
          <w:p>
            <w:pPr>
              <w:jc w:val="center"/>
              <w:ind w:right="68"/>
              <w:spacing w:after="0"/>
              <w:rPr>
                <w:sz w:val="20"/>
                <w:szCs w:val="20"/>
                <w:color w:val="auto"/>
              </w:rPr>
            </w:pPr>
            <w:r>
              <w:rPr>
                <w:rFonts w:ascii="Arial" w:cs="Arial" w:eastAsia="Arial" w:hAnsi="Arial"/>
                <w:sz w:val="14"/>
                <w:szCs w:val="14"/>
                <w:b w:val="1"/>
                <w:bCs w:val="1"/>
                <w:color w:val="0033A0"/>
              </w:rPr>
              <w:t>Units</w:t>
            </w:r>
          </w:p>
        </w:tc>
        <w:tc>
          <w:tcPr>
            <w:tcW w:w="1720" w:type="dxa"/>
            <w:vAlign w:val="bottom"/>
            <w:tcBorders>
              <w:bottom w:val="single" w:sz="8" w:color="0033A0"/>
            </w:tcBorders>
          </w:tcPr>
          <w:p>
            <w:pPr>
              <w:jc w:val="center"/>
              <w:ind w:right="88"/>
              <w:spacing w:after="0"/>
              <w:rPr>
                <w:sz w:val="20"/>
                <w:szCs w:val="20"/>
                <w:color w:val="auto"/>
              </w:rPr>
            </w:pPr>
            <w:r>
              <w:rPr>
                <w:rFonts w:ascii="Arial" w:cs="Arial" w:eastAsia="Arial" w:hAnsi="Arial"/>
                <w:sz w:val="14"/>
                <w:szCs w:val="14"/>
                <w:b w:val="1"/>
                <w:bCs w:val="1"/>
                <w:color w:val="0033A0"/>
              </w:rPr>
              <w:t>Units</w:t>
            </w:r>
          </w:p>
        </w:tc>
        <w:tc>
          <w:tcPr>
            <w:tcW w:w="1300" w:type="dxa"/>
            <w:vAlign w:val="bottom"/>
            <w:tcBorders>
              <w:bottom w:val="single" w:sz="8" w:color="0033A0"/>
            </w:tcBorders>
          </w:tcPr>
          <w:p>
            <w:pPr>
              <w:jc w:val="right"/>
              <w:ind w:right="288"/>
              <w:spacing w:after="0"/>
              <w:rPr>
                <w:sz w:val="20"/>
                <w:szCs w:val="20"/>
                <w:color w:val="auto"/>
              </w:rPr>
            </w:pPr>
            <w:r>
              <w:rPr>
                <w:rFonts w:ascii="Arial" w:cs="Arial" w:eastAsia="Arial" w:hAnsi="Arial"/>
                <w:sz w:val="14"/>
                <w:szCs w:val="14"/>
                <w:b w:val="1"/>
                <w:bCs w:val="1"/>
                <w:color w:val="0033A0"/>
              </w:rPr>
              <w:t>Total</w:t>
            </w:r>
          </w:p>
        </w:tc>
      </w:tr>
      <w:tr>
        <w:trPr>
          <w:trHeight w:val="21"/>
        </w:trPr>
        <w:tc>
          <w:tcPr>
            <w:tcW w:w="54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83"/>
        </w:trPr>
        <w:tc>
          <w:tcPr>
            <w:tcW w:w="5400" w:type="dxa"/>
            <w:vAlign w:val="bottom"/>
            <w:tcBorders>
              <w:bottom w:val="single" w:sz="8" w:color="D8E0F0"/>
            </w:tcBorders>
            <w:shd w:val="clear" w:color="auto" w:fill="D8E0F0"/>
          </w:tcPr>
          <w:p>
            <w:pPr>
              <w:ind w:left="60"/>
              <w:spacing w:after="0"/>
              <w:rPr>
                <w:sz w:val="20"/>
                <w:szCs w:val="20"/>
                <w:color w:val="auto"/>
              </w:rPr>
            </w:pPr>
            <w:r>
              <w:rPr>
                <w:rFonts w:ascii="Arial" w:cs="Arial" w:eastAsia="Arial" w:hAnsi="Arial"/>
                <w:sz w:val="14"/>
                <w:szCs w:val="14"/>
                <w:color w:val="auto"/>
              </w:rPr>
              <w:t>Mr. Beech</w:t>
            </w:r>
          </w:p>
        </w:tc>
        <w:tc>
          <w:tcPr>
            <w:tcW w:w="1700" w:type="dxa"/>
            <w:vAlign w:val="bottom"/>
            <w:tcBorders>
              <w:bottom w:val="single" w:sz="8" w:color="D8E0F0"/>
            </w:tcBorders>
            <w:shd w:val="clear" w:color="auto" w:fill="D8E0F0"/>
          </w:tcPr>
          <w:p>
            <w:pPr>
              <w:jc w:val="right"/>
              <w:ind w:right="348"/>
              <w:spacing w:after="0"/>
              <w:rPr>
                <w:sz w:val="20"/>
                <w:szCs w:val="20"/>
                <w:color w:val="auto"/>
              </w:rPr>
            </w:pPr>
            <w:r>
              <w:rPr>
                <w:rFonts w:ascii="Arial" w:cs="Arial" w:eastAsia="Arial" w:hAnsi="Arial"/>
                <w:sz w:val="14"/>
                <w:szCs w:val="14"/>
                <w:color w:val="auto"/>
              </w:rPr>
              <w:t>8,292</w:t>
            </w:r>
          </w:p>
        </w:tc>
        <w:tc>
          <w:tcPr>
            <w:tcW w:w="1720" w:type="dxa"/>
            <w:vAlign w:val="bottom"/>
            <w:tcBorders>
              <w:bottom w:val="single" w:sz="8" w:color="D8E0F0"/>
            </w:tcBorders>
            <w:shd w:val="clear" w:color="auto" w:fill="D8E0F0"/>
          </w:tcPr>
          <w:p>
            <w:pPr>
              <w:jc w:val="right"/>
              <w:ind w:right="508"/>
              <w:spacing w:after="0"/>
              <w:rPr>
                <w:sz w:val="20"/>
                <w:szCs w:val="20"/>
                <w:color w:val="auto"/>
              </w:rPr>
            </w:pPr>
            <w:r>
              <w:rPr>
                <w:rFonts w:ascii="Arial" w:cs="Arial" w:eastAsia="Arial" w:hAnsi="Arial"/>
                <w:sz w:val="14"/>
                <w:szCs w:val="14"/>
                <w:color w:val="auto"/>
              </w:rPr>
              <w:t>2,265</w:t>
            </w:r>
          </w:p>
        </w:tc>
        <w:tc>
          <w:tcPr>
            <w:tcW w:w="1300" w:type="dxa"/>
            <w:vAlign w:val="bottom"/>
            <w:tcBorders>
              <w:bottom w:val="single" w:sz="8" w:color="D8E0F0"/>
            </w:tcBorders>
            <w:shd w:val="clear" w:color="auto" w:fill="D8E0F0"/>
          </w:tcPr>
          <w:p>
            <w:pPr>
              <w:jc w:val="right"/>
              <w:ind w:right="208"/>
              <w:spacing w:after="0"/>
              <w:rPr>
                <w:sz w:val="20"/>
                <w:szCs w:val="20"/>
                <w:color w:val="auto"/>
              </w:rPr>
            </w:pPr>
            <w:r>
              <w:rPr>
                <w:rFonts w:ascii="Arial" w:cs="Arial" w:eastAsia="Arial" w:hAnsi="Arial"/>
                <w:sz w:val="14"/>
                <w:szCs w:val="14"/>
                <w:color w:val="auto"/>
              </w:rPr>
              <w:t>10,557</w:t>
            </w:r>
          </w:p>
        </w:tc>
      </w:tr>
      <w:tr>
        <w:trPr>
          <w:trHeight w:val="177"/>
        </w:trPr>
        <w:tc>
          <w:tcPr>
            <w:tcW w:w="5400" w:type="dxa"/>
            <w:vAlign w:val="bottom"/>
          </w:tcPr>
          <w:p>
            <w:pPr>
              <w:ind w:left="60"/>
              <w:spacing w:after="0"/>
              <w:rPr>
                <w:sz w:val="20"/>
                <w:szCs w:val="20"/>
                <w:color w:val="auto"/>
              </w:rPr>
            </w:pPr>
            <w:r>
              <w:rPr>
                <w:rFonts w:ascii="Arial" w:cs="Arial" w:eastAsia="Arial" w:hAnsi="Arial"/>
                <w:sz w:val="14"/>
                <w:szCs w:val="14"/>
                <w:color w:val="auto"/>
              </w:rPr>
              <w:t>Mr. Domanico</w:t>
            </w:r>
          </w:p>
        </w:tc>
        <w:tc>
          <w:tcPr>
            <w:tcW w:w="1700" w:type="dxa"/>
            <w:vAlign w:val="bottom"/>
          </w:tcPr>
          <w:p>
            <w:pPr>
              <w:jc w:val="right"/>
              <w:ind w:right="348"/>
              <w:spacing w:after="0"/>
              <w:rPr>
                <w:sz w:val="20"/>
                <w:szCs w:val="20"/>
                <w:color w:val="auto"/>
              </w:rPr>
            </w:pPr>
            <w:r>
              <w:rPr>
                <w:rFonts w:ascii="Arial" w:cs="Arial" w:eastAsia="Arial" w:hAnsi="Arial"/>
                <w:sz w:val="14"/>
                <w:szCs w:val="14"/>
                <w:color w:val="auto"/>
              </w:rPr>
              <w:t>7,644</w:t>
            </w:r>
          </w:p>
        </w:tc>
        <w:tc>
          <w:tcPr>
            <w:tcW w:w="1720" w:type="dxa"/>
            <w:vAlign w:val="bottom"/>
          </w:tcPr>
          <w:p>
            <w:pPr>
              <w:jc w:val="right"/>
              <w:ind w:right="508"/>
              <w:spacing w:after="0"/>
              <w:rPr>
                <w:sz w:val="20"/>
                <w:szCs w:val="20"/>
                <w:color w:val="auto"/>
              </w:rPr>
            </w:pPr>
            <w:r>
              <w:rPr>
                <w:rFonts w:ascii="Arial" w:cs="Arial" w:eastAsia="Arial" w:hAnsi="Arial"/>
                <w:sz w:val="14"/>
                <w:szCs w:val="14"/>
                <w:color w:val="auto"/>
              </w:rPr>
              <w:t>4,646</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12,290</w:t>
            </w:r>
          </w:p>
        </w:tc>
      </w:tr>
      <w:tr>
        <w:trPr>
          <w:trHeight w:val="26"/>
        </w:trPr>
        <w:tc>
          <w:tcPr>
            <w:tcW w:w="54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3"/>
        </w:trPr>
        <w:tc>
          <w:tcPr>
            <w:tcW w:w="5400" w:type="dxa"/>
            <w:vAlign w:val="bottom"/>
            <w:tcBorders>
              <w:bottom w:val="single" w:sz="8" w:color="D8E0F0"/>
            </w:tcBorders>
            <w:shd w:val="clear" w:color="auto" w:fill="D8E0F0"/>
          </w:tcPr>
          <w:p>
            <w:pPr>
              <w:ind w:left="60"/>
              <w:spacing w:after="0"/>
              <w:rPr>
                <w:sz w:val="20"/>
                <w:szCs w:val="20"/>
                <w:color w:val="auto"/>
              </w:rPr>
            </w:pPr>
            <w:r>
              <w:rPr>
                <w:rFonts w:ascii="Arial" w:cs="Arial" w:eastAsia="Arial" w:hAnsi="Arial"/>
                <w:sz w:val="14"/>
                <w:szCs w:val="14"/>
                <w:color w:val="auto"/>
              </w:rPr>
              <w:t>Mr. Marshall</w:t>
            </w:r>
          </w:p>
        </w:tc>
        <w:tc>
          <w:tcPr>
            <w:tcW w:w="1700" w:type="dxa"/>
            <w:vAlign w:val="bottom"/>
            <w:tcBorders>
              <w:bottom w:val="single" w:sz="8" w:color="D8E0F0"/>
            </w:tcBorders>
            <w:shd w:val="clear" w:color="auto" w:fill="D8E0F0"/>
          </w:tcPr>
          <w:p>
            <w:pPr>
              <w:jc w:val="right"/>
              <w:ind w:right="348"/>
              <w:spacing w:after="0"/>
              <w:rPr>
                <w:sz w:val="20"/>
                <w:szCs w:val="20"/>
                <w:color w:val="auto"/>
              </w:rPr>
            </w:pPr>
            <w:r>
              <w:rPr>
                <w:rFonts w:ascii="Arial" w:cs="Arial" w:eastAsia="Arial" w:hAnsi="Arial"/>
                <w:sz w:val="14"/>
                <w:szCs w:val="14"/>
                <w:color w:val="auto"/>
              </w:rPr>
              <w:t>44,486</w:t>
            </w:r>
          </w:p>
        </w:tc>
        <w:tc>
          <w:tcPr>
            <w:tcW w:w="1720" w:type="dxa"/>
            <w:vAlign w:val="bottom"/>
            <w:tcBorders>
              <w:bottom w:val="single" w:sz="8" w:color="D8E0F0"/>
            </w:tcBorders>
            <w:shd w:val="clear" w:color="auto" w:fill="D8E0F0"/>
          </w:tcPr>
          <w:p>
            <w:pPr>
              <w:jc w:val="right"/>
              <w:ind w:right="508"/>
              <w:spacing w:after="0"/>
              <w:rPr>
                <w:sz w:val="20"/>
                <w:szCs w:val="20"/>
                <w:color w:val="auto"/>
              </w:rPr>
            </w:pPr>
            <w:r>
              <w:rPr>
                <w:rFonts w:ascii="Arial" w:cs="Arial" w:eastAsia="Arial" w:hAnsi="Arial"/>
                <w:sz w:val="14"/>
                <w:szCs w:val="14"/>
                <w:color w:val="auto"/>
              </w:rPr>
              <w:t>7,843</w:t>
            </w:r>
          </w:p>
        </w:tc>
        <w:tc>
          <w:tcPr>
            <w:tcW w:w="1300" w:type="dxa"/>
            <w:vAlign w:val="bottom"/>
            <w:tcBorders>
              <w:bottom w:val="single" w:sz="8" w:color="D8E0F0"/>
            </w:tcBorders>
            <w:shd w:val="clear" w:color="auto" w:fill="D8E0F0"/>
          </w:tcPr>
          <w:p>
            <w:pPr>
              <w:jc w:val="right"/>
              <w:ind w:right="208"/>
              <w:spacing w:after="0"/>
              <w:rPr>
                <w:sz w:val="20"/>
                <w:szCs w:val="20"/>
                <w:color w:val="auto"/>
              </w:rPr>
            </w:pPr>
            <w:r>
              <w:rPr>
                <w:rFonts w:ascii="Arial" w:cs="Arial" w:eastAsia="Arial" w:hAnsi="Arial"/>
                <w:sz w:val="14"/>
                <w:szCs w:val="14"/>
                <w:color w:val="auto"/>
              </w:rPr>
              <w:t>52,329</w:t>
            </w:r>
          </w:p>
        </w:tc>
      </w:tr>
      <w:tr>
        <w:trPr>
          <w:trHeight w:val="177"/>
        </w:trPr>
        <w:tc>
          <w:tcPr>
            <w:tcW w:w="5400" w:type="dxa"/>
            <w:vAlign w:val="bottom"/>
          </w:tcPr>
          <w:p>
            <w:pPr>
              <w:ind w:left="60"/>
              <w:spacing w:after="0"/>
              <w:rPr>
                <w:sz w:val="20"/>
                <w:szCs w:val="20"/>
                <w:color w:val="auto"/>
              </w:rPr>
            </w:pPr>
            <w:r>
              <w:rPr>
                <w:rFonts w:ascii="Arial" w:cs="Arial" w:eastAsia="Arial" w:hAnsi="Arial"/>
                <w:sz w:val="14"/>
                <w:szCs w:val="14"/>
                <w:color w:val="auto"/>
              </w:rPr>
              <w:t>Mr. Pertz</w:t>
            </w:r>
          </w:p>
        </w:tc>
        <w:tc>
          <w:tcPr>
            <w:tcW w:w="1700" w:type="dxa"/>
            <w:vAlign w:val="bottom"/>
          </w:tcPr>
          <w:p>
            <w:pPr>
              <w:jc w:val="right"/>
              <w:ind w:right="348"/>
              <w:spacing w:after="0"/>
              <w:rPr>
                <w:sz w:val="20"/>
                <w:szCs w:val="20"/>
                <w:color w:val="auto"/>
              </w:rPr>
            </w:pPr>
            <w:r>
              <w:rPr>
                <w:rFonts w:ascii="Arial" w:cs="Arial" w:eastAsia="Arial" w:hAnsi="Arial"/>
                <w:sz w:val="14"/>
                <w:szCs w:val="14"/>
                <w:color w:val="auto"/>
              </w:rPr>
              <w:t>10,416</w:t>
            </w:r>
          </w:p>
        </w:tc>
        <w:tc>
          <w:tcPr>
            <w:tcW w:w="1720" w:type="dxa"/>
            <w:vAlign w:val="bottom"/>
          </w:tcPr>
          <w:p>
            <w:pPr>
              <w:jc w:val="right"/>
              <w:ind w:right="50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10,416</w:t>
            </w:r>
          </w:p>
        </w:tc>
      </w:tr>
      <w:tr>
        <w:trPr>
          <w:trHeight w:val="26"/>
        </w:trPr>
        <w:tc>
          <w:tcPr>
            <w:tcW w:w="54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96"/>
        </w:trPr>
        <w:tc>
          <w:tcPr>
            <w:tcW w:w="5400" w:type="dxa"/>
            <w:vAlign w:val="bottom"/>
            <w:tcBorders>
              <w:bottom w:val="single" w:sz="8" w:color="D8E0F0"/>
            </w:tcBorders>
            <w:shd w:val="clear" w:color="auto" w:fill="D8E0F0"/>
          </w:tcPr>
          <w:p>
            <w:pPr>
              <w:ind w:left="60"/>
              <w:spacing w:after="0"/>
              <w:rPr>
                <w:sz w:val="20"/>
                <w:szCs w:val="20"/>
                <w:color w:val="auto"/>
              </w:rPr>
            </w:pPr>
            <w:r>
              <w:rPr>
                <w:rFonts w:ascii="Arial" w:cs="Arial" w:eastAsia="Arial" w:hAnsi="Arial"/>
                <w:sz w:val="14"/>
                <w:szCs w:val="14"/>
                <w:color w:val="auto"/>
              </w:rPr>
              <w:t>Mr. Zukerman</w:t>
            </w:r>
          </w:p>
        </w:tc>
        <w:tc>
          <w:tcPr>
            <w:tcW w:w="1700" w:type="dxa"/>
            <w:vAlign w:val="bottom"/>
            <w:tcBorders>
              <w:bottom w:val="single" w:sz="8" w:color="D8E0F0"/>
            </w:tcBorders>
            <w:shd w:val="clear" w:color="auto" w:fill="D8E0F0"/>
          </w:tcPr>
          <w:p>
            <w:pPr>
              <w:jc w:val="right"/>
              <w:ind w:right="348"/>
              <w:spacing w:after="0"/>
              <w:rPr>
                <w:sz w:val="20"/>
                <w:szCs w:val="20"/>
                <w:color w:val="auto"/>
              </w:rPr>
            </w:pPr>
            <w:r>
              <w:rPr>
                <w:rFonts w:ascii="Arial" w:cs="Arial" w:eastAsia="Arial" w:hAnsi="Arial"/>
                <w:sz w:val="14"/>
                <w:szCs w:val="14"/>
                <w:color w:val="auto"/>
              </w:rPr>
              <w:t>—</w:t>
            </w:r>
          </w:p>
        </w:tc>
        <w:tc>
          <w:tcPr>
            <w:tcW w:w="1720" w:type="dxa"/>
            <w:vAlign w:val="bottom"/>
            <w:tcBorders>
              <w:bottom w:val="single" w:sz="8" w:color="D8E0F0"/>
            </w:tcBorders>
            <w:shd w:val="clear" w:color="auto" w:fill="D8E0F0"/>
          </w:tcPr>
          <w:p>
            <w:pPr>
              <w:jc w:val="right"/>
              <w:ind w:right="508"/>
              <w:spacing w:after="0"/>
              <w:rPr>
                <w:sz w:val="20"/>
                <w:szCs w:val="20"/>
                <w:color w:val="auto"/>
              </w:rPr>
            </w:pPr>
            <w:r>
              <w:rPr>
                <w:rFonts w:ascii="Arial" w:cs="Arial" w:eastAsia="Arial" w:hAnsi="Arial"/>
                <w:sz w:val="14"/>
                <w:szCs w:val="14"/>
                <w:color w:val="auto"/>
              </w:rPr>
              <w:t>4,886</w:t>
            </w:r>
          </w:p>
        </w:tc>
        <w:tc>
          <w:tcPr>
            <w:tcW w:w="1300" w:type="dxa"/>
            <w:vAlign w:val="bottom"/>
            <w:tcBorders>
              <w:bottom w:val="single" w:sz="8" w:color="D8E0F0"/>
            </w:tcBorders>
            <w:shd w:val="clear" w:color="auto" w:fill="D8E0F0"/>
          </w:tcPr>
          <w:p>
            <w:pPr>
              <w:jc w:val="right"/>
              <w:ind w:right="208"/>
              <w:spacing w:after="0"/>
              <w:rPr>
                <w:sz w:val="20"/>
                <w:szCs w:val="20"/>
                <w:color w:val="auto"/>
              </w:rPr>
            </w:pPr>
            <w:r>
              <w:rPr>
                <w:rFonts w:ascii="Arial" w:cs="Arial" w:eastAsia="Arial" w:hAnsi="Arial"/>
                <w:sz w:val="14"/>
                <w:szCs w:val="14"/>
                <w:color w:val="auto"/>
              </w:rPr>
              <w:t>4,886</w:t>
            </w:r>
          </w:p>
        </w:tc>
      </w:tr>
      <w:tr>
        <w:trPr>
          <w:trHeight w:val="20"/>
        </w:trPr>
        <w:tc>
          <w:tcPr>
            <w:tcW w:w="5400" w:type="dxa"/>
            <w:vAlign w:val="bottom"/>
            <w:shd w:val="clear" w:color="auto" w:fill="0033A0"/>
          </w:tcPr>
          <w:p>
            <w:pPr>
              <w:spacing w:after="0" w:line="20" w:lineRule="exact"/>
              <w:rPr>
                <w:sz w:val="1"/>
                <w:szCs w:val="1"/>
                <w:color w:val="auto"/>
              </w:rPr>
            </w:pPr>
          </w:p>
        </w:tc>
        <w:tc>
          <w:tcPr>
            <w:tcW w:w="1700" w:type="dxa"/>
            <w:vAlign w:val="bottom"/>
            <w:shd w:val="clear" w:color="auto" w:fill="0033A0"/>
          </w:tcPr>
          <w:p>
            <w:pPr>
              <w:spacing w:after="0" w:line="20" w:lineRule="exact"/>
              <w:rPr>
                <w:sz w:val="1"/>
                <w:szCs w:val="1"/>
                <w:color w:val="auto"/>
              </w:rPr>
            </w:pPr>
          </w:p>
        </w:tc>
        <w:tc>
          <w:tcPr>
            <w:tcW w:w="1720" w:type="dxa"/>
            <w:vAlign w:val="bottom"/>
            <w:shd w:val="clear" w:color="auto" w:fill="0033A0"/>
          </w:tcPr>
          <w:p>
            <w:pPr>
              <w:spacing w:after="0" w:line="20" w:lineRule="exact"/>
              <w:rPr>
                <w:sz w:val="1"/>
                <w:szCs w:val="1"/>
                <w:color w:val="auto"/>
              </w:rPr>
            </w:pPr>
          </w:p>
        </w:tc>
        <w:tc>
          <w:tcPr>
            <w:tcW w:w="1300" w:type="dxa"/>
            <w:vAlign w:val="bottom"/>
            <w:shd w:val="clear" w:color="auto" w:fill="0033A0"/>
          </w:tcPr>
          <w:p>
            <w:pPr>
              <w:spacing w:after="0" w:line="20" w:lineRule="exact"/>
              <w:rPr>
                <w:sz w:val="1"/>
                <w:szCs w:val="1"/>
                <w:color w:val="auto"/>
              </w:rPr>
            </w:pPr>
          </w:p>
        </w:tc>
      </w:tr>
    </w:tbl>
    <w:p>
      <w:pPr>
        <w:spacing w:after="0" w:line="5" w:lineRule="exact"/>
        <w:rPr>
          <w:sz w:val="20"/>
          <w:szCs w:val="20"/>
          <w:color w:val="auto"/>
        </w:rPr>
      </w:pPr>
    </w:p>
    <w:p>
      <w:pPr>
        <w:ind w:left="960" w:right="140"/>
        <w:spacing w:after="0" w:line="258" w:lineRule="auto"/>
        <w:rPr>
          <w:sz w:val="20"/>
          <w:szCs w:val="20"/>
          <w:color w:val="auto"/>
        </w:rPr>
      </w:pPr>
      <w:r>
        <w:rPr>
          <w:rFonts w:ascii="Arial" w:cs="Arial" w:eastAsia="Arial" w:hAnsi="Arial"/>
          <w:sz w:val="14"/>
          <w:szCs w:val="14"/>
          <w:color w:val="auto"/>
        </w:rPr>
        <w:t>For additional information about the Deferred Compensation Units, see “Non-qualified Deferred Compensation” on page 55 and “Grants of Plan-Based Awards” on page 47.</w:t>
      </w:r>
    </w:p>
    <w:p>
      <w:pPr>
        <w:ind w:left="520" w:hanging="316"/>
        <w:spacing w:after="0" w:line="181" w:lineRule="auto"/>
        <w:tabs>
          <w:tab w:leader="none" w:pos="520" w:val="left"/>
        </w:tabs>
        <w:numPr>
          <w:ilvl w:val="0"/>
          <w:numId w:val="86"/>
        </w:numPr>
        <w:rPr>
          <w:rFonts w:ascii="Arial" w:cs="Arial" w:eastAsia="Arial" w:hAnsi="Arial"/>
          <w:sz w:val="22"/>
          <w:szCs w:val="22"/>
          <w:color w:val="auto"/>
          <w:vertAlign w:val="superscript"/>
        </w:rPr>
      </w:pPr>
      <w:r>
        <w:rPr>
          <w:rFonts w:ascii="Arial" w:cs="Arial" w:eastAsia="Arial" w:hAnsi="Arial"/>
          <w:sz w:val="13"/>
          <w:szCs w:val="13"/>
          <w:color w:val="auto"/>
        </w:rPr>
        <w:t>Includes 400 shares held by trusts for the benefit of Mr. Marshall’s children. Mr. Marshall no longer served as an executive officer as of January 1, 2019.</w:t>
      </w:r>
    </w:p>
    <w:p>
      <w:pPr>
        <w:spacing w:after="0" w:line="30" w:lineRule="exact"/>
        <w:rPr>
          <w:rFonts w:ascii="Arial" w:cs="Arial" w:eastAsia="Arial" w:hAnsi="Arial"/>
          <w:sz w:val="22"/>
          <w:szCs w:val="22"/>
          <w:color w:val="auto"/>
          <w:vertAlign w:val="superscript"/>
        </w:rPr>
      </w:pPr>
    </w:p>
    <w:p>
      <w:pPr>
        <w:ind w:left="520" w:right="700" w:hanging="316"/>
        <w:spacing w:after="0" w:line="183" w:lineRule="auto"/>
        <w:tabs>
          <w:tab w:leader="none" w:pos="520" w:val="left"/>
        </w:tabs>
        <w:numPr>
          <w:ilvl w:val="0"/>
          <w:numId w:val="86"/>
        </w:numPr>
        <w:rPr>
          <w:rFonts w:ascii="Arial" w:cs="Arial" w:eastAsia="Arial" w:hAnsi="Arial"/>
          <w:sz w:val="24"/>
          <w:szCs w:val="24"/>
          <w:color w:val="auto"/>
          <w:vertAlign w:val="superscript"/>
        </w:rPr>
      </w:pPr>
      <w:r>
        <w:rPr>
          <w:rFonts w:ascii="Arial" w:cs="Arial" w:eastAsia="Arial" w:hAnsi="Arial"/>
          <w:sz w:val="14"/>
          <w:szCs w:val="14"/>
          <w:color w:val="auto"/>
        </w:rPr>
        <w:t>Includes 5,000 shares held by a trust for the benefit of Mr. Pertz’s spouse and 2,200 shares held by an Individual Retirement Account (“IRA”) for the benefit of Mr. Pertz’s spouse.</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auto"/>
        </w:rPr>
        <w:t>Certain Beneficial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68580</wp:posOffset>
            </wp:positionV>
            <wp:extent cx="699770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8" w:lineRule="exact"/>
        <w:rPr>
          <w:sz w:val="20"/>
          <w:szCs w:val="20"/>
          <w:color w:val="auto"/>
        </w:rPr>
      </w:pPr>
    </w:p>
    <w:p>
      <w:pPr>
        <w:ind w:left="200" w:right="540"/>
        <w:spacing w:after="0" w:line="246" w:lineRule="auto"/>
        <w:rPr>
          <w:sz w:val="20"/>
          <w:szCs w:val="20"/>
          <w:color w:val="auto"/>
        </w:rPr>
      </w:pPr>
      <w:r>
        <w:rPr>
          <w:rFonts w:ascii="Arial" w:cs="Arial" w:eastAsia="Arial" w:hAnsi="Arial"/>
          <w:sz w:val="18"/>
          <w:szCs w:val="18"/>
          <w:color w:val="auto"/>
        </w:rPr>
        <w:t>The following table sets forth the only persons known to the Company to be deemed beneficial owners of five percent or more of the outstanding Brink’s Common Stock as of the dates set forth in the footnotes to the table:</w:t>
      </w:r>
    </w:p>
    <w:p>
      <w:pPr>
        <w:spacing w:after="0" w:line="212"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7700" w:type="dxa"/>
            <w:vAlign w:val="bottom"/>
            <w:gridSpan w:val="2"/>
          </w:tcPr>
          <w:p>
            <w:pPr>
              <w:ind w:left="60"/>
              <w:spacing w:after="0"/>
              <w:rPr>
                <w:sz w:val="20"/>
                <w:szCs w:val="20"/>
                <w:color w:val="auto"/>
              </w:rPr>
            </w:pPr>
            <w:r>
              <w:rPr>
                <w:rFonts w:ascii="Arial" w:cs="Arial" w:eastAsia="Arial" w:hAnsi="Arial"/>
                <w:sz w:val="14"/>
                <w:szCs w:val="14"/>
                <w:b w:val="1"/>
                <w:bCs w:val="1"/>
                <w:color w:val="0033A0"/>
              </w:rPr>
              <w:t>Name and Address</w:t>
            </w:r>
          </w:p>
        </w:tc>
        <w:tc>
          <w:tcPr>
            <w:tcW w:w="2060" w:type="dxa"/>
            <w:vAlign w:val="bottom"/>
          </w:tcPr>
          <w:p>
            <w:pPr>
              <w:jc w:val="right"/>
              <w:ind w:right="177"/>
              <w:spacing w:after="0"/>
              <w:rPr>
                <w:sz w:val="20"/>
                <w:szCs w:val="20"/>
                <w:color w:val="auto"/>
              </w:rPr>
            </w:pPr>
            <w:r>
              <w:rPr>
                <w:rFonts w:ascii="Arial" w:cs="Arial" w:eastAsia="Arial" w:hAnsi="Arial"/>
                <w:sz w:val="14"/>
                <w:szCs w:val="14"/>
                <w:b w:val="1"/>
                <w:bCs w:val="1"/>
                <w:color w:val="0033A0"/>
              </w:rPr>
              <w:t>Number of Shares</w:t>
            </w:r>
          </w:p>
        </w:tc>
        <w:tc>
          <w:tcPr>
            <w:tcW w:w="1260" w:type="dxa"/>
            <w:vAlign w:val="bottom"/>
          </w:tcPr>
          <w:p>
            <w:pPr>
              <w:jc w:val="right"/>
              <w:ind w:right="319"/>
              <w:spacing w:after="0"/>
              <w:rPr>
                <w:sz w:val="20"/>
                <w:szCs w:val="20"/>
                <w:color w:val="auto"/>
              </w:rPr>
            </w:pPr>
            <w:r>
              <w:rPr>
                <w:rFonts w:ascii="Arial" w:cs="Arial" w:eastAsia="Arial" w:hAnsi="Arial"/>
                <w:sz w:val="14"/>
                <w:szCs w:val="14"/>
                <w:b w:val="1"/>
                <w:bCs w:val="1"/>
                <w:color w:val="0033A0"/>
              </w:rPr>
              <w:t>Percent</w:t>
            </w:r>
          </w:p>
        </w:tc>
      </w:tr>
      <w:tr>
        <w:trPr>
          <w:trHeight w:val="189"/>
        </w:trPr>
        <w:tc>
          <w:tcPr>
            <w:tcW w:w="7700" w:type="dxa"/>
            <w:vAlign w:val="bottom"/>
            <w:tcBorders>
              <w:bottom w:val="single" w:sz="8" w:color="0033A0"/>
            </w:tcBorders>
            <w:gridSpan w:val="2"/>
          </w:tcPr>
          <w:p>
            <w:pPr>
              <w:ind w:left="60"/>
              <w:spacing w:after="0"/>
              <w:rPr>
                <w:sz w:val="20"/>
                <w:szCs w:val="20"/>
                <w:color w:val="auto"/>
              </w:rPr>
            </w:pPr>
            <w:r>
              <w:rPr>
                <w:rFonts w:ascii="Arial" w:cs="Arial" w:eastAsia="Arial" w:hAnsi="Arial"/>
                <w:sz w:val="14"/>
                <w:szCs w:val="14"/>
                <w:b w:val="1"/>
                <w:bCs w:val="1"/>
                <w:color w:val="0033A0"/>
              </w:rPr>
              <w:t>of Beneficial Owner</w:t>
            </w:r>
          </w:p>
        </w:tc>
        <w:tc>
          <w:tcPr>
            <w:tcW w:w="2060" w:type="dxa"/>
            <w:vAlign w:val="bottom"/>
            <w:tcBorders>
              <w:bottom w:val="single" w:sz="8" w:color="0033A0"/>
            </w:tcBorders>
          </w:tcPr>
          <w:p>
            <w:pPr>
              <w:jc w:val="right"/>
              <w:ind w:right="137"/>
              <w:spacing w:after="0"/>
              <w:rPr>
                <w:sz w:val="20"/>
                <w:szCs w:val="20"/>
                <w:color w:val="auto"/>
              </w:rPr>
            </w:pPr>
            <w:r>
              <w:rPr>
                <w:rFonts w:ascii="Arial" w:cs="Arial" w:eastAsia="Arial" w:hAnsi="Arial"/>
                <w:sz w:val="14"/>
                <w:szCs w:val="14"/>
                <w:b w:val="1"/>
                <w:bCs w:val="1"/>
                <w:color w:val="0033A0"/>
              </w:rPr>
              <w:t>Beneficially Owned</w:t>
            </w:r>
          </w:p>
        </w:tc>
        <w:tc>
          <w:tcPr>
            <w:tcW w:w="1260" w:type="dxa"/>
            <w:vAlign w:val="bottom"/>
            <w:tcBorders>
              <w:bottom w:val="single" w:sz="8" w:color="0033A0"/>
            </w:tcBorders>
          </w:tcPr>
          <w:p>
            <w:pPr>
              <w:jc w:val="right"/>
              <w:ind w:right="219"/>
              <w:spacing w:after="0" w:line="189" w:lineRule="exact"/>
              <w:rPr>
                <w:sz w:val="20"/>
                <w:szCs w:val="20"/>
                <w:color w:val="auto"/>
              </w:rPr>
            </w:pPr>
            <w:r>
              <w:rPr>
                <w:rFonts w:ascii="Arial" w:cs="Arial" w:eastAsia="Arial" w:hAnsi="Arial"/>
                <w:sz w:val="13"/>
                <w:szCs w:val="13"/>
                <w:b w:val="1"/>
                <w:bCs w:val="1"/>
                <w:color w:val="0033A0"/>
              </w:rPr>
              <w:t>of Class</w:t>
            </w:r>
            <w:r>
              <w:rPr>
                <w:rFonts w:ascii="Arial" w:cs="Arial" w:eastAsia="Arial" w:hAnsi="Arial"/>
                <w:sz w:val="21"/>
                <w:szCs w:val="21"/>
                <w:b w:val="1"/>
                <w:bCs w:val="1"/>
                <w:color w:val="0033A0"/>
                <w:vertAlign w:val="superscript"/>
              </w:rPr>
              <w:t>(a)</w:t>
            </w:r>
          </w:p>
        </w:tc>
      </w:tr>
      <w:tr>
        <w:trPr>
          <w:trHeight w:val="21"/>
        </w:trPr>
        <w:tc>
          <w:tcPr>
            <w:tcW w:w="174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9"/>
        </w:trPr>
        <w:tc>
          <w:tcPr>
            <w:tcW w:w="7700" w:type="dxa"/>
            <w:vAlign w:val="bottom"/>
            <w:gridSpan w:val="2"/>
            <w:shd w:val="clear" w:color="auto" w:fill="E5EAF5"/>
          </w:tcPr>
          <w:p>
            <w:pPr>
              <w:ind w:left="60"/>
              <w:spacing w:after="0" w:line="199" w:lineRule="exact"/>
              <w:rPr>
                <w:sz w:val="20"/>
                <w:szCs w:val="20"/>
                <w:color w:val="auto"/>
              </w:rPr>
            </w:pPr>
            <w:r>
              <w:rPr>
                <w:rFonts w:ascii="Arial" w:cs="Arial" w:eastAsia="Arial" w:hAnsi="Arial"/>
                <w:sz w:val="18"/>
                <w:szCs w:val="18"/>
                <w:color w:val="auto"/>
              </w:rPr>
              <w:t>BlackRock, Inc.</w:t>
            </w:r>
          </w:p>
        </w:tc>
        <w:tc>
          <w:tcPr>
            <w:tcW w:w="2060" w:type="dxa"/>
            <w:vAlign w:val="bottom"/>
            <w:shd w:val="clear" w:color="auto" w:fill="E5EAF5"/>
          </w:tcPr>
          <w:p>
            <w:pPr>
              <w:jc w:val="right"/>
              <w:ind w:right="137"/>
              <w:spacing w:after="0" w:line="199" w:lineRule="exact"/>
              <w:rPr>
                <w:sz w:val="20"/>
                <w:szCs w:val="20"/>
                <w:color w:val="auto"/>
              </w:rPr>
            </w:pPr>
            <w:r>
              <w:rPr>
                <w:rFonts w:ascii="Arial" w:cs="Arial" w:eastAsia="Arial" w:hAnsi="Arial"/>
                <w:sz w:val="18"/>
                <w:szCs w:val="18"/>
                <w:color w:val="auto"/>
              </w:rPr>
              <w:t>5,745,222</w:t>
            </w:r>
            <w:r>
              <w:rPr>
                <w:rFonts w:ascii="Arial" w:cs="Arial" w:eastAsia="Arial" w:hAnsi="Arial"/>
                <w:sz w:val="15"/>
                <w:szCs w:val="15"/>
                <w:color w:val="auto"/>
              </w:rPr>
              <w:t>(b)</w:t>
            </w:r>
          </w:p>
        </w:tc>
        <w:tc>
          <w:tcPr>
            <w:tcW w:w="1260" w:type="dxa"/>
            <w:vAlign w:val="bottom"/>
            <w:shd w:val="clear" w:color="auto" w:fill="E5EAF5"/>
          </w:tcPr>
          <w:p>
            <w:pPr>
              <w:jc w:val="right"/>
              <w:ind w:right="159"/>
              <w:spacing w:after="0" w:line="199" w:lineRule="exact"/>
              <w:rPr>
                <w:sz w:val="20"/>
                <w:szCs w:val="20"/>
                <w:color w:val="auto"/>
              </w:rPr>
            </w:pPr>
            <w:r>
              <w:rPr>
                <w:rFonts w:ascii="Arial" w:cs="Arial" w:eastAsia="Arial" w:hAnsi="Arial"/>
                <w:sz w:val="18"/>
                <w:szCs w:val="18"/>
                <w:color w:val="auto"/>
              </w:rPr>
              <w:t>11.56%</w:t>
            </w:r>
            <w:r>
              <w:rPr>
                <w:rFonts w:ascii="Arial" w:cs="Arial" w:eastAsia="Arial" w:hAnsi="Arial"/>
                <w:sz w:val="15"/>
                <w:szCs w:val="15"/>
                <w:color w:val="auto"/>
              </w:rPr>
              <w:t>(b)</w:t>
            </w:r>
          </w:p>
        </w:tc>
      </w:tr>
      <w:tr>
        <w:trPr>
          <w:trHeight w:val="205"/>
        </w:trPr>
        <w:tc>
          <w:tcPr>
            <w:tcW w:w="7700" w:type="dxa"/>
            <w:vAlign w:val="bottom"/>
            <w:gridSpan w:val="2"/>
            <w:shd w:val="clear" w:color="auto" w:fill="E5EAF5"/>
          </w:tcPr>
          <w:p>
            <w:pPr>
              <w:ind w:left="260"/>
              <w:spacing w:after="0" w:line="205" w:lineRule="exact"/>
              <w:rPr>
                <w:sz w:val="20"/>
                <w:szCs w:val="20"/>
                <w:color w:val="auto"/>
              </w:rPr>
            </w:pPr>
            <w:r>
              <w:rPr>
                <w:rFonts w:ascii="Arial" w:cs="Arial" w:eastAsia="Arial" w:hAnsi="Arial"/>
                <w:sz w:val="18"/>
                <w:szCs w:val="18"/>
                <w:color w:val="auto"/>
              </w:rPr>
              <w:t>55 East 52</w:t>
            </w:r>
            <w:r>
              <w:rPr>
                <w:rFonts w:ascii="Arial" w:cs="Arial" w:eastAsia="Arial" w:hAnsi="Arial"/>
                <w:sz w:val="15"/>
                <w:szCs w:val="15"/>
                <w:color w:val="auto"/>
              </w:rPr>
              <w:t>nd</w:t>
            </w:r>
            <w:r>
              <w:rPr>
                <w:rFonts w:ascii="Arial" w:cs="Arial" w:eastAsia="Arial" w:hAnsi="Arial"/>
                <w:sz w:val="18"/>
                <w:szCs w:val="18"/>
                <w:color w:val="auto"/>
              </w:rPr>
              <w:t xml:space="preserve"> Street</w:t>
            </w:r>
          </w:p>
        </w:tc>
        <w:tc>
          <w:tcPr>
            <w:tcW w:w="2060" w:type="dxa"/>
            <w:vAlign w:val="bottom"/>
            <w:shd w:val="clear" w:color="auto" w:fill="E5EAF5"/>
          </w:tcPr>
          <w:p>
            <w:pPr>
              <w:spacing w:after="0"/>
              <w:rPr>
                <w:sz w:val="17"/>
                <w:szCs w:val="17"/>
                <w:color w:val="auto"/>
              </w:rPr>
            </w:pPr>
          </w:p>
        </w:tc>
        <w:tc>
          <w:tcPr>
            <w:tcW w:w="1260" w:type="dxa"/>
            <w:vAlign w:val="bottom"/>
            <w:shd w:val="clear" w:color="auto" w:fill="E5EAF5"/>
          </w:tcPr>
          <w:p>
            <w:pPr>
              <w:spacing w:after="0"/>
              <w:rPr>
                <w:sz w:val="17"/>
                <w:szCs w:val="17"/>
                <w:color w:val="auto"/>
              </w:rPr>
            </w:pPr>
          </w:p>
        </w:tc>
      </w:tr>
      <w:tr>
        <w:trPr>
          <w:trHeight w:val="237"/>
        </w:trPr>
        <w:tc>
          <w:tcPr>
            <w:tcW w:w="7700" w:type="dxa"/>
            <w:vAlign w:val="bottom"/>
            <w:tcBorders>
              <w:bottom w:val="single" w:sz="8" w:color="E5EAF5"/>
            </w:tcBorders>
            <w:gridSpan w:val="2"/>
            <w:shd w:val="clear" w:color="auto" w:fill="E5EAF5"/>
          </w:tcPr>
          <w:p>
            <w:pPr>
              <w:ind w:left="260"/>
              <w:spacing w:after="0"/>
              <w:rPr>
                <w:sz w:val="20"/>
                <w:szCs w:val="20"/>
                <w:color w:val="auto"/>
              </w:rPr>
            </w:pPr>
            <w:r>
              <w:rPr>
                <w:rFonts w:ascii="Arial" w:cs="Arial" w:eastAsia="Arial" w:hAnsi="Arial"/>
                <w:sz w:val="18"/>
                <w:szCs w:val="18"/>
                <w:color w:val="auto"/>
              </w:rPr>
              <w:t>New York, NY 10055</w:t>
            </w:r>
          </w:p>
        </w:tc>
        <w:tc>
          <w:tcPr>
            <w:tcW w:w="2060" w:type="dxa"/>
            <w:vAlign w:val="bottom"/>
            <w:tcBorders>
              <w:bottom w:val="single" w:sz="8" w:color="E5EAF5"/>
            </w:tcBorders>
            <w:shd w:val="clear" w:color="auto" w:fill="E5EAF5"/>
          </w:tcPr>
          <w:p>
            <w:pPr>
              <w:spacing w:after="0"/>
              <w:rPr>
                <w:sz w:val="20"/>
                <w:szCs w:val="20"/>
                <w:color w:val="auto"/>
              </w:rPr>
            </w:pPr>
          </w:p>
        </w:tc>
        <w:tc>
          <w:tcPr>
            <w:tcW w:w="1260" w:type="dxa"/>
            <w:vAlign w:val="bottom"/>
            <w:tcBorders>
              <w:bottom w:val="single" w:sz="8" w:color="E5EAF5"/>
            </w:tcBorders>
            <w:shd w:val="clear" w:color="auto" w:fill="E5EAF5"/>
          </w:tcPr>
          <w:p>
            <w:pPr>
              <w:spacing w:after="0"/>
              <w:rPr>
                <w:sz w:val="20"/>
                <w:szCs w:val="20"/>
                <w:color w:val="auto"/>
              </w:rPr>
            </w:pPr>
          </w:p>
        </w:tc>
      </w:tr>
      <w:tr>
        <w:trPr>
          <w:trHeight w:val="202"/>
        </w:trPr>
        <w:tc>
          <w:tcPr>
            <w:tcW w:w="7700" w:type="dxa"/>
            <w:vAlign w:val="bottom"/>
            <w:gridSpan w:val="2"/>
          </w:tcPr>
          <w:p>
            <w:pPr>
              <w:ind w:left="60"/>
              <w:spacing w:after="0" w:line="201" w:lineRule="exact"/>
              <w:rPr>
                <w:sz w:val="20"/>
                <w:szCs w:val="20"/>
                <w:color w:val="auto"/>
              </w:rPr>
            </w:pPr>
            <w:r>
              <w:rPr>
                <w:rFonts w:ascii="Arial" w:cs="Arial" w:eastAsia="Arial" w:hAnsi="Arial"/>
                <w:sz w:val="18"/>
                <w:szCs w:val="18"/>
                <w:color w:val="auto"/>
              </w:rPr>
              <w:t>The Vanguard Group</w:t>
            </w:r>
          </w:p>
        </w:tc>
        <w:tc>
          <w:tcPr>
            <w:tcW w:w="2060" w:type="dxa"/>
            <w:vAlign w:val="bottom"/>
          </w:tcPr>
          <w:p>
            <w:pPr>
              <w:jc w:val="right"/>
              <w:ind w:right="137"/>
              <w:spacing w:after="0" w:line="201" w:lineRule="exact"/>
              <w:rPr>
                <w:sz w:val="20"/>
                <w:szCs w:val="20"/>
                <w:color w:val="auto"/>
              </w:rPr>
            </w:pPr>
            <w:r>
              <w:rPr>
                <w:rFonts w:ascii="Arial" w:cs="Arial" w:eastAsia="Arial" w:hAnsi="Arial"/>
                <w:sz w:val="18"/>
                <w:szCs w:val="18"/>
                <w:color w:val="auto"/>
              </w:rPr>
              <w:t>4,545,320</w:t>
            </w:r>
            <w:r>
              <w:rPr>
                <w:rFonts w:ascii="Arial" w:cs="Arial" w:eastAsia="Arial" w:hAnsi="Arial"/>
                <w:sz w:val="15"/>
                <w:szCs w:val="15"/>
                <w:color w:val="auto"/>
              </w:rPr>
              <w:t>(c)</w:t>
            </w:r>
          </w:p>
        </w:tc>
        <w:tc>
          <w:tcPr>
            <w:tcW w:w="1260" w:type="dxa"/>
            <w:vAlign w:val="bottom"/>
          </w:tcPr>
          <w:p>
            <w:pPr>
              <w:jc w:val="right"/>
              <w:ind w:right="159"/>
              <w:spacing w:after="0" w:line="201" w:lineRule="exact"/>
              <w:rPr>
                <w:sz w:val="20"/>
                <w:szCs w:val="20"/>
                <w:color w:val="auto"/>
              </w:rPr>
            </w:pPr>
            <w:r>
              <w:rPr>
                <w:rFonts w:ascii="Arial" w:cs="Arial" w:eastAsia="Arial" w:hAnsi="Arial"/>
                <w:sz w:val="18"/>
                <w:szCs w:val="18"/>
                <w:color w:val="auto"/>
              </w:rPr>
              <w:t>9.14%</w:t>
            </w:r>
            <w:r>
              <w:rPr>
                <w:rFonts w:ascii="Arial" w:cs="Arial" w:eastAsia="Arial" w:hAnsi="Arial"/>
                <w:sz w:val="15"/>
                <w:szCs w:val="15"/>
                <w:color w:val="auto"/>
              </w:rPr>
              <w:t>(c)</w:t>
            </w:r>
          </w:p>
        </w:tc>
      </w:tr>
      <w:tr>
        <w:trPr>
          <w:trHeight w:val="203"/>
        </w:trPr>
        <w:tc>
          <w:tcPr>
            <w:tcW w:w="770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100 Vanguard Boulevard</w:t>
            </w:r>
          </w:p>
        </w:tc>
        <w:tc>
          <w:tcPr>
            <w:tcW w:w="20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7"/>
        </w:trPr>
        <w:tc>
          <w:tcPr>
            <w:tcW w:w="7700" w:type="dxa"/>
            <w:vAlign w:val="bottom"/>
            <w:gridSpan w:val="2"/>
          </w:tcPr>
          <w:p>
            <w:pPr>
              <w:ind w:left="260"/>
              <w:spacing w:after="0"/>
              <w:rPr>
                <w:sz w:val="20"/>
                <w:szCs w:val="20"/>
                <w:color w:val="auto"/>
              </w:rPr>
            </w:pPr>
            <w:r>
              <w:rPr>
                <w:rFonts w:ascii="Arial" w:cs="Arial" w:eastAsia="Arial" w:hAnsi="Arial"/>
                <w:sz w:val="18"/>
                <w:szCs w:val="18"/>
                <w:color w:val="auto"/>
              </w:rPr>
              <w:t>Malvern, PA 19355</w:t>
            </w:r>
          </w:p>
        </w:tc>
        <w:tc>
          <w:tcPr>
            <w:tcW w:w="20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41"/>
        </w:trPr>
        <w:tc>
          <w:tcPr>
            <w:tcW w:w="1740" w:type="dxa"/>
            <w:vAlign w:val="bottom"/>
          </w:tcPr>
          <w:p>
            <w:pPr>
              <w:spacing w:after="0"/>
              <w:rPr>
                <w:sz w:val="3"/>
                <w:szCs w:val="3"/>
                <w:color w:val="auto"/>
              </w:rPr>
            </w:pPr>
          </w:p>
        </w:tc>
        <w:tc>
          <w:tcPr>
            <w:tcW w:w="596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2"/>
        </w:trPr>
        <w:tc>
          <w:tcPr>
            <w:tcW w:w="7700" w:type="dxa"/>
            <w:vAlign w:val="bottom"/>
            <w:gridSpan w:val="2"/>
            <w:shd w:val="clear" w:color="auto" w:fill="E5EAF5"/>
          </w:tcPr>
          <w:p>
            <w:pPr>
              <w:ind w:left="60"/>
              <w:spacing w:after="0" w:line="201" w:lineRule="exact"/>
              <w:rPr>
                <w:sz w:val="20"/>
                <w:szCs w:val="20"/>
                <w:color w:val="auto"/>
              </w:rPr>
            </w:pPr>
            <w:r>
              <w:rPr>
                <w:rFonts w:ascii="Arial" w:cs="Arial" w:eastAsia="Arial" w:hAnsi="Arial"/>
                <w:sz w:val="18"/>
                <w:szCs w:val="18"/>
                <w:color w:val="auto"/>
              </w:rPr>
              <w:t>T. Rowe Price Associates, Inc.</w:t>
            </w:r>
          </w:p>
        </w:tc>
        <w:tc>
          <w:tcPr>
            <w:tcW w:w="2060" w:type="dxa"/>
            <w:vAlign w:val="bottom"/>
            <w:shd w:val="clear" w:color="auto" w:fill="E5EAF5"/>
          </w:tcPr>
          <w:p>
            <w:pPr>
              <w:jc w:val="right"/>
              <w:ind w:right="137"/>
              <w:spacing w:after="0" w:line="201" w:lineRule="exact"/>
              <w:rPr>
                <w:sz w:val="20"/>
                <w:szCs w:val="20"/>
                <w:color w:val="auto"/>
              </w:rPr>
            </w:pPr>
            <w:r>
              <w:rPr>
                <w:rFonts w:ascii="Arial" w:cs="Arial" w:eastAsia="Arial" w:hAnsi="Arial"/>
                <w:sz w:val="18"/>
                <w:szCs w:val="18"/>
                <w:color w:val="auto"/>
              </w:rPr>
              <w:t>3,392,223</w:t>
            </w:r>
            <w:r>
              <w:rPr>
                <w:rFonts w:ascii="Arial" w:cs="Arial" w:eastAsia="Arial" w:hAnsi="Arial"/>
                <w:sz w:val="15"/>
                <w:szCs w:val="15"/>
                <w:color w:val="auto"/>
              </w:rPr>
              <w:t>(d)</w:t>
            </w:r>
          </w:p>
        </w:tc>
        <w:tc>
          <w:tcPr>
            <w:tcW w:w="1260" w:type="dxa"/>
            <w:vAlign w:val="bottom"/>
            <w:shd w:val="clear" w:color="auto" w:fill="E5EAF5"/>
          </w:tcPr>
          <w:p>
            <w:pPr>
              <w:jc w:val="right"/>
              <w:ind w:right="159"/>
              <w:spacing w:after="0" w:line="201" w:lineRule="exact"/>
              <w:rPr>
                <w:sz w:val="20"/>
                <w:szCs w:val="20"/>
                <w:color w:val="auto"/>
              </w:rPr>
            </w:pPr>
            <w:r>
              <w:rPr>
                <w:rFonts w:ascii="Arial" w:cs="Arial" w:eastAsia="Arial" w:hAnsi="Arial"/>
                <w:sz w:val="18"/>
                <w:szCs w:val="18"/>
                <w:color w:val="auto"/>
              </w:rPr>
              <w:t>6.82%</w:t>
            </w:r>
            <w:r>
              <w:rPr>
                <w:rFonts w:ascii="Arial" w:cs="Arial" w:eastAsia="Arial" w:hAnsi="Arial"/>
                <w:sz w:val="15"/>
                <w:szCs w:val="15"/>
                <w:color w:val="auto"/>
              </w:rPr>
              <w:t>(d)</w:t>
            </w:r>
          </w:p>
        </w:tc>
      </w:tr>
      <w:tr>
        <w:trPr>
          <w:trHeight w:val="203"/>
        </w:trPr>
        <w:tc>
          <w:tcPr>
            <w:tcW w:w="7700" w:type="dxa"/>
            <w:vAlign w:val="bottom"/>
            <w:gridSpan w:val="2"/>
            <w:shd w:val="clear" w:color="auto" w:fill="E5EAF5"/>
          </w:tcPr>
          <w:p>
            <w:pPr>
              <w:ind w:left="260"/>
              <w:spacing w:after="0" w:line="202" w:lineRule="exact"/>
              <w:rPr>
                <w:sz w:val="20"/>
                <w:szCs w:val="20"/>
                <w:color w:val="auto"/>
              </w:rPr>
            </w:pPr>
            <w:r>
              <w:rPr>
                <w:rFonts w:ascii="Arial" w:cs="Arial" w:eastAsia="Arial" w:hAnsi="Arial"/>
                <w:sz w:val="18"/>
                <w:szCs w:val="18"/>
                <w:color w:val="auto"/>
              </w:rPr>
              <w:t>100 E. Pratt St.</w:t>
            </w:r>
          </w:p>
        </w:tc>
        <w:tc>
          <w:tcPr>
            <w:tcW w:w="2060" w:type="dxa"/>
            <w:vAlign w:val="bottom"/>
            <w:shd w:val="clear" w:color="auto" w:fill="E5EAF5"/>
          </w:tcPr>
          <w:p>
            <w:pPr>
              <w:spacing w:after="0"/>
              <w:rPr>
                <w:sz w:val="17"/>
                <w:szCs w:val="17"/>
                <w:color w:val="auto"/>
              </w:rPr>
            </w:pPr>
          </w:p>
        </w:tc>
        <w:tc>
          <w:tcPr>
            <w:tcW w:w="1260" w:type="dxa"/>
            <w:vAlign w:val="bottom"/>
            <w:shd w:val="clear" w:color="auto" w:fill="E5EAF5"/>
          </w:tcPr>
          <w:p>
            <w:pPr>
              <w:spacing w:after="0"/>
              <w:rPr>
                <w:sz w:val="17"/>
                <w:szCs w:val="17"/>
                <w:color w:val="auto"/>
              </w:rPr>
            </w:pPr>
          </w:p>
        </w:tc>
      </w:tr>
      <w:tr>
        <w:trPr>
          <w:trHeight w:val="237"/>
        </w:trPr>
        <w:tc>
          <w:tcPr>
            <w:tcW w:w="7700" w:type="dxa"/>
            <w:vAlign w:val="bottom"/>
            <w:tcBorders>
              <w:bottom w:val="single" w:sz="8" w:color="E5EAF5"/>
            </w:tcBorders>
            <w:gridSpan w:val="2"/>
            <w:shd w:val="clear" w:color="auto" w:fill="E5EAF5"/>
          </w:tcPr>
          <w:p>
            <w:pPr>
              <w:ind w:left="260"/>
              <w:spacing w:after="0"/>
              <w:rPr>
                <w:sz w:val="20"/>
                <w:szCs w:val="20"/>
                <w:color w:val="auto"/>
              </w:rPr>
            </w:pPr>
            <w:r>
              <w:rPr>
                <w:rFonts w:ascii="Arial" w:cs="Arial" w:eastAsia="Arial" w:hAnsi="Arial"/>
                <w:sz w:val="18"/>
                <w:szCs w:val="18"/>
                <w:color w:val="auto"/>
              </w:rPr>
              <w:t>Baltimore, MD 21202</w:t>
            </w:r>
          </w:p>
        </w:tc>
        <w:tc>
          <w:tcPr>
            <w:tcW w:w="2060" w:type="dxa"/>
            <w:vAlign w:val="bottom"/>
            <w:tcBorders>
              <w:bottom w:val="single" w:sz="8" w:color="E5EAF5"/>
            </w:tcBorders>
            <w:shd w:val="clear" w:color="auto" w:fill="E5EAF5"/>
          </w:tcPr>
          <w:p>
            <w:pPr>
              <w:spacing w:after="0"/>
              <w:rPr>
                <w:sz w:val="20"/>
                <w:szCs w:val="20"/>
                <w:color w:val="auto"/>
              </w:rPr>
            </w:pPr>
          </w:p>
        </w:tc>
        <w:tc>
          <w:tcPr>
            <w:tcW w:w="1260" w:type="dxa"/>
            <w:vAlign w:val="bottom"/>
            <w:tcBorders>
              <w:bottom w:val="single" w:sz="8" w:color="E5EAF5"/>
            </w:tcBorders>
            <w:shd w:val="clear" w:color="auto" w:fill="E5EAF5"/>
          </w:tcPr>
          <w:p>
            <w:pPr>
              <w:spacing w:after="0"/>
              <w:rPr>
                <w:sz w:val="20"/>
                <w:szCs w:val="20"/>
                <w:color w:val="auto"/>
              </w:rPr>
            </w:pPr>
          </w:p>
        </w:tc>
      </w:tr>
      <w:tr>
        <w:trPr>
          <w:trHeight w:val="20"/>
        </w:trPr>
        <w:tc>
          <w:tcPr>
            <w:tcW w:w="1740" w:type="dxa"/>
            <w:vAlign w:val="bottom"/>
            <w:tcBorders>
              <w:bottom w:val="single" w:sz="8" w:color="0033A0"/>
            </w:tcBorders>
          </w:tcPr>
          <w:p>
            <w:pPr>
              <w:spacing w:after="0" w:line="20" w:lineRule="exact"/>
              <w:rPr>
                <w:sz w:val="1"/>
                <w:szCs w:val="1"/>
                <w:color w:val="auto"/>
              </w:rPr>
            </w:pPr>
          </w:p>
        </w:tc>
        <w:tc>
          <w:tcPr>
            <w:tcW w:w="5960" w:type="dxa"/>
            <w:vAlign w:val="bottom"/>
            <w:tcBorders>
              <w:bottom w:val="single" w:sz="8" w:color="0033A0"/>
            </w:tcBorders>
          </w:tcPr>
          <w:p>
            <w:pPr>
              <w:spacing w:after="0" w:line="20" w:lineRule="exact"/>
              <w:rPr>
                <w:sz w:val="1"/>
                <w:szCs w:val="1"/>
                <w:color w:val="auto"/>
              </w:rPr>
            </w:pPr>
          </w:p>
        </w:tc>
        <w:tc>
          <w:tcPr>
            <w:tcW w:w="2060" w:type="dxa"/>
            <w:vAlign w:val="bottom"/>
            <w:tcBorders>
              <w:bottom w:val="single" w:sz="8" w:color="0033A0"/>
            </w:tcBorders>
          </w:tcPr>
          <w:p>
            <w:pPr>
              <w:spacing w:after="0" w:line="20" w:lineRule="exact"/>
              <w:rPr>
                <w:sz w:val="1"/>
                <w:szCs w:val="1"/>
                <w:color w:val="auto"/>
              </w:rPr>
            </w:pPr>
          </w:p>
        </w:tc>
        <w:tc>
          <w:tcPr>
            <w:tcW w:w="1260" w:type="dxa"/>
            <w:vAlign w:val="bottom"/>
            <w:tcBorders>
              <w:bottom w:val="single" w:sz="8" w:color="0033A0"/>
            </w:tcBorders>
          </w:tcPr>
          <w:p>
            <w:pPr>
              <w:spacing w:after="0" w:line="20" w:lineRule="exact"/>
              <w:rPr>
                <w:sz w:val="1"/>
                <w:szCs w:val="1"/>
                <w:color w:val="auto"/>
              </w:rPr>
            </w:pPr>
          </w:p>
        </w:tc>
      </w:tr>
      <w:tr>
        <w:trPr>
          <w:trHeight w:val="122"/>
        </w:trPr>
        <w:tc>
          <w:tcPr>
            <w:tcW w:w="1740" w:type="dxa"/>
            <w:vAlign w:val="bottom"/>
            <w:tcBorders>
              <w:bottom w:val="single" w:sz="8" w:color="auto"/>
            </w:tcBorders>
          </w:tcPr>
          <w:p>
            <w:pPr>
              <w:spacing w:after="0"/>
              <w:rPr>
                <w:sz w:val="10"/>
                <w:szCs w:val="10"/>
                <w:color w:val="auto"/>
              </w:rPr>
            </w:pPr>
          </w:p>
        </w:tc>
        <w:tc>
          <w:tcPr>
            <w:tcW w:w="596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260" w:type="dxa"/>
            <w:vAlign w:val="bottom"/>
          </w:tcPr>
          <w:p>
            <w:pPr>
              <w:spacing w:after="0"/>
              <w:rPr>
                <w:sz w:val="10"/>
                <w:szCs w:val="10"/>
                <w:color w:val="auto"/>
              </w:rPr>
            </w:pPr>
          </w:p>
        </w:tc>
      </w:tr>
    </w:tbl>
    <w:p>
      <w:pPr>
        <w:spacing w:after="0" w:line="45" w:lineRule="exact"/>
        <w:rPr>
          <w:sz w:val="20"/>
          <w:szCs w:val="20"/>
          <w:color w:val="auto"/>
        </w:rPr>
      </w:pPr>
    </w:p>
    <w:p>
      <w:pPr>
        <w:ind w:left="520" w:right="340" w:hanging="316"/>
        <w:spacing w:after="0" w:line="183" w:lineRule="auto"/>
        <w:tabs>
          <w:tab w:leader="none" w:pos="520" w:val="left"/>
        </w:tabs>
        <w:numPr>
          <w:ilvl w:val="0"/>
          <w:numId w:val="87"/>
        </w:numPr>
        <w:rPr>
          <w:rFonts w:ascii="Arial" w:cs="Arial" w:eastAsia="Arial" w:hAnsi="Arial"/>
          <w:sz w:val="24"/>
          <w:szCs w:val="24"/>
          <w:color w:val="auto"/>
          <w:vertAlign w:val="superscript"/>
        </w:rPr>
      </w:pPr>
      <w:r>
        <w:rPr>
          <w:rFonts w:ascii="Arial" w:cs="Arial" w:eastAsia="Arial" w:hAnsi="Arial"/>
          <w:sz w:val="14"/>
          <w:szCs w:val="14"/>
          <w:color w:val="auto"/>
        </w:rPr>
        <w:t>The ownership percentages set forth in this column are based on the assumption that each beneficial owner continued to own the number of shares reflected in the table on March 1, 2019.</w:t>
      </w:r>
    </w:p>
    <w:p>
      <w:pPr>
        <w:spacing w:after="0" w:line="31" w:lineRule="exact"/>
        <w:rPr>
          <w:rFonts w:ascii="Arial" w:cs="Arial" w:eastAsia="Arial" w:hAnsi="Arial"/>
          <w:sz w:val="24"/>
          <w:szCs w:val="24"/>
          <w:color w:val="auto"/>
          <w:vertAlign w:val="superscript"/>
        </w:rPr>
      </w:pPr>
    </w:p>
    <w:p>
      <w:pPr>
        <w:ind w:left="520" w:right="60" w:hanging="316"/>
        <w:spacing w:after="0" w:line="199" w:lineRule="auto"/>
        <w:tabs>
          <w:tab w:leader="none" w:pos="520" w:val="left"/>
        </w:tabs>
        <w:numPr>
          <w:ilvl w:val="0"/>
          <w:numId w:val="87"/>
        </w:numPr>
        <w:rPr>
          <w:rFonts w:ascii="Arial" w:cs="Arial" w:eastAsia="Arial" w:hAnsi="Arial"/>
          <w:sz w:val="24"/>
          <w:szCs w:val="24"/>
          <w:color w:val="auto"/>
          <w:vertAlign w:val="superscript"/>
        </w:rPr>
      </w:pPr>
      <w:r>
        <w:rPr>
          <w:rFonts w:ascii="Arial" w:cs="Arial" w:eastAsia="Arial" w:hAnsi="Arial"/>
          <w:sz w:val="14"/>
          <w:szCs w:val="14"/>
          <w:color w:val="auto"/>
        </w:rPr>
        <w:t>Based solely on Amendment No. 8 to a report on Schedule 13G filed with the SEC on January 24, 2019 by BlackRock, Inc. (“BlackRock”), BlackRock had sole voting power over 5,581,179 shares of Brink’s Common Stock, shared voting power over no shares of Brink’s Common Stock, sole dispositive power over 5,745,222 shares of Brink’s Common Stock and shared dispositive power over no shares of Brink’s Common Stock.</w:t>
      </w:r>
    </w:p>
    <w:p>
      <w:pPr>
        <w:spacing w:after="0" w:line="30" w:lineRule="exact"/>
        <w:rPr>
          <w:rFonts w:ascii="Arial" w:cs="Arial" w:eastAsia="Arial" w:hAnsi="Arial"/>
          <w:sz w:val="24"/>
          <w:szCs w:val="24"/>
          <w:color w:val="auto"/>
          <w:vertAlign w:val="superscript"/>
        </w:rPr>
      </w:pPr>
    </w:p>
    <w:p>
      <w:pPr>
        <w:ind w:left="520" w:right="180" w:hanging="316"/>
        <w:spacing w:after="0" w:line="199" w:lineRule="auto"/>
        <w:tabs>
          <w:tab w:leader="none" w:pos="520" w:val="left"/>
        </w:tabs>
        <w:numPr>
          <w:ilvl w:val="0"/>
          <w:numId w:val="87"/>
        </w:numPr>
        <w:rPr>
          <w:rFonts w:ascii="Arial" w:cs="Arial" w:eastAsia="Arial" w:hAnsi="Arial"/>
          <w:sz w:val="24"/>
          <w:szCs w:val="24"/>
          <w:color w:val="auto"/>
          <w:vertAlign w:val="superscript"/>
        </w:rPr>
      </w:pPr>
      <w:r>
        <w:rPr>
          <w:rFonts w:ascii="Arial" w:cs="Arial" w:eastAsia="Arial" w:hAnsi="Arial"/>
          <w:sz w:val="14"/>
          <w:szCs w:val="14"/>
          <w:color w:val="auto"/>
        </w:rPr>
        <w:t>Based solely on Amendment No. 7 to a report on Schedule 13G filed with the SEC on February 11, 2019 by The Vanguard Group (“Vanguard”), Vanguard had sole voting power over 104,032 shares of Brink’s Common Stock, shared voting power over 6,800 shares of Brink’s Common Stock, sole dispositive power over 4,439,288 shares of Brink’s Common Stock and shared dispositive power over 106,032 shares of Brink’s Common Stock.</w:t>
      </w:r>
    </w:p>
    <w:p>
      <w:pPr>
        <w:spacing w:after="0" w:line="30" w:lineRule="exact"/>
        <w:rPr>
          <w:rFonts w:ascii="Arial" w:cs="Arial" w:eastAsia="Arial" w:hAnsi="Arial"/>
          <w:sz w:val="24"/>
          <w:szCs w:val="24"/>
          <w:color w:val="auto"/>
          <w:vertAlign w:val="superscript"/>
        </w:rPr>
      </w:pPr>
    </w:p>
    <w:p>
      <w:pPr>
        <w:jc w:val="both"/>
        <w:ind w:left="520" w:right="160" w:hanging="316"/>
        <w:spacing w:after="0" w:line="199" w:lineRule="auto"/>
        <w:tabs>
          <w:tab w:leader="none" w:pos="520" w:val="left"/>
        </w:tabs>
        <w:numPr>
          <w:ilvl w:val="0"/>
          <w:numId w:val="87"/>
        </w:numPr>
        <w:rPr>
          <w:rFonts w:ascii="Arial" w:cs="Arial" w:eastAsia="Arial" w:hAnsi="Arial"/>
          <w:sz w:val="24"/>
          <w:szCs w:val="24"/>
          <w:color w:val="auto"/>
          <w:vertAlign w:val="superscript"/>
        </w:rPr>
      </w:pPr>
      <w:r>
        <w:rPr>
          <w:rFonts w:ascii="Arial" w:cs="Arial" w:eastAsia="Arial" w:hAnsi="Arial"/>
          <w:sz w:val="14"/>
          <w:szCs w:val="14"/>
          <w:color w:val="auto"/>
        </w:rPr>
        <w:t>Based solely on a report on Schedule 13G filed with the SEC on February 14, 2019 by T. Rowe Price Associates, Inc. (“T. Rowe Price”), T. Rowe Price had sole voting power over 593,744 shares of Brink’s Common Stock, shared voting power over no shares of Brink’s Common Stock, sole dispositive power over 3,392,223 shares of Brink’s Common Stock and shared dispositive power over no shares of Brink’s Common Stock.</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auto"/>
        </w:rPr>
        <w:t>Section 16(a) Beneficial Ownership Reporting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68580</wp:posOffset>
            </wp:positionV>
            <wp:extent cx="699770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8" w:lineRule="exact"/>
        <w:rPr>
          <w:sz w:val="20"/>
          <w:szCs w:val="20"/>
          <w:color w:val="auto"/>
        </w:rPr>
      </w:pPr>
    </w:p>
    <w:p>
      <w:pPr>
        <w:ind w:left="200" w:right="20"/>
        <w:spacing w:after="0" w:line="239" w:lineRule="auto"/>
        <w:rPr>
          <w:sz w:val="20"/>
          <w:szCs w:val="20"/>
          <w:color w:val="auto"/>
        </w:rPr>
      </w:pPr>
      <w:r>
        <w:rPr>
          <w:rFonts w:ascii="Arial" w:cs="Arial" w:eastAsia="Arial" w:hAnsi="Arial"/>
          <w:sz w:val="18"/>
          <w:szCs w:val="18"/>
          <w:color w:val="auto"/>
        </w:rPr>
        <w:t>Section 16(a) of the Exchange Act requires the Company’s directors and executive officers, and any persons who own more than 10% of a registered class of the Company’s equity securities, to file with the SEC and the New York Stock Exchange reports of ownership and changes in ownership of Brink’s Common Stock and other equity securities of the Company. Officers, directors and greater-than-10% shareholders are required by</w:t>
      </w:r>
    </w:p>
    <w:p>
      <w:pPr>
        <w:spacing w:after="0" w:line="135" w:lineRule="exact"/>
        <w:rPr>
          <w:sz w:val="20"/>
          <w:szCs w:val="20"/>
          <w:color w:val="auto"/>
        </w:rPr>
      </w:pPr>
    </w:p>
    <w:tbl>
      <w:tblPr>
        <w:tblLayout w:type="fixed"/>
        <w:tblInd w:w="200" w:type="dxa"/>
        <w:tblCellMar>
          <w:top w:w="0" w:type="dxa"/>
          <w:left w:w="0" w:type="dxa"/>
          <w:bottom w:w="0" w:type="dxa"/>
          <w:right w:w="0" w:type="dxa"/>
        </w:tblCellMar>
      </w:tblPr>
      <w:tr>
        <w:trPr>
          <w:trHeight w:val="297"/>
        </w:trPr>
        <w:tc>
          <w:tcPr>
            <w:tcW w:w="360" w:type="dxa"/>
            <w:vAlign w:val="bottom"/>
            <w:tcBorders>
              <w:right w:val="single" w:sz="8" w:color="0033A0"/>
            </w:tcBorders>
          </w:tcPr>
          <w:p>
            <w:pPr>
              <w:jc w:val="right"/>
              <w:ind w:right="70"/>
              <w:spacing w:after="0"/>
              <w:rPr>
                <w:sz w:val="20"/>
                <w:szCs w:val="20"/>
                <w:color w:val="auto"/>
              </w:rPr>
            </w:pPr>
            <w:r>
              <w:rPr>
                <w:rFonts w:ascii="Arial" w:cs="Arial" w:eastAsia="Arial" w:hAnsi="Arial"/>
                <w:sz w:val="18"/>
                <w:szCs w:val="18"/>
                <w:b w:val="1"/>
                <w:bCs w:val="1"/>
                <w:color w:val="auto"/>
                <w:w w:val="89"/>
              </w:rPr>
              <w:t>72</w:t>
            </w:r>
          </w:p>
        </w:tc>
        <w:tc>
          <w:tcPr>
            <w:tcW w:w="3380" w:type="dxa"/>
            <w:vAlign w:val="bottom"/>
          </w:tcPr>
          <w:p>
            <w:pPr>
              <w:ind w:left="1600"/>
              <w:spacing w:after="0"/>
              <w:rPr>
                <w:sz w:val="20"/>
                <w:szCs w:val="20"/>
                <w:color w:val="auto"/>
              </w:rPr>
            </w:pPr>
            <w:r>
              <w:rPr>
                <w:rFonts w:ascii="Arial" w:cs="Arial" w:eastAsia="Arial" w:hAnsi="Arial"/>
                <w:sz w:val="18"/>
                <w:szCs w:val="18"/>
                <w:i w:val="1"/>
                <w:iCs w:val="1"/>
                <w:color w:val="auto"/>
                <w:w w:val="98"/>
              </w:rPr>
              <w:t>2019 Proxy Statement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-170815</wp:posOffset>
            </wp:positionV>
            <wp:extent cx="720090" cy="12890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0090" cy="12890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9260"/>
        <w:spacing w:after="0"/>
        <w:rPr>
          <w:sz w:val="20"/>
          <w:szCs w:val="20"/>
          <w:color w:val="auto"/>
        </w:rPr>
      </w:pPr>
      <w:r>
        <w:rPr>
          <w:rFonts w:ascii="Arial" w:cs="Arial" w:eastAsia="Arial" w:hAnsi="Arial"/>
          <w:sz w:val="19"/>
          <w:szCs w:val="19"/>
          <w:b w:val="1"/>
          <w:bCs w:val="1"/>
          <w:color w:val="0033A0"/>
        </w:rPr>
        <w:t>STOCK OWNERSHIP</w:t>
      </w:r>
    </w:p>
    <w:p>
      <w:pPr>
        <w:spacing w:after="0" w:line="173" w:lineRule="exact"/>
        <w:rPr>
          <w:sz w:val="20"/>
          <w:szCs w:val="20"/>
          <w:color w:val="auto"/>
        </w:rPr>
      </w:pPr>
    </w:p>
    <w:p>
      <w:pPr>
        <w:ind w:left="200" w:right="20"/>
        <w:spacing w:after="0" w:line="255" w:lineRule="auto"/>
        <w:rPr>
          <w:sz w:val="20"/>
          <w:szCs w:val="20"/>
          <w:color w:val="auto"/>
        </w:rPr>
      </w:pPr>
      <w:r>
        <w:rPr>
          <w:rFonts w:ascii="Arial" w:cs="Arial" w:eastAsia="Arial" w:hAnsi="Arial"/>
          <w:sz w:val="17"/>
          <w:szCs w:val="17"/>
          <w:color w:val="auto"/>
        </w:rPr>
        <w:t>SEC regulations to furnish the Company with copies of all Section 16(a) forms they file. Based solely on a review of the copies of such reports furnished to the Company or written representations that no other reports were required, the Company believes that, during 2018, its officers, directors and greater-than-10% beneficial owners timely filed all required reports, except that, due to administrative error a Form 4 was not filed within the required period to report the acquisition of common stock by Thomas R. Colan, Controller, as a result of the settlement of performance share units. An amended Form 4 was promptly filed to report this transaction when the error was discovered.</w:t>
      </w:r>
    </w:p>
    <w:p>
      <w:pPr>
        <w:spacing w:after="0" w:line="161"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auto"/>
        </w:rPr>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68580</wp:posOffset>
            </wp:positionV>
            <wp:extent cx="699770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8" w:lineRule="exact"/>
        <w:rPr>
          <w:sz w:val="20"/>
          <w:szCs w:val="20"/>
          <w:color w:val="auto"/>
        </w:rPr>
      </w:pPr>
    </w:p>
    <w:p>
      <w:pPr>
        <w:ind w:left="200" w:right="40"/>
        <w:spacing w:after="0" w:line="246" w:lineRule="auto"/>
        <w:rPr>
          <w:sz w:val="20"/>
          <w:szCs w:val="20"/>
          <w:color w:val="auto"/>
        </w:rPr>
      </w:pPr>
      <w:r>
        <w:rPr>
          <w:rFonts w:ascii="Arial" w:cs="Arial" w:eastAsia="Arial" w:hAnsi="Arial"/>
          <w:sz w:val="18"/>
          <w:szCs w:val="18"/>
          <w:color w:val="auto"/>
        </w:rPr>
        <w:t>The following table provides information, as of December 31, 2018, regarding shares that may be issued under equity compensation plans currently maintained by the Company.</w:t>
      </w:r>
    </w:p>
    <w:p>
      <w:pPr>
        <w:spacing w:after="0" w:line="212"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1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560" w:type="dxa"/>
            <w:vAlign w:val="bottom"/>
            <w:vMerge w:val="restart"/>
          </w:tcPr>
          <w:p>
            <w:pPr>
              <w:jc w:val="center"/>
              <w:ind w:left="422"/>
              <w:spacing w:after="0"/>
              <w:rPr>
                <w:sz w:val="20"/>
                <w:szCs w:val="20"/>
                <w:color w:val="auto"/>
              </w:rPr>
            </w:pPr>
            <w:r>
              <w:rPr>
                <w:rFonts w:ascii="Arial" w:cs="Arial" w:eastAsia="Arial" w:hAnsi="Arial"/>
                <w:sz w:val="14"/>
                <w:szCs w:val="14"/>
                <w:b w:val="1"/>
                <w:bCs w:val="1"/>
                <w:color w:val="0033A0"/>
              </w:rPr>
              <w:t>Number of securities</w:t>
            </w:r>
          </w:p>
        </w:tc>
        <w:tc>
          <w:tcPr>
            <w:tcW w:w="9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740" w:type="dxa"/>
            <w:vAlign w:val="bottom"/>
          </w:tcPr>
          <w:p>
            <w:pPr>
              <w:jc w:val="center"/>
              <w:ind w:right="102"/>
              <w:spacing w:after="0"/>
              <w:rPr>
                <w:sz w:val="20"/>
                <w:szCs w:val="20"/>
                <w:color w:val="auto"/>
              </w:rPr>
            </w:pPr>
            <w:r>
              <w:rPr>
                <w:rFonts w:ascii="Arial" w:cs="Arial" w:eastAsia="Arial" w:hAnsi="Arial"/>
                <w:sz w:val="14"/>
                <w:szCs w:val="14"/>
                <w:b w:val="1"/>
                <w:bCs w:val="1"/>
                <w:color w:val="0033A0"/>
              </w:rPr>
              <w:t>Number of securities</w:t>
            </w:r>
          </w:p>
        </w:tc>
        <w:tc>
          <w:tcPr>
            <w:tcW w:w="0" w:type="dxa"/>
            <w:vAlign w:val="bottom"/>
          </w:tcPr>
          <w:p>
            <w:pPr>
              <w:spacing w:after="0"/>
              <w:rPr>
                <w:sz w:val="1"/>
                <w:szCs w:val="1"/>
                <w:color w:val="auto"/>
              </w:rPr>
            </w:pPr>
          </w:p>
        </w:tc>
      </w:tr>
      <w:tr>
        <w:trPr>
          <w:trHeight w:val="149"/>
        </w:trPr>
        <w:tc>
          <w:tcPr>
            <w:tcW w:w="17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560" w:type="dxa"/>
            <w:vAlign w:val="bottom"/>
            <w:vMerge w:val="continue"/>
          </w:tcPr>
          <w:p>
            <w:pPr>
              <w:spacing w:after="0"/>
              <w:rPr>
                <w:sz w:val="12"/>
                <w:szCs w:val="12"/>
                <w:color w:val="auto"/>
              </w:rPr>
            </w:pPr>
          </w:p>
        </w:tc>
        <w:tc>
          <w:tcPr>
            <w:tcW w:w="9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740" w:type="dxa"/>
            <w:vAlign w:val="bottom"/>
          </w:tcPr>
          <w:p>
            <w:pPr>
              <w:jc w:val="center"/>
              <w:ind w:right="102"/>
              <w:spacing w:after="0" w:line="149" w:lineRule="exact"/>
              <w:rPr>
                <w:sz w:val="20"/>
                <w:szCs w:val="20"/>
                <w:color w:val="auto"/>
              </w:rPr>
            </w:pPr>
            <w:r>
              <w:rPr>
                <w:rFonts w:ascii="Arial" w:cs="Arial" w:eastAsia="Arial" w:hAnsi="Arial"/>
                <w:sz w:val="14"/>
                <w:szCs w:val="14"/>
                <w:b w:val="1"/>
                <w:bCs w:val="1"/>
                <w:color w:val="0033A0"/>
              </w:rPr>
              <w:t>remaining available for</w:t>
            </w:r>
          </w:p>
        </w:tc>
        <w:tc>
          <w:tcPr>
            <w:tcW w:w="0" w:type="dxa"/>
            <w:vAlign w:val="bottom"/>
          </w:tcPr>
          <w:p>
            <w:pPr>
              <w:spacing w:after="0"/>
              <w:rPr>
                <w:sz w:val="1"/>
                <w:szCs w:val="1"/>
                <w:color w:val="auto"/>
              </w:rPr>
            </w:pPr>
          </w:p>
        </w:tc>
      </w:tr>
      <w:tr>
        <w:trPr>
          <w:trHeight w:val="162"/>
        </w:trPr>
        <w:tc>
          <w:tcPr>
            <w:tcW w:w="1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560" w:type="dxa"/>
            <w:vAlign w:val="bottom"/>
          </w:tcPr>
          <w:p>
            <w:pPr>
              <w:jc w:val="center"/>
              <w:ind w:left="422"/>
              <w:spacing w:after="0"/>
              <w:rPr>
                <w:sz w:val="20"/>
                <w:szCs w:val="20"/>
                <w:color w:val="auto"/>
              </w:rPr>
            </w:pPr>
            <w:r>
              <w:rPr>
                <w:rFonts w:ascii="Arial" w:cs="Arial" w:eastAsia="Arial" w:hAnsi="Arial"/>
                <w:sz w:val="14"/>
                <w:szCs w:val="14"/>
                <w:b w:val="1"/>
                <w:bCs w:val="1"/>
                <w:color w:val="0033A0"/>
              </w:rPr>
              <w:t>to be issued upon</w:t>
            </w:r>
          </w:p>
        </w:tc>
        <w:tc>
          <w:tcPr>
            <w:tcW w:w="900" w:type="dxa"/>
            <w:vAlign w:val="bottom"/>
          </w:tcPr>
          <w:p>
            <w:pPr>
              <w:spacing w:after="0"/>
              <w:rPr>
                <w:sz w:val="14"/>
                <w:szCs w:val="14"/>
                <w:color w:val="auto"/>
              </w:rPr>
            </w:pPr>
          </w:p>
        </w:tc>
        <w:tc>
          <w:tcPr>
            <w:tcW w:w="1980" w:type="dxa"/>
            <w:vAlign w:val="bottom"/>
          </w:tcPr>
          <w:p>
            <w:pPr>
              <w:jc w:val="center"/>
              <w:ind w:right="659"/>
              <w:spacing w:after="0"/>
              <w:rPr>
                <w:sz w:val="20"/>
                <w:szCs w:val="20"/>
                <w:color w:val="auto"/>
              </w:rPr>
            </w:pPr>
            <w:r>
              <w:rPr>
                <w:rFonts w:ascii="Arial" w:cs="Arial" w:eastAsia="Arial" w:hAnsi="Arial"/>
                <w:sz w:val="14"/>
                <w:szCs w:val="14"/>
                <w:b w:val="1"/>
                <w:bCs w:val="1"/>
                <w:color w:val="0033A0"/>
              </w:rPr>
              <w:t>Weighted average</w:t>
            </w:r>
          </w:p>
        </w:tc>
        <w:tc>
          <w:tcPr>
            <w:tcW w:w="560" w:type="dxa"/>
            <w:vAlign w:val="bottom"/>
          </w:tcPr>
          <w:p>
            <w:pPr>
              <w:spacing w:after="0"/>
              <w:rPr>
                <w:sz w:val="14"/>
                <w:szCs w:val="14"/>
                <w:color w:val="auto"/>
              </w:rPr>
            </w:pPr>
          </w:p>
        </w:tc>
        <w:tc>
          <w:tcPr>
            <w:tcW w:w="1740" w:type="dxa"/>
            <w:vAlign w:val="bottom"/>
          </w:tcPr>
          <w:p>
            <w:pPr>
              <w:jc w:val="center"/>
              <w:ind w:right="82"/>
              <w:spacing w:after="0"/>
              <w:rPr>
                <w:sz w:val="20"/>
                <w:szCs w:val="20"/>
                <w:color w:val="auto"/>
              </w:rPr>
            </w:pPr>
            <w:r>
              <w:rPr>
                <w:rFonts w:ascii="Arial" w:cs="Arial" w:eastAsia="Arial" w:hAnsi="Arial"/>
                <w:sz w:val="14"/>
                <w:szCs w:val="14"/>
                <w:b w:val="1"/>
                <w:bCs w:val="1"/>
                <w:color w:val="0033A0"/>
              </w:rPr>
              <w:t>future issuance under</w:t>
            </w:r>
          </w:p>
        </w:tc>
        <w:tc>
          <w:tcPr>
            <w:tcW w:w="0" w:type="dxa"/>
            <w:vAlign w:val="bottom"/>
          </w:tcPr>
          <w:p>
            <w:pPr>
              <w:spacing w:after="0"/>
              <w:rPr>
                <w:sz w:val="1"/>
                <w:szCs w:val="1"/>
                <w:color w:val="auto"/>
              </w:rPr>
            </w:pPr>
          </w:p>
        </w:tc>
      </w:tr>
      <w:tr>
        <w:trPr>
          <w:trHeight w:val="162"/>
        </w:trPr>
        <w:tc>
          <w:tcPr>
            <w:tcW w:w="1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560" w:type="dxa"/>
            <w:vAlign w:val="bottom"/>
          </w:tcPr>
          <w:p>
            <w:pPr>
              <w:jc w:val="center"/>
              <w:ind w:left="422"/>
              <w:spacing w:after="0"/>
              <w:rPr>
                <w:sz w:val="20"/>
                <w:szCs w:val="20"/>
                <w:color w:val="auto"/>
              </w:rPr>
            </w:pPr>
            <w:r>
              <w:rPr>
                <w:rFonts w:ascii="Arial" w:cs="Arial" w:eastAsia="Arial" w:hAnsi="Arial"/>
                <w:sz w:val="14"/>
                <w:szCs w:val="14"/>
                <w:b w:val="1"/>
                <w:bCs w:val="1"/>
                <w:color w:val="0033A0"/>
              </w:rPr>
              <w:t>exercise of</w:t>
            </w:r>
          </w:p>
        </w:tc>
        <w:tc>
          <w:tcPr>
            <w:tcW w:w="900" w:type="dxa"/>
            <w:vAlign w:val="bottom"/>
          </w:tcPr>
          <w:p>
            <w:pPr>
              <w:spacing w:after="0"/>
              <w:rPr>
                <w:sz w:val="14"/>
                <w:szCs w:val="14"/>
                <w:color w:val="auto"/>
              </w:rPr>
            </w:pPr>
          </w:p>
        </w:tc>
        <w:tc>
          <w:tcPr>
            <w:tcW w:w="1980" w:type="dxa"/>
            <w:vAlign w:val="bottom"/>
          </w:tcPr>
          <w:p>
            <w:pPr>
              <w:jc w:val="center"/>
              <w:ind w:right="679"/>
              <w:spacing w:after="0"/>
              <w:rPr>
                <w:sz w:val="20"/>
                <w:szCs w:val="20"/>
                <w:color w:val="auto"/>
              </w:rPr>
            </w:pPr>
            <w:r>
              <w:rPr>
                <w:rFonts w:ascii="Arial" w:cs="Arial" w:eastAsia="Arial" w:hAnsi="Arial"/>
                <w:sz w:val="14"/>
                <w:szCs w:val="14"/>
                <w:b w:val="1"/>
                <w:bCs w:val="1"/>
                <w:color w:val="0033A0"/>
              </w:rPr>
              <w:t>exercise price of</w:t>
            </w:r>
          </w:p>
        </w:tc>
        <w:tc>
          <w:tcPr>
            <w:tcW w:w="560" w:type="dxa"/>
            <w:vAlign w:val="bottom"/>
          </w:tcPr>
          <w:p>
            <w:pPr>
              <w:spacing w:after="0"/>
              <w:rPr>
                <w:sz w:val="14"/>
                <w:szCs w:val="14"/>
                <w:color w:val="auto"/>
              </w:rPr>
            </w:pPr>
          </w:p>
        </w:tc>
        <w:tc>
          <w:tcPr>
            <w:tcW w:w="1740" w:type="dxa"/>
            <w:vAlign w:val="bottom"/>
          </w:tcPr>
          <w:p>
            <w:pPr>
              <w:jc w:val="center"/>
              <w:ind w:right="102"/>
              <w:spacing w:after="0"/>
              <w:rPr>
                <w:sz w:val="20"/>
                <w:szCs w:val="20"/>
                <w:color w:val="auto"/>
              </w:rPr>
            </w:pPr>
            <w:r>
              <w:rPr>
                <w:rFonts w:ascii="Arial" w:cs="Arial" w:eastAsia="Arial" w:hAnsi="Arial"/>
                <w:sz w:val="14"/>
                <w:szCs w:val="14"/>
                <w:b w:val="1"/>
                <w:bCs w:val="1"/>
                <w:color w:val="0033A0"/>
              </w:rPr>
              <w:t>equity compensation</w:t>
            </w:r>
          </w:p>
        </w:tc>
        <w:tc>
          <w:tcPr>
            <w:tcW w:w="0" w:type="dxa"/>
            <w:vAlign w:val="bottom"/>
          </w:tcPr>
          <w:p>
            <w:pPr>
              <w:spacing w:after="0"/>
              <w:rPr>
                <w:sz w:val="1"/>
                <w:szCs w:val="1"/>
                <w:color w:val="auto"/>
              </w:rPr>
            </w:pPr>
          </w:p>
        </w:tc>
      </w:tr>
      <w:tr>
        <w:trPr>
          <w:trHeight w:val="162"/>
        </w:trPr>
        <w:tc>
          <w:tcPr>
            <w:tcW w:w="1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560" w:type="dxa"/>
            <w:vAlign w:val="bottom"/>
          </w:tcPr>
          <w:p>
            <w:pPr>
              <w:jc w:val="center"/>
              <w:ind w:left="422"/>
              <w:spacing w:after="0"/>
              <w:rPr>
                <w:sz w:val="20"/>
                <w:szCs w:val="20"/>
                <w:color w:val="auto"/>
              </w:rPr>
            </w:pPr>
            <w:r>
              <w:rPr>
                <w:rFonts w:ascii="Arial" w:cs="Arial" w:eastAsia="Arial" w:hAnsi="Arial"/>
                <w:sz w:val="14"/>
                <w:szCs w:val="14"/>
                <w:b w:val="1"/>
                <w:bCs w:val="1"/>
                <w:color w:val="0033A0"/>
              </w:rPr>
              <w:t>outstanding options,</w:t>
            </w:r>
          </w:p>
        </w:tc>
        <w:tc>
          <w:tcPr>
            <w:tcW w:w="2880" w:type="dxa"/>
            <w:vAlign w:val="bottom"/>
            <w:gridSpan w:val="2"/>
          </w:tcPr>
          <w:p>
            <w:pPr>
              <w:jc w:val="center"/>
              <w:ind w:left="62"/>
              <w:spacing w:after="0"/>
              <w:rPr>
                <w:sz w:val="20"/>
                <w:szCs w:val="20"/>
                <w:color w:val="auto"/>
              </w:rPr>
            </w:pPr>
            <w:r>
              <w:rPr>
                <w:rFonts w:ascii="Arial" w:cs="Arial" w:eastAsia="Arial" w:hAnsi="Arial"/>
                <w:sz w:val="14"/>
                <w:szCs w:val="14"/>
                <w:b w:val="1"/>
                <w:bCs w:val="1"/>
                <w:color w:val="0033A0"/>
              </w:rPr>
              <w:t>outstanding options,</w:t>
            </w:r>
          </w:p>
        </w:tc>
        <w:tc>
          <w:tcPr>
            <w:tcW w:w="560" w:type="dxa"/>
            <w:vAlign w:val="bottom"/>
          </w:tcPr>
          <w:p>
            <w:pPr>
              <w:spacing w:after="0"/>
              <w:rPr>
                <w:sz w:val="14"/>
                <w:szCs w:val="14"/>
                <w:color w:val="auto"/>
              </w:rPr>
            </w:pPr>
          </w:p>
        </w:tc>
        <w:tc>
          <w:tcPr>
            <w:tcW w:w="1740" w:type="dxa"/>
            <w:vAlign w:val="bottom"/>
          </w:tcPr>
          <w:p>
            <w:pPr>
              <w:jc w:val="center"/>
              <w:ind w:right="82"/>
              <w:spacing w:after="0"/>
              <w:rPr>
                <w:sz w:val="20"/>
                <w:szCs w:val="20"/>
                <w:color w:val="auto"/>
              </w:rPr>
            </w:pPr>
            <w:r>
              <w:rPr>
                <w:rFonts w:ascii="Arial" w:cs="Arial" w:eastAsia="Arial" w:hAnsi="Arial"/>
                <w:sz w:val="14"/>
                <w:szCs w:val="14"/>
                <w:b w:val="1"/>
                <w:bCs w:val="1"/>
                <w:color w:val="0033A0"/>
              </w:rPr>
              <w:t>plans (excluding</w:t>
            </w:r>
          </w:p>
        </w:tc>
        <w:tc>
          <w:tcPr>
            <w:tcW w:w="0" w:type="dxa"/>
            <w:vAlign w:val="bottom"/>
          </w:tcPr>
          <w:p>
            <w:pPr>
              <w:spacing w:after="0"/>
              <w:rPr>
                <w:sz w:val="1"/>
                <w:szCs w:val="1"/>
                <w:color w:val="auto"/>
              </w:rPr>
            </w:pPr>
          </w:p>
        </w:tc>
      </w:tr>
      <w:tr>
        <w:trPr>
          <w:trHeight w:val="162"/>
        </w:trPr>
        <w:tc>
          <w:tcPr>
            <w:tcW w:w="1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560" w:type="dxa"/>
            <w:vAlign w:val="bottom"/>
          </w:tcPr>
          <w:p>
            <w:pPr>
              <w:jc w:val="center"/>
              <w:ind w:left="422"/>
              <w:spacing w:after="0"/>
              <w:rPr>
                <w:sz w:val="20"/>
                <w:szCs w:val="20"/>
                <w:color w:val="auto"/>
              </w:rPr>
            </w:pPr>
            <w:r>
              <w:rPr>
                <w:rFonts w:ascii="Arial" w:cs="Arial" w:eastAsia="Arial" w:hAnsi="Arial"/>
                <w:sz w:val="14"/>
                <w:szCs w:val="14"/>
                <w:b w:val="1"/>
                <w:bCs w:val="1"/>
                <w:color w:val="0033A0"/>
              </w:rPr>
              <w:t>warrants and rights</w:t>
            </w:r>
          </w:p>
        </w:tc>
        <w:tc>
          <w:tcPr>
            <w:tcW w:w="2880" w:type="dxa"/>
            <w:vAlign w:val="bottom"/>
            <w:gridSpan w:val="2"/>
          </w:tcPr>
          <w:p>
            <w:pPr>
              <w:jc w:val="center"/>
              <w:ind w:left="82"/>
              <w:spacing w:after="0"/>
              <w:rPr>
                <w:sz w:val="20"/>
                <w:szCs w:val="20"/>
                <w:color w:val="auto"/>
              </w:rPr>
            </w:pPr>
            <w:r>
              <w:rPr>
                <w:rFonts w:ascii="Arial" w:cs="Arial" w:eastAsia="Arial" w:hAnsi="Arial"/>
                <w:sz w:val="14"/>
                <w:szCs w:val="14"/>
                <w:b w:val="1"/>
                <w:bCs w:val="1"/>
                <w:color w:val="0033A0"/>
              </w:rPr>
              <w:t>warrants and rights</w:t>
            </w:r>
          </w:p>
        </w:tc>
        <w:tc>
          <w:tcPr>
            <w:tcW w:w="560" w:type="dxa"/>
            <w:vAlign w:val="bottom"/>
          </w:tcPr>
          <w:p>
            <w:pPr>
              <w:spacing w:after="0"/>
              <w:rPr>
                <w:sz w:val="14"/>
                <w:szCs w:val="14"/>
                <w:color w:val="auto"/>
              </w:rPr>
            </w:pPr>
          </w:p>
        </w:tc>
        <w:tc>
          <w:tcPr>
            <w:tcW w:w="1740" w:type="dxa"/>
            <w:vAlign w:val="bottom"/>
          </w:tcPr>
          <w:p>
            <w:pPr>
              <w:jc w:val="center"/>
              <w:ind w:right="102"/>
              <w:spacing w:after="0"/>
              <w:rPr>
                <w:sz w:val="20"/>
                <w:szCs w:val="20"/>
                <w:color w:val="auto"/>
              </w:rPr>
            </w:pPr>
            <w:r>
              <w:rPr>
                <w:rFonts w:ascii="Arial" w:cs="Arial" w:eastAsia="Arial" w:hAnsi="Arial"/>
                <w:sz w:val="14"/>
                <w:szCs w:val="14"/>
                <w:b w:val="1"/>
                <w:bCs w:val="1"/>
                <w:color w:val="0033A0"/>
              </w:rPr>
              <w:t>securities</w:t>
            </w:r>
          </w:p>
        </w:tc>
        <w:tc>
          <w:tcPr>
            <w:tcW w:w="0" w:type="dxa"/>
            <w:vAlign w:val="bottom"/>
          </w:tcPr>
          <w:p>
            <w:pPr>
              <w:spacing w:after="0"/>
              <w:rPr>
                <w:sz w:val="1"/>
                <w:szCs w:val="1"/>
                <w:color w:val="auto"/>
              </w:rPr>
            </w:pPr>
          </w:p>
        </w:tc>
      </w:tr>
      <w:tr>
        <w:trPr>
          <w:trHeight w:val="189"/>
        </w:trPr>
        <w:tc>
          <w:tcPr>
            <w:tcW w:w="3280" w:type="dxa"/>
            <w:vAlign w:val="bottom"/>
            <w:tcBorders>
              <w:bottom w:val="single" w:sz="8" w:color="0033A0"/>
            </w:tcBorders>
            <w:gridSpan w:val="2"/>
          </w:tcPr>
          <w:p>
            <w:pPr>
              <w:ind w:left="60"/>
              <w:spacing w:after="0"/>
              <w:rPr>
                <w:sz w:val="20"/>
                <w:szCs w:val="20"/>
                <w:color w:val="auto"/>
              </w:rPr>
            </w:pPr>
            <w:r>
              <w:rPr>
                <w:rFonts w:ascii="Arial" w:cs="Arial" w:eastAsia="Arial" w:hAnsi="Arial"/>
                <w:sz w:val="14"/>
                <w:szCs w:val="14"/>
                <w:b w:val="1"/>
                <w:bCs w:val="1"/>
                <w:color w:val="0033A0"/>
              </w:rPr>
              <w:t>Plan Category</w:t>
            </w:r>
          </w:p>
        </w:tc>
        <w:tc>
          <w:tcPr>
            <w:tcW w:w="2560" w:type="dxa"/>
            <w:vAlign w:val="bottom"/>
            <w:tcBorders>
              <w:bottom w:val="single" w:sz="8" w:color="0033A0"/>
            </w:tcBorders>
          </w:tcPr>
          <w:p>
            <w:pPr>
              <w:jc w:val="center"/>
              <w:ind w:left="422"/>
              <w:spacing w:after="0"/>
              <w:rPr>
                <w:sz w:val="20"/>
                <w:szCs w:val="20"/>
                <w:color w:val="auto"/>
              </w:rPr>
            </w:pPr>
            <w:r>
              <w:rPr>
                <w:rFonts w:ascii="Arial" w:cs="Arial" w:eastAsia="Arial" w:hAnsi="Arial"/>
                <w:sz w:val="14"/>
                <w:szCs w:val="14"/>
                <w:b w:val="1"/>
                <w:bCs w:val="1"/>
                <w:color w:val="0033A0"/>
              </w:rPr>
              <w:t>(a)</w:t>
            </w:r>
          </w:p>
        </w:tc>
        <w:tc>
          <w:tcPr>
            <w:tcW w:w="900" w:type="dxa"/>
            <w:vAlign w:val="bottom"/>
            <w:tcBorders>
              <w:bottom w:val="single" w:sz="8" w:color="0033A0"/>
            </w:tcBorders>
          </w:tcPr>
          <w:p>
            <w:pPr>
              <w:spacing w:after="0"/>
              <w:rPr>
                <w:sz w:val="16"/>
                <w:szCs w:val="16"/>
                <w:color w:val="auto"/>
              </w:rPr>
            </w:pPr>
          </w:p>
        </w:tc>
        <w:tc>
          <w:tcPr>
            <w:tcW w:w="1980" w:type="dxa"/>
            <w:vAlign w:val="bottom"/>
            <w:tcBorders>
              <w:bottom w:val="single" w:sz="8" w:color="0033A0"/>
            </w:tcBorders>
          </w:tcPr>
          <w:p>
            <w:pPr>
              <w:jc w:val="center"/>
              <w:ind w:right="679"/>
              <w:spacing w:after="0"/>
              <w:rPr>
                <w:sz w:val="20"/>
                <w:szCs w:val="20"/>
                <w:color w:val="auto"/>
              </w:rPr>
            </w:pPr>
            <w:r>
              <w:rPr>
                <w:rFonts w:ascii="Arial" w:cs="Arial" w:eastAsia="Arial" w:hAnsi="Arial"/>
                <w:sz w:val="14"/>
                <w:szCs w:val="14"/>
                <w:b w:val="1"/>
                <w:bCs w:val="1"/>
                <w:color w:val="0033A0"/>
              </w:rPr>
              <w:t>(b)</w:t>
            </w:r>
          </w:p>
        </w:tc>
        <w:tc>
          <w:tcPr>
            <w:tcW w:w="2300" w:type="dxa"/>
            <w:vAlign w:val="bottom"/>
            <w:tcBorders>
              <w:bottom w:val="single" w:sz="8" w:color="0033A0"/>
            </w:tcBorders>
            <w:gridSpan w:val="2"/>
          </w:tcPr>
          <w:p>
            <w:pPr>
              <w:jc w:val="center"/>
              <w:ind w:left="299"/>
              <w:spacing w:after="0"/>
              <w:rPr>
                <w:sz w:val="20"/>
                <w:szCs w:val="20"/>
                <w:color w:val="auto"/>
              </w:rPr>
            </w:pPr>
            <w:r>
              <w:rPr>
                <w:rFonts w:ascii="Arial" w:cs="Arial" w:eastAsia="Arial" w:hAnsi="Arial"/>
                <w:sz w:val="14"/>
                <w:szCs w:val="14"/>
                <w:b w:val="1"/>
                <w:bCs w:val="1"/>
                <w:color w:val="0033A0"/>
              </w:rPr>
              <w:t>reflected in column (a))(c)</w:t>
            </w:r>
          </w:p>
        </w:tc>
        <w:tc>
          <w:tcPr>
            <w:tcW w:w="0" w:type="dxa"/>
            <w:vAlign w:val="bottom"/>
          </w:tcPr>
          <w:p>
            <w:pPr>
              <w:spacing w:after="0"/>
              <w:rPr>
                <w:sz w:val="1"/>
                <w:szCs w:val="1"/>
                <w:color w:val="auto"/>
              </w:rPr>
            </w:pPr>
          </w:p>
        </w:tc>
      </w:tr>
      <w:tr>
        <w:trPr>
          <w:trHeight w:val="21"/>
        </w:trPr>
        <w:tc>
          <w:tcPr>
            <w:tcW w:w="17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3280" w:type="dxa"/>
            <w:vAlign w:val="bottom"/>
            <w:gridSpan w:val="2"/>
            <w:shd w:val="clear" w:color="auto" w:fill="E5EAF5"/>
          </w:tcPr>
          <w:p>
            <w:pPr>
              <w:ind w:left="60"/>
              <w:spacing w:after="0"/>
              <w:rPr>
                <w:sz w:val="20"/>
                <w:szCs w:val="20"/>
                <w:color w:val="auto"/>
              </w:rPr>
            </w:pPr>
            <w:r>
              <w:rPr>
                <w:rFonts w:ascii="Arial" w:cs="Arial" w:eastAsia="Arial" w:hAnsi="Arial"/>
                <w:sz w:val="18"/>
                <w:szCs w:val="18"/>
                <w:color w:val="auto"/>
              </w:rPr>
              <w:t>Equity compensation plans approved by</w:t>
            </w:r>
          </w:p>
        </w:tc>
        <w:tc>
          <w:tcPr>
            <w:tcW w:w="2560" w:type="dxa"/>
            <w:vAlign w:val="bottom"/>
            <w:vMerge w:val="restart"/>
            <w:shd w:val="clear" w:color="auto" w:fill="E5EAF5"/>
          </w:tcPr>
          <w:p>
            <w:pPr>
              <w:jc w:val="right"/>
              <w:ind w:right="42"/>
              <w:spacing w:after="0"/>
              <w:rPr>
                <w:sz w:val="20"/>
                <w:szCs w:val="20"/>
                <w:color w:val="auto"/>
              </w:rPr>
            </w:pPr>
            <w:r>
              <w:rPr>
                <w:rFonts w:ascii="Arial" w:cs="Arial" w:eastAsia="Arial" w:hAnsi="Arial"/>
                <w:sz w:val="18"/>
                <w:szCs w:val="18"/>
                <w:color w:val="auto"/>
              </w:rPr>
              <w:t>2,543,042</w:t>
            </w:r>
            <w:r>
              <w:rPr>
                <w:rFonts w:ascii="Arial" w:cs="Arial" w:eastAsia="Arial" w:hAnsi="Arial"/>
                <w:sz w:val="15"/>
                <w:szCs w:val="15"/>
                <w:color w:val="auto"/>
              </w:rPr>
              <w:t>(1)</w:t>
            </w:r>
          </w:p>
        </w:tc>
        <w:tc>
          <w:tcPr>
            <w:tcW w:w="900" w:type="dxa"/>
            <w:vAlign w:val="bottom"/>
            <w:shd w:val="clear" w:color="auto" w:fill="E5EAF5"/>
          </w:tcPr>
          <w:p>
            <w:pPr>
              <w:spacing w:after="0"/>
              <w:rPr>
                <w:sz w:val="22"/>
                <w:szCs w:val="22"/>
                <w:color w:val="auto"/>
              </w:rPr>
            </w:pPr>
          </w:p>
        </w:tc>
        <w:tc>
          <w:tcPr>
            <w:tcW w:w="1980" w:type="dxa"/>
            <w:vAlign w:val="bottom"/>
            <w:vMerge w:val="restart"/>
            <w:shd w:val="clear" w:color="auto" w:fill="E5EAF5"/>
          </w:tcPr>
          <w:p>
            <w:pPr>
              <w:jc w:val="right"/>
              <w:ind w:right="379"/>
              <w:spacing w:after="0"/>
              <w:rPr>
                <w:sz w:val="20"/>
                <w:szCs w:val="20"/>
                <w:color w:val="auto"/>
              </w:rPr>
            </w:pPr>
            <w:r>
              <w:rPr>
                <w:rFonts w:ascii="Arial" w:cs="Arial" w:eastAsia="Arial" w:hAnsi="Arial"/>
                <w:sz w:val="18"/>
                <w:szCs w:val="18"/>
                <w:color w:val="auto"/>
              </w:rPr>
              <w:t>49.26</w:t>
            </w:r>
            <w:r>
              <w:rPr>
                <w:rFonts w:ascii="Arial" w:cs="Arial" w:eastAsia="Arial" w:hAnsi="Arial"/>
                <w:sz w:val="15"/>
                <w:szCs w:val="15"/>
                <w:color w:val="auto"/>
              </w:rPr>
              <w:t>(2)</w:t>
            </w:r>
          </w:p>
        </w:tc>
        <w:tc>
          <w:tcPr>
            <w:tcW w:w="560" w:type="dxa"/>
            <w:vAlign w:val="bottom"/>
            <w:shd w:val="clear" w:color="auto" w:fill="E5EAF5"/>
          </w:tcPr>
          <w:p>
            <w:pPr>
              <w:spacing w:after="0"/>
              <w:rPr>
                <w:sz w:val="22"/>
                <w:szCs w:val="22"/>
                <w:color w:val="auto"/>
              </w:rPr>
            </w:pPr>
          </w:p>
        </w:tc>
        <w:tc>
          <w:tcPr>
            <w:tcW w:w="1740" w:type="dxa"/>
            <w:vAlign w:val="bottom"/>
            <w:shd w:val="clear" w:color="auto" w:fill="E5EAF5"/>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3280" w:type="dxa"/>
            <w:vAlign w:val="bottom"/>
            <w:tcBorders>
              <w:bottom w:val="single" w:sz="8" w:color="E5EAF5"/>
            </w:tcBorders>
            <w:gridSpan w:val="2"/>
            <w:shd w:val="clear" w:color="auto" w:fill="E5EAF5"/>
          </w:tcPr>
          <w:p>
            <w:pPr>
              <w:ind w:left="60"/>
              <w:spacing w:after="0" w:line="203" w:lineRule="exact"/>
              <w:rPr>
                <w:sz w:val="20"/>
                <w:szCs w:val="20"/>
                <w:color w:val="auto"/>
              </w:rPr>
            </w:pPr>
            <w:r>
              <w:rPr>
                <w:rFonts w:ascii="Arial" w:cs="Arial" w:eastAsia="Arial" w:hAnsi="Arial"/>
                <w:sz w:val="18"/>
                <w:szCs w:val="18"/>
                <w:color w:val="auto"/>
              </w:rPr>
              <w:t>security holders</w:t>
            </w:r>
          </w:p>
        </w:tc>
        <w:tc>
          <w:tcPr>
            <w:tcW w:w="2560" w:type="dxa"/>
            <w:vAlign w:val="bottom"/>
            <w:tcBorders>
              <w:bottom w:val="single" w:sz="8" w:color="E5EAF5"/>
            </w:tcBorders>
            <w:vMerge w:val="continue"/>
            <w:shd w:val="clear" w:color="auto" w:fill="E5EAF5"/>
          </w:tcPr>
          <w:p>
            <w:pPr>
              <w:spacing w:after="0"/>
              <w:rPr>
                <w:sz w:val="19"/>
                <w:szCs w:val="19"/>
                <w:color w:val="auto"/>
              </w:rPr>
            </w:pPr>
          </w:p>
        </w:tc>
        <w:tc>
          <w:tcPr>
            <w:tcW w:w="900" w:type="dxa"/>
            <w:vAlign w:val="bottom"/>
            <w:tcBorders>
              <w:bottom w:val="single" w:sz="8" w:color="E5EAF5"/>
            </w:tcBorders>
            <w:shd w:val="clear" w:color="auto" w:fill="E5EAF5"/>
          </w:tcPr>
          <w:p>
            <w:pPr>
              <w:jc w:val="right"/>
              <w:spacing w:after="0" w:line="203" w:lineRule="exact"/>
              <w:rPr>
                <w:sz w:val="20"/>
                <w:szCs w:val="20"/>
                <w:color w:val="auto"/>
              </w:rPr>
            </w:pPr>
            <w:r>
              <w:rPr>
                <w:rFonts w:ascii="Arial" w:cs="Arial" w:eastAsia="Arial" w:hAnsi="Arial"/>
                <w:sz w:val="18"/>
                <w:szCs w:val="18"/>
                <w:color w:val="auto"/>
              </w:rPr>
              <w:t>$</w:t>
            </w:r>
          </w:p>
        </w:tc>
        <w:tc>
          <w:tcPr>
            <w:tcW w:w="1980" w:type="dxa"/>
            <w:vAlign w:val="bottom"/>
            <w:tcBorders>
              <w:bottom w:val="single" w:sz="8" w:color="E5EAF5"/>
            </w:tcBorders>
            <w:vMerge w:val="continue"/>
            <w:shd w:val="clear" w:color="auto" w:fill="E5EAF5"/>
          </w:tcPr>
          <w:p>
            <w:pPr>
              <w:spacing w:after="0"/>
              <w:rPr>
                <w:sz w:val="19"/>
                <w:szCs w:val="19"/>
                <w:color w:val="auto"/>
              </w:rPr>
            </w:pPr>
          </w:p>
        </w:tc>
        <w:tc>
          <w:tcPr>
            <w:tcW w:w="560" w:type="dxa"/>
            <w:vAlign w:val="bottom"/>
            <w:tcBorders>
              <w:bottom w:val="single" w:sz="8" w:color="E5EAF5"/>
            </w:tcBorders>
            <w:shd w:val="clear" w:color="auto" w:fill="E5EAF5"/>
          </w:tcPr>
          <w:p>
            <w:pPr>
              <w:jc w:val="right"/>
              <w:spacing w:after="0" w:line="203" w:lineRule="exact"/>
              <w:rPr>
                <w:sz w:val="20"/>
                <w:szCs w:val="20"/>
                <w:color w:val="auto"/>
              </w:rPr>
            </w:pPr>
            <w:r>
              <w:rPr>
                <w:rFonts w:ascii="Arial" w:cs="Arial" w:eastAsia="Arial" w:hAnsi="Arial"/>
                <w:sz w:val="18"/>
                <w:szCs w:val="18"/>
                <w:color w:val="auto"/>
              </w:rPr>
              <w:t>$</w:t>
            </w:r>
          </w:p>
        </w:tc>
        <w:tc>
          <w:tcPr>
            <w:tcW w:w="1740" w:type="dxa"/>
            <w:vAlign w:val="bottom"/>
            <w:tcBorders>
              <w:bottom w:val="single" w:sz="8" w:color="E5EAF5"/>
            </w:tcBorders>
            <w:shd w:val="clear" w:color="auto" w:fill="E5EAF5"/>
          </w:tcPr>
          <w:p>
            <w:pPr>
              <w:jc w:val="right"/>
              <w:spacing w:after="0" w:line="203" w:lineRule="exact"/>
              <w:rPr>
                <w:sz w:val="20"/>
                <w:szCs w:val="20"/>
                <w:color w:val="auto"/>
              </w:rPr>
            </w:pPr>
            <w:r>
              <w:rPr>
                <w:rFonts w:ascii="Arial" w:cs="Arial" w:eastAsia="Arial" w:hAnsi="Arial"/>
                <w:sz w:val="18"/>
                <w:szCs w:val="18"/>
                <w:color w:val="auto"/>
              </w:rPr>
              <w:t>5,954,456</w:t>
            </w:r>
          </w:p>
        </w:tc>
        <w:tc>
          <w:tcPr>
            <w:tcW w:w="0" w:type="dxa"/>
            <w:vAlign w:val="bottom"/>
          </w:tcPr>
          <w:p>
            <w:pPr>
              <w:spacing w:after="0"/>
              <w:rPr>
                <w:sz w:val="1"/>
                <w:szCs w:val="1"/>
                <w:color w:val="auto"/>
              </w:rPr>
            </w:pPr>
          </w:p>
        </w:tc>
      </w:tr>
      <w:tr>
        <w:trPr>
          <w:trHeight w:val="202"/>
        </w:trPr>
        <w:tc>
          <w:tcPr>
            <w:tcW w:w="3280" w:type="dxa"/>
            <w:vAlign w:val="bottom"/>
            <w:gridSpan w:val="2"/>
          </w:tcPr>
          <w:p>
            <w:pPr>
              <w:ind w:left="60"/>
              <w:spacing w:after="0" w:line="201" w:lineRule="exact"/>
              <w:rPr>
                <w:sz w:val="20"/>
                <w:szCs w:val="20"/>
                <w:color w:val="auto"/>
              </w:rPr>
            </w:pPr>
            <w:r>
              <w:rPr>
                <w:rFonts w:ascii="Arial" w:cs="Arial" w:eastAsia="Arial" w:hAnsi="Arial"/>
                <w:sz w:val="18"/>
                <w:szCs w:val="18"/>
                <w:color w:val="auto"/>
              </w:rPr>
              <w:t>Equity compensation plans not</w:t>
            </w:r>
          </w:p>
        </w:tc>
        <w:tc>
          <w:tcPr>
            <w:tcW w:w="2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280" w:type="dxa"/>
            <w:vAlign w:val="bottom"/>
            <w:gridSpan w:val="2"/>
          </w:tcPr>
          <w:p>
            <w:pPr>
              <w:ind w:left="60"/>
              <w:spacing w:after="0"/>
              <w:rPr>
                <w:sz w:val="20"/>
                <w:szCs w:val="20"/>
                <w:color w:val="auto"/>
              </w:rPr>
            </w:pPr>
            <w:r>
              <w:rPr>
                <w:rFonts w:ascii="Arial" w:cs="Arial" w:eastAsia="Arial" w:hAnsi="Arial"/>
                <w:sz w:val="18"/>
                <w:szCs w:val="18"/>
                <w:color w:val="auto"/>
              </w:rPr>
              <w:t>approved by security holders</w:t>
            </w:r>
          </w:p>
        </w:tc>
        <w:tc>
          <w:tcPr>
            <w:tcW w:w="2560" w:type="dxa"/>
            <w:vAlign w:val="bottom"/>
          </w:tcPr>
          <w:p>
            <w:pPr>
              <w:jc w:val="right"/>
              <w:ind w:right="222"/>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1980" w:type="dxa"/>
            <w:vAlign w:val="bottom"/>
          </w:tcPr>
          <w:p>
            <w:pPr>
              <w:jc w:val="right"/>
              <w:ind w:right="559"/>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1740" w:type="dxa"/>
            <w:vAlign w:val="bottom"/>
            <w:tcBorders>
              <w:bottom w:val="single" w:sz="8" w:color="0033A0"/>
            </w:tcBorders>
          </w:tcPr>
          <w:p>
            <w:pPr>
              <w:spacing w:after="0"/>
              <w:rPr>
                <w:sz w:val="3"/>
                <w:szCs w:val="3"/>
                <w:color w:val="auto"/>
              </w:rPr>
            </w:pPr>
          </w:p>
        </w:tc>
        <w:tc>
          <w:tcPr>
            <w:tcW w:w="1540" w:type="dxa"/>
            <w:vAlign w:val="bottom"/>
            <w:tcBorders>
              <w:bottom w:val="single" w:sz="8" w:color="0033A0"/>
            </w:tcBorders>
          </w:tcPr>
          <w:p>
            <w:pPr>
              <w:spacing w:after="0"/>
              <w:rPr>
                <w:sz w:val="3"/>
                <w:szCs w:val="3"/>
                <w:color w:val="auto"/>
              </w:rPr>
            </w:pPr>
          </w:p>
        </w:tc>
        <w:tc>
          <w:tcPr>
            <w:tcW w:w="2560" w:type="dxa"/>
            <w:vAlign w:val="bottom"/>
            <w:tcBorders>
              <w:bottom w:val="single" w:sz="8" w:color="0033A0"/>
            </w:tcBorders>
          </w:tcPr>
          <w:p>
            <w:pPr>
              <w:spacing w:after="0"/>
              <w:rPr>
                <w:sz w:val="3"/>
                <w:szCs w:val="3"/>
                <w:color w:val="auto"/>
              </w:rPr>
            </w:pPr>
          </w:p>
        </w:tc>
        <w:tc>
          <w:tcPr>
            <w:tcW w:w="900" w:type="dxa"/>
            <w:vAlign w:val="bottom"/>
            <w:tcBorders>
              <w:bottom w:val="single" w:sz="8" w:color="0033A0"/>
            </w:tcBorders>
          </w:tcPr>
          <w:p>
            <w:pPr>
              <w:spacing w:after="0"/>
              <w:rPr>
                <w:sz w:val="3"/>
                <w:szCs w:val="3"/>
                <w:color w:val="auto"/>
              </w:rPr>
            </w:pPr>
          </w:p>
        </w:tc>
        <w:tc>
          <w:tcPr>
            <w:tcW w:w="1980" w:type="dxa"/>
            <w:vAlign w:val="bottom"/>
            <w:tcBorders>
              <w:bottom w:val="single" w:sz="8" w:color="0033A0"/>
            </w:tcBorders>
          </w:tcPr>
          <w:p>
            <w:pPr>
              <w:spacing w:after="0"/>
              <w:rPr>
                <w:sz w:val="3"/>
                <w:szCs w:val="3"/>
                <w:color w:val="auto"/>
              </w:rPr>
            </w:pPr>
          </w:p>
        </w:tc>
        <w:tc>
          <w:tcPr>
            <w:tcW w:w="560" w:type="dxa"/>
            <w:vAlign w:val="bottom"/>
            <w:tcBorders>
              <w:bottom w:val="single" w:sz="8" w:color="0033A0"/>
            </w:tcBorders>
          </w:tcPr>
          <w:p>
            <w:pPr>
              <w:spacing w:after="0"/>
              <w:rPr>
                <w:sz w:val="3"/>
                <w:szCs w:val="3"/>
                <w:color w:val="auto"/>
              </w:rPr>
            </w:pPr>
          </w:p>
        </w:tc>
        <w:tc>
          <w:tcPr>
            <w:tcW w:w="1740" w:type="dxa"/>
            <w:vAlign w:val="bottom"/>
            <w:tcBorders>
              <w:bottom w:val="single" w:sz="8" w:color="0033A0"/>
            </w:tcBorders>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3280" w:type="dxa"/>
            <w:vAlign w:val="bottom"/>
            <w:tcBorders>
              <w:bottom w:val="single" w:sz="8" w:color="E5EAF5"/>
            </w:tcBorders>
            <w:gridSpan w:val="2"/>
            <w:shd w:val="clear" w:color="auto" w:fill="E5EAF5"/>
          </w:tcPr>
          <w:p>
            <w:pPr>
              <w:ind w:left="60"/>
              <w:spacing w:after="0" w:line="196" w:lineRule="exact"/>
              <w:rPr>
                <w:sz w:val="20"/>
                <w:szCs w:val="20"/>
                <w:color w:val="auto"/>
              </w:rPr>
            </w:pPr>
            <w:r>
              <w:rPr>
                <w:rFonts w:ascii="Arial" w:cs="Arial" w:eastAsia="Arial" w:hAnsi="Arial"/>
                <w:sz w:val="18"/>
                <w:szCs w:val="18"/>
                <w:color w:val="auto"/>
              </w:rPr>
              <w:t>Total</w:t>
            </w:r>
          </w:p>
        </w:tc>
        <w:tc>
          <w:tcPr>
            <w:tcW w:w="2560" w:type="dxa"/>
            <w:vAlign w:val="bottom"/>
            <w:tcBorders>
              <w:bottom w:val="single" w:sz="8" w:color="E5EAF5"/>
            </w:tcBorders>
            <w:shd w:val="clear" w:color="auto" w:fill="E5EAF5"/>
          </w:tcPr>
          <w:p>
            <w:pPr>
              <w:jc w:val="right"/>
              <w:ind w:right="222"/>
              <w:spacing w:after="0" w:line="196" w:lineRule="exact"/>
              <w:rPr>
                <w:sz w:val="20"/>
                <w:szCs w:val="20"/>
                <w:color w:val="auto"/>
              </w:rPr>
            </w:pPr>
            <w:r>
              <w:rPr>
                <w:rFonts w:ascii="Arial" w:cs="Arial" w:eastAsia="Arial" w:hAnsi="Arial"/>
                <w:sz w:val="18"/>
                <w:szCs w:val="18"/>
                <w:color w:val="auto"/>
              </w:rPr>
              <w:t>2,543,042</w:t>
            </w:r>
          </w:p>
        </w:tc>
        <w:tc>
          <w:tcPr>
            <w:tcW w:w="900" w:type="dxa"/>
            <w:vAlign w:val="bottom"/>
            <w:tcBorders>
              <w:bottom w:val="single" w:sz="8" w:color="E5EAF5"/>
            </w:tcBorders>
            <w:shd w:val="clear" w:color="auto" w:fill="E5EAF5"/>
          </w:tcPr>
          <w:p>
            <w:pPr>
              <w:spacing w:after="0"/>
              <w:rPr>
                <w:sz w:val="21"/>
                <w:szCs w:val="21"/>
                <w:color w:val="auto"/>
              </w:rPr>
            </w:pPr>
          </w:p>
        </w:tc>
        <w:tc>
          <w:tcPr>
            <w:tcW w:w="1980" w:type="dxa"/>
            <w:vAlign w:val="bottom"/>
            <w:tcBorders>
              <w:bottom w:val="single" w:sz="8" w:color="E5EAF5"/>
            </w:tcBorders>
            <w:shd w:val="clear" w:color="auto" w:fill="E5EAF5"/>
          </w:tcPr>
          <w:p>
            <w:pPr>
              <w:jc w:val="right"/>
              <w:ind w:right="559"/>
              <w:spacing w:after="0" w:line="196" w:lineRule="exact"/>
              <w:rPr>
                <w:sz w:val="20"/>
                <w:szCs w:val="20"/>
                <w:color w:val="auto"/>
              </w:rPr>
            </w:pPr>
            <w:r>
              <w:rPr>
                <w:rFonts w:ascii="Arial" w:cs="Arial" w:eastAsia="Arial" w:hAnsi="Arial"/>
                <w:sz w:val="18"/>
                <w:szCs w:val="18"/>
                <w:color w:val="auto"/>
              </w:rPr>
              <w:t>49.26</w:t>
            </w:r>
          </w:p>
        </w:tc>
        <w:tc>
          <w:tcPr>
            <w:tcW w:w="560" w:type="dxa"/>
            <w:vAlign w:val="bottom"/>
            <w:tcBorders>
              <w:bottom w:val="single" w:sz="8" w:color="E5EAF5"/>
            </w:tcBorders>
            <w:shd w:val="clear" w:color="auto" w:fill="E5EAF5"/>
          </w:tcPr>
          <w:p>
            <w:pPr>
              <w:spacing w:after="0"/>
              <w:rPr>
                <w:sz w:val="21"/>
                <w:szCs w:val="21"/>
                <w:color w:val="auto"/>
              </w:rPr>
            </w:pPr>
          </w:p>
        </w:tc>
        <w:tc>
          <w:tcPr>
            <w:tcW w:w="1740" w:type="dxa"/>
            <w:vAlign w:val="bottom"/>
            <w:tcBorders>
              <w:bottom w:val="single" w:sz="8" w:color="E5EAF5"/>
            </w:tcBorders>
            <w:shd w:val="clear" w:color="auto" w:fill="E5EAF5"/>
          </w:tcPr>
          <w:p>
            <w:pPr>
              <w:jc w:val="right"/>
              <w:spacing w:after="0" w:line="196" w:lineRule="exact"/>
              <w:rPr>
                <w:sz w:val="20"/>
                <w:szCs w:val="20"/>
                <w:color w:val="auto"/>
              </w:rPr>
            </w:pPr>
            <w:r>
              <w:rPr>
                <w:rFonts w:ascii="Arial" w:cs="Arial" w:eastAsia="Arial" w:hAnsi="Arial"/>
                <w:sz w:val="18"/>
                <w:szCs w:val="18"/>
                <w:color w:val="auto"/>
              </w:rPr>
              <w:t>5,954,456</w:t>
            </w:r>
          </w:p>
        </w:tc>
        <w:tc>
          <w:tcPr>
            <w:tcW w:w="0" w:type="dxa"/>
            <w:vAlign w:val="bottom"/>
          </w:tcPr>
          <w:p>
            <w:pPr>
              <w:spacing w:after="0"/>
              <w:rPr>
                <w:sz w:val="1"/>
                <w:szCs w:val="1"/>
                <w:color w:val="auto"/>
              </w:rPr>
            </w:pPr>
          </w:p>
        </w:tc>
      </w:tr>
      <w:tr>
        <w:trPr>
          <w:trHeight w:val="129"/>
        </w:trPr>
        <w:tc>
          <w:tcPr>
            <w:tcW w:w="1740" w:type="dxa"/>
            <w:vAlign w:val="bottom"/>
            <w:tcBorders>
              <w:top w:val="single" w:sz="8" w:color="0033A0"/>
              <w:bottom w:val="single" w:sz="8" w:color="auto"/>
            </w:tcBorders>
          </w:tcPr>
          <w:p>
            <w:pPr>
              <w:spacing w:after="0"/>
              <w:rPr>
                <w:sz w:val="11"/>
                <w:szCs w:val="11"/>
                <w:color w:val="auto"/>
              </w:rPr>
            </w:pPr>
          </w:p>
        </w:tc>
        <w:tc>
          <w:tcPr>
            <w:tcW w:w="1540" w:type="dxa"/>
            <w:vAlign w:val="bottom"/>
            <w:tcBorders>
              <w:top w:val="single" w:sz="8" w:color="0033A0"/>
            </w:tcBorders>
          </w:tcPr>
          <w:p>
            <w:pPr>
              <w:spacing w:after="0"/>
              <w:rPr>
                <w:sz w:val="11"/>
                <w:szCs w:val="11"/>
                <w:color w:val="auto"/>
              </w:rPr>
            </w:pPr>
          </w:p>
        </w:tc>
        <w:tc>
          <w:tcPr>
            <w:tcW w:w="2560" w:type="dxa"/>
            <w:vAlign w:val="bottom"/>
            <w:tcBorders>
              <w:top w:val="single" w:sz="8" w:color="0033A0"/>
            </w:tcBorders>
          </w:tcPr>
          <w:p>
            <w:pPr>
              <w:spacing w:after="0"/>
              <w:rPr>
                <w:sz w:val="11"/>
                <w:szCs w:val="11"/>
                <w:color w:val="auto"/>
              </w:rPr>
            </w:pPr>
          </w:p>
        </w:tc>
        <w:tc>
          <w:tcPr>
            <w:tcW w:w="900" w:type="dxa"/>
            <w:vAlign w:val="bottom"/>
            <w:tcBorders>
              <w:top w:val="single" w:sz="8" w:color="0033A0"/>
            </w:tcBorders>
          </w:tcPr>
          <w:p>
            <w:pPr>
              <w:spacing w:after="0"/>
              <w:rPr>
                <w:sz w:val="11"/>
                <w:szCs w:val="11"/>
                <w:color w:val="auto"/>
              </w:rPr>
            </w:pPr>
          </w:p>
        </w:tc>
        <w:tc>
          <w:tcPr>
            <w:tcW w:w="1980" w:type="dxa"/>
            <w:vAlign w:val="bottom"/>
            <w:tcBorders>
              <w:top w:val="single" w:sz="8" w:color="0033A0"/>
            </w:tcBorders>
          </w:tcPr>
          <w:p>
            <w:pPr>
              <w:spacing w:after="0"/>
              <w:rPr>
                <w:sz w:val="11"/>
                <w:szCs w:val="11"/>
                <w:color w:val="auto"/>
              </w:rPr>
            </w:pPr>
          </w:p>
        </w:tc>
        <w:tc>
          <w:tcPr>
            <w:tcW w:w="560" w:type="dxa"/>
            <w:vAlign w:val="bottom"/>
            <w:tcBorders>
              <w:top w:val="single" w:sz="8" w:color="0033A0"/>
            </w:tcBorders>
          </w:tcPr>
          <w:p>
            <w:pPr>
              <w:spacing w:after="0"/>
              <w:rPr>
                <w:sz w:val="11"/>
                <w:szCs w:val="11"/>
                <w:color w:val="auto"/>
              </w:rPr>
            </w:pPr>
          </w:p>
        </w:tc>
        <w:tc>
          <w:tcPr>
            <w:tcW w:w="1740" w:type="dxa"/>
            <w:vAlign w:val="bottom"/>
            <w:tcBorders>
              <w:top w:val="single" w:sz="8" w:color="0033A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520" w:right="120" w:hanging="316"/>
        <w:spacing w:after="0" w:line="218" w:lineRule="auto"/>
        <w:tabs>
          <w:tab w:leader="none" w:pos="520" w:val="left"/>
        </w:tabs>
        <w:numPr>
          <w:ilvl w:val="0"/>
          <w:numId w:val="88"/>
        </w:numPr>
        <w:rPr>
          <w:rFonts w:ascii="Arial" w:cs="Arial" w:eastAsia="Arial" w:hAnsi="Arial"/>
          <w:sz w:val="24"/>
          <w:szCs w:val="24"/>
          <w:color w:val="auto"/>
          <w:vertAlign w:val="superscript"/>
        </w:rPr>
      </w:pPr>
      <w:r>
        <w:rPr>
          <w:rFonts w:ascii="Arial" w:cs="Arial" w:eastAsia="Arial" w:hAnsi="Arial"/>
          <w:sz w:val="14"/>
          <w:szCs w:val="14"/>
          <w:color w:val="auto"/>
        </w:rPr>
        <w:t>Includes units credited under the Key Employees’ Deferred Compensation Program, the Directors’ Stock Accumulation Plan, the 2013 Equity Incentive Plan, the 2017 Equity Incentive Plan, the Non-Employee Directors’ Equity Plan and the Plan for Deferral of Directors’ Fees. PSUs credited after 2016 under the 2013 Equity Incentive Plan and under the 2017 Equity Incentive Plan are included at target. PSUs credited during 2016 under the 2013 Equity Incentive Plan are included at the amounts approved in February 2019. The number of shares to be paid, if any, following the conclusion of the applicable performance measurement period, will depend on the Company’s achievement of pre-established performance goals and the Company’s TSR relative to a company defined peer group. See “Equity Awards under the 2017 Equity Incentive Plan” beginning on page 36.</w:t>
      </w:r>
    </w:p>
    <w:p>
      <w:pPr>
        <w:ind w:left="520" w:hanging="316"/>
        <w:spacing w:after="0" w:line="183" w:lineRule="auto"/>
        <w:tabs>
          <w:tab w:leader="none" w:pos="520" w:val="left"/>
        </w:tabs>
        <w:numPr>
          <w:ilvl w:val="0"/>
          <w:numId w:val="88"/>
        </w:numPr>
        <w:rPr>
          <w:rFonts w:ascii="Arial" w:cs="Arial" w:eastAsia="Arial" w:hAnsi="Arial"/>
          <w:sz w:val="23"/>
          <w:szCs w:val="23"/>
          <w:color w:val="auto"/>
          <w:vertAlign w:val="superscript"/>
        </w:rPr>
      </w:pPr>
      <w:r>
        <w:rPr>
          <w:rFonts w:ascii="Arial" w:cs="Arial" w:eastAsia="Arial" w:hAnsi="Arial"/>
          <w:sz w:val="14"/>
          <w:szCs w:val="14"/>
          <w:color w:val="auto"/>
        </w:rPr>
        <w:t>Does not include awards described in footnote (1).</w:t>
      </w:r>
    </w:p>
    <w:p>
      <w:pPr>
        <w:spacing w:after="0" w:line="154" w:lineRule="exact"/>
        <w:rPr>
          <w:sz w:val="20"/>
          <w:szCs w:val="20"/>
          <w:color w:val="auto"/>
        </w:rPr>
      </w:pPr>
    </w:p>
    <w:tbl>
      <w:tblPr>
        <w:tblLayout w:type="fixed"/>
        <w:tblInd w:w="8820" w:type="dxa"/>
        <w:tblCellMar>
          <w:top w:w="0" w:type="dxa"/>
          <w:left w:w="0" w:type="dxa"/>
          <w:bottom w:w="0" w:type="dxa"/>
          <w:right w:w="0" w:type="dxa"/>
        </w:tblCellMar>
      </w:tblPr>
      <w:tr>
        <w:trPr>
          <w:trHeight w:val="278"/>
        </w:trPr>
        <w:tc>
          <w:tcPr>
            <w:tcW w:w="1900" w:type="dxa"/>
            <w:vAlign w:val="bottom"/>
            <w:tcBorders>
              <w:right w:val="single" w:sz="8" w:color="0033A0"/>
            </w:tcBorders>
          </w:tcPr>
          <w:p>
            <w:pPr>
              <w:spacing w:after="0"/>
              <w:rPr>
                <w:sz w:val="20"/>
                <w:szCs w:val="20"/>
                <w:color w:val="auto"/>
              </w:rPr>
            </w:pPr>
            <w:r>
              <w:rPr>
                <w:rFonts w:ascii="Arial" w:cs="Arial" w:eastAsia="Arial" w:hAnsi="Arial"/>
                <w:sz w:val="18"/>
                <w:szCs w:val="18"/>
                <w:i w:val="1"/>
                <w:iCs w:val="1"/>
                <w:color w:val="auto"/>
              </w:rPr>
              <w:t>2019 Proxy Statement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-170815</wp:posOffset>
            </wp:positionV>
            <wp:extent cx="720090" cy="12890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0090" cy="12890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0033A0"/>
        </w:rPr>
        <w:t>The Brink’s Company</w:t>
      </w:r>
    </w:p>
    <w:p>
      <w:pPr>
        <w:spacing w:after="0" w:line="161" w:lineRule="exact"/>
        <w:rPr>
          <w:sz w:val="20"/>
          <w:szCs w:val="20"/>
          <w:color w:val="auto"/>
        </w:rPr>
      </w:pPr>
    </w:p>
    <w:p>
      <w:pPr>
        <w:ind w:left="200" w:right="360"/>
        <w:spacing w:after="0" w:line="249" w:lineRule="auto"/>
        <w:rPr>
          <w:sz w:val="20"/>
          <w:szCs w:val="20"/>
          <w:color w:val="auto"/>
        </w:rPr>
      </w:pPr>
      <w:r>
        <w:rPr>
          <w:rFonts w:ascii="Arial" w:cs="Arial" w:eastAsia="Arial" w:hAnsi="Arial"/>
          <w:sz w:val="43"/>
          <w:szCs w:val="43"/>
          <w:color w:val="0033A0"/>
        </w:rPr>
        <w:t>PROPOSAL NO. 3—APPROVAL OF THE SELECTION OF INDEPENDENT REGISTERED PUBLIC ACCOUNTING FIRM</w:t>
      </w:r>
    </w:p>
    <w:p>
      <w:pPr>
        <w:sectPr>
          <w:pgSz w:w="11900" w:h="16838" w:orient="portrait"/>
          <w:cols w:equalWidth="0" w:num="1">
            <w:col w:w="11200"/>
          </w:cols>
          <w:pgMar w:left="240" w:top="459" w:right="459" w:bottom="1440" w:gutter="0" w:footer="0" w:header="0"/>
        </w:sectPr>
      </w:pPr>
    </w:p>
    <w:p>
      <w:pPr>
        <w:spacing w:after="0" w:line="136" w:lineRule="exact"/>
        <w:rPr>
          <w:sz w:val="20"/>
          <w:szCs w:val="20"/>
          <w:color w:val="auto"/>
        </w:rPr>
      </w:pPr>
    </w:p>
    <w:p>
      <w:pPr>
        <w:ind w:left="220" w:right="60"/>
        <w:spacing w:after="0" w:line="236" w:lineRule="auto"/>
        <w:rPr>
          <w:sz w:val="20"/>
          <w:szCs w:val="20"/>
          <w:color w:val="auto"/>
        </w:rPr>
      </w:pPr>
      <w:r>
        <w:rPr>
          <w:rFonts w:ascii="Arial" w:cs="Arial" w:eastAsia="Arial" w:hAnsi="Arial"/>
          <w:sz w:val="18"/>
          <w:szCs w:val="18"/>
          <w:color w:val="auto"/>
        </w:rPr>
        <w:t>The Audit Committee has, subject to shareholder approval, selected Deloitte &amp; Touche LLP (“Deloitte”) as the Company’s independent registered public accounting firm for the fiscal year ending December 31, 2019, and the Board recommends approval of such selection by the shareholders. One or more representatives of Deloitte are expected to attend the annual meeting and will have the opportunity to make a statement if they desire to do so and are expected to be available to respond to appropriate questions.</w:t>
      </w:r>
    </w:p>
    <w:p>
      <w:pPr>
        <w:spacing w:after="0" w:line="99" w:lineRule="exact"/>
        <w:rPr>
          <w:sz w:val="20"/>
          <w:szCs w:val="20"/>
          <w:color w:val="auto"/>
        </w:rPr>
      </w:pPr>
    </w:p>
    <w:p>
      <w:pPr>
        <w:ind w:left="220" w:right="40"/>
        <w:spacing w:after="0" w:line="250" w:lineRule="auto"/>
        <w:rPr>
          <w:sz w:val="20"/>
          <w:szCs w:val="20"/>
          <w:color w:val="auto"/>
        </w:rPr>
      </w:pPr>
      <w:r>
        <w:rPr>
          <w:rFonts w:ascii="Arial" w:cs="Arial" w:eastAsia="Arial" w:hAnsi="Arial"/>
          <w:sz w:val="17"/>
          <w:szCs w:val="17"/>
          <w:color w:val="auto"/>
        </w:rPr>
        <w:t>The Audit Committee is directly responsible for the selection, evaluation, compensation (including negotiation of fees), retention and oversight of the Company’s independent registered public accounting firm. In order to assure the continued independence of the firm, the Audit Committee periodically considers whether there should be rotation of the independent registered public accounting firm. In addition, in conjunction with the mandated rotation of the firm’s lead engagement partner, the Audit Committee, led by its Chair, is directly involved in the selection of the new lead engagement partner. The members of the Audit Committee believe that the continued retention of Deloitte to serve as the Company’s independent registered accounting firm is in the best interests of the Company and its investors.</w:t>
      </w:r>
    </w:p>
    <w:p>
      <w:pPr>
        <w:spacing w:after="0" w:line="95" w:lineRule="exact"/>
        <w:rPr>
          <w:sz w:val="20"/>
          <w:szCs w:val="20"/>
          <w:color w:val="auto"/>
        </w:rPr>
      </w:pPr>
    </w:p>
    <w:p>
      <w:pPr>
        <w:ind w:left="220" w:right="20"/>
        <w:spacing w:after="0" w:line="237" w:lineRule="auto"/>
        <w:rPr>
          <w:sz w:val="20"/>
          <w:szCs w:val="20"/>
          <w:color w:val="auto"/>
        </w:rPr>
      </w:pPr>
      <w:r>
        <w:rPr>
          <w:rFonts w:ascii="Arial" w:cs="Arial" w:eastAsia="Arial" w:hAnsi="Arial"/>
          <w:sz w:val="18"/>
          <w:szCs w:val="18"/>
          <w:color w:val="auto"/>
        </w:rPr>
        <w:t>As reported on the Company’s Current Report on Form 8-K, dated January 20, 2017, the Audit Committee approved the dismissal of KPMG LLP (“KPMG”) as the Company’s independent registered public accountant, effective as of the date of KPMG’s completion of the audit services for the fiscal year ending December 31, 2016 and the filing of the Company’s 2016 Annual Report on Securities and Exchange Commission Form 10-K.</w:t>
      </w:r>
    </w:p>
    <w:p>
      <w:pPr>
        <w:spacing w:after="0" w:line="95" w:lineRule="exact"/>
        <w:rPr>
          <w:sz w:val="20"/>
          <w:szCs w:val="20"/>
          <w:color w:val="auto"/>
        </w:rPr>
      </w:pPr>
    </w:p>
    <w:p>
      <w:pPr>
        <w:ind w:left="220"/>
        <w:spacing w:after="0" w:line="238" w:lineRule="auto"/>
        <w:rPr>
          <w:sz w:val="20"/>
          <w:szCs w:val="20"/>
          <w:color w:val="auto"/>
        </w:rPr>
      </w:pPr>
      <w:r>
        <w:rPr>
          <w:rFonts w:ascii="Arial" w:cs="Arial" w:eastAsia="Arial" w:hAnsi="Arial"/>
          <w:sz w:val="18"/>
          <w:szCs w:val="18"/>
          <w:color w:val="auto"/>
        </w:rPr>
        <w:t>The reports of KPMG on the Company’s consolidated financial statements for the fiscal years ended December 31, 2016 and 2015 did not contain any adverse opinion or disclaimer of opinion, and were not qualified or modified as to uncertainty, audit scope or accounting principle.</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During the Company’s fiscal years ended December 31, 2016 and 2015, and through February 23, 2017, (i) there were no disagreements (as that term is defined in Item 304(a)(1)(iv) of Regulation S-K and the related instructions) between the Company and KPMG on any matter of accounting principles or practices, financial statement disclosure, or auditing scope or procedure, which, if not resolved to the satisfaction of KPMG would have caused KPMG to make reference to the subject matter of the disagreement in connection with its reports on the Company’s consolidated financial statements for such years, and (ii) there were no “reportable events” (as that term is defined in Item 304(a)(1)(v) of Regulation S-K).</w:t>
      </w:r>
    </w:p>
    <w:p>
      <w:pPr>
        <w:spacing w:after="0" w:line="97"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On January 24, 2017, the Audit Committee approved the appointment of Deloitte as the Company’s independent registered public accounting firm to perform independent audit services beginning with the fiscal year ending December 31, 2017. During the Company’s fiscal years ending December 31, 2016 and 2015, and through February 23, 2017, neither the Company, nor anyone on its behalf, consulted Deloitte regarding either (i) application of accounting principles to a specified transaction, either completed or proposed, or the type of audit opinion that might be rendered with respect to the consolidated financial statements of the Company, in any case where a written report or oral advice was provided to the Company by Deloitte that Deloitte concluded was an important factor considered by the Company in reaching a decision as to any accounting, auditing or financial reporting issue; or (ii) any matter that was the subject of a disagreement (as that term is defined in Item 304(a)(1)(iv) of Regulation S-K and the related instructions) or a “reportable event” (as that term is defined in Item 304(a)(1)(v) of Regulation S-K).</w:t>
      </w:r>
    </w:p>
    <w:p>
      <w:pPr>
        <w:spacing w:after="0" w:line="1238" w:lineRule="exact"/>
        <w:rPr>
          <w:sz w:val="20"/>
          <w:szCs w:val="20"/>
          <w:color w:val="auto"/>
        </w:rPr>
      </w:pPr>
    </w:p>
    <w:p>
      <w:pPr>
        <w:sectPr>
          <w:pgSz w:w="11900" w:h="16838" w:orient="portrait"/>
          <w:cols w:equalWidth="0" w:num="2">
            <w:col w:w="5500" w:space="320"/>
            <w:col w:w="5380"/>
          </w:cols>
          <w:pgMar w:left="240" w:top="459" w:right="459" w:bottom="1440" w:gutter="0" w:footer="0" w:header="0"/>
          <w:type w:val="continuous"/>
        </w:sectPr>
      </w:pPr>
    </w:p>
    <w:p>
      <w:pPr>
        <w:spacing w:after="0" w:line="85" w:lineRule="exact"/>
        <w:rPr>
          <w:sz w:val="20"/>
          <w:szCs w:val="20"/>
          <w:color w:val="auto"/>
        </w:rPr>
      </w:pPr>
    </w:p>
    <w:tbl>
      <w:tblPr>
        <w:tblLayout w:type="fixed"/>
        <w:tblInd w:w="200" w:type="dxa"/>
        <w:tblCellMar>
          <w:top w:w="0" w:type="dxa"/>
          <w:left w:w="0" w:type="dxa"/>
          <w:bottom w:w="0" w:type="dxa"/>
          <w:right w:w="0" w:type="dxa"/>
        </w:tblCellMar>
      </w:tblPr>
      <w:tr>
        <w:trPr>
          <w:trHeight w:val="297"/>
        </w:trPr>
        <w:tc>
          <w:tcPr>
            <w:tcW w:w="360" w:type="dxa"/>
            <w:vAlign w:val="bottom"/>
            <w:tcBorders>
              <w:right w:val="single" w:sz="8" w:color="0033A0"/>
            </w:tcBorders>
          </w:tcPr>
          <w:p>
            <w:pPr>
              <w:jc w:val="right"/>
              <w:ind w:right="70"/>
              <w:spacing w:after="0"/>
              <w:rPr>
                <w:sz w:val="20"/>
                <w:szCs w:val="20"/>
                <w:color w:val="auto"/>
              </w:rPr>
            </w:pPr>
            <w:r>
              <w:rPr>
                <w:rFonts w:ascii="Arial" w:cs="Arial" w:eastAsia="Arial" w:hAnsi="Arial"/>
                <w:sz w:val="18"/>
                <w:szCs w:val="18"/>
                <w:b w:val="1"/>
                <w:bCs w:val="1"/>
                <w:color w:val="auto"/>
                <w:w w:val="89"/>
              </w:rPr>
              <w:t>74</w:t>
            </w:r>
          </w:p>
        </w:tc>
        <w:tc>
          <w:tcPr>
            <w:tcW w:w="3380" w:type="dxa"/>
            <w:vAlign w:val="bottom"/>
          </w:tcPr>
          <w:p>
            <w:pPr>
              <w:ind w:left="1600"/>
              <w:spacing w:after="0"/>
              <w:rPr>
                <w:sz w:val="20"/>
                <w:szCs w:val="20"/>
                <w:color w:val="auto"/>
              </w:rPr>
            </w:pPr>
            <w:r>
              <w:rPr>
                <w:rFonts w:ascii="Arial" w:cs="Arial" w:eastAsia="Arial" w:hAnsi="Arial"/>
                <w:sz w:val="18"/>
                <w:szCs w:val="18"/>
                <w:i w:val="1"/>
                <w:iCs w:val="1"/>
                <w:color w:val="auto"/>
                <w:w w:val="98"/>
              </w:rPr>
              <w:t>2019 Proxy Statement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-170815</wp:posOffset>
            </wp:positionV>
            <wp:extent cx="720090" cy="12890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0090" cy="128905"/>
                    </a:xfrm>
                    <a:prstGeom prst="rect">
                      <a:avLst/>
                    </a:prstGeom>
                    <a:noFill/>
                  </pic:spPr>
                </pic:pic>
              </a:graphicData>
            </a:graphic>
          </wp:anchor>
        </w:drawing>
      </w:r>
    </w:p>
    <w:p>
      <w:pPr>
        <w:sectPr>
          <w:pgSz w:w="11900" w:h="16838" w:orient="portrait"/>
          <w:cols w:equalWidth="0" w:num="1">
            <w:col w:w="11200"/>
          </w:cols>
          <w:pgMar w:left="240" w:top="459" w:right="459" w:bottom="1440" w:gutter="0" w:footer="0" w:header="0"/>
          <w:type w:val="continuous"/>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420"/>
        <w:spacing w:after="0"/>
        <w:rPr>
          <w:sz w:val="20"/>
          <w:szCs w:val="20"/>
          <w:color w:val="auto"/>
        </w:rPr>
      </w:pPr>
      <w:r>
        <w:rPr>
          <w:rFonts w:ascii="Arial" w:cs="Arial" w:eastAsia="Arial" w:hAnsi="Arial"/>
          <w:sz w:val="19"/>
          <w:szCs w:val="19"/>
          <w:b w:val="1"/>
          <w:bCs w:val="1"/>
          <w:color w:val="0033A0"/>
        </w:rPr>
        <w:t>PROPOSAL NO. 3—APPROVAL OF THE SELECTION OF INDEPENDENT REGISTERED PUBLIC ACCOUNTING FIRM</w:t>
      </w:r>
    </w:p>
    <w:p>
      <w:pPr>
        <w:spacing w:after="0" w:line="15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Principal Accounting Fees and Services</w:t>
      </w:r>
    </w:p>
    <w:p>
      <w:pPr>
        <w:spacing w:after="0" w:line="126" w:lineRule="exact"/>
        <w:rPr>
          <w:sz w:val="20"/>
          <w:szCs w:val="20"/>
          <w:color w:val="auto"/>
        </w:rPr>
      </w:pPr>
    </w:p>
    <w:p>
      <w:pPr>
        <w:ind w:left="200" w:right="180"/>
        <w:spacing w:after="0" w:line="246" w:lineRule="auto"/>
        <w:rPr>
          <w:sz w:val="20"/>
          <w:szCs w:val="20"/>
          <w:color w:val="auto"/>
        </w:rPr>
      </w:pPr>
      <w:r>
        <w:rPr>
          <w:rFonts w:ascii="Arial" w:cs="Arial" w:eastAsia="Arial" w:hAnsi="Arial"/>
          <w:sz w:val="18"/>
          <w:szCs w:val="18"/>
          <w:color w:val="auto"/>
        </w:rPr>
        <w:t>The following table sets forth the aggregate fees billed by Deloitte, our independent registered public accounting firms for the fiscal years ended December 31, 2018 and December 31, 2017, respectively.</w:t>
      </w:r>
    </w:p>
    <w:p>
      <w:pPr>
        <w:spacing w:after="0" w:line="212" w:lineRule="exact"/>
        <w:rPr>
          <w:sz w:val="20"/>
          <w:szCs w:val="20"/>
          <w:color w:val="auto"/>
        </w:rPr>
      </w:pPr>
    </w:p>
    <w:tbl>
      <w:tblPr>
        <w:tblLayout w:type="fixed"/>
        <w:tblInd w:w="220" w:type="dxa"/>
        <w:tblCellMar>
          <w:top w:w="0" w:type="dxa"/>
          <w:left w:w="0" w:type="dxa"/>
          <w:bottom w:w="0" w:type="dxa"/>
          <w:right w:w="0" w:type="dxa"/>
        </w:tblCellMar>
      </w:tblPr>
      <w:tr>
        <w:trPr>
          <w:trHeight w:val="175"/>
        </w:trPr>
        <w:tc>
          <w:tcPr>
            <w:tcW w:w="8620" w:type="dxa"/>
            <w:vAlign w:val="bottom"/>
            <w:tcBorders>
              <w:bottom w:val="single" w:sz="8" w:color="0033A0"/>
            </w:tcBorders>
          </w:tcPr>
          <w:p>
            <w:pPr>
              <w:spacing w:after="0"/>
              <w:rPr>
                <w:sz w:val="15"/>
                <w:szCs w:val="15"/>
                <w:color w:val="auto"/>
              </w:rPr>
            </w:pPr>
          </w:p>
        </w:tc>
        <w:tc>
          <w:tcPr>
            <w:tcW w:w="1000" w:type="dxa"/>
            <w:vAlign w:val="bottom"/>
            <w:tcBorders>
              <w:bottom w:val="single" w:sz="8" w:color="0033A0"/>
            </w:tcBorders>
          </w:tcPr>
          <w:p>
            <w:pPr>
              <w:jc w:val="right"/>
              <w:ind w:right="255"/>
              <w:spacing w:after="0"/>
              <w:rPr>
                <w:sz w:val="20"/>
                <w:szCs w:val="20"/>
                <w:color w:val="auto"/>
              </w:rPr>
            </w:pPr>
            <w:r>
              <w:rPr>
                <w:rFonts w:ascii="Arial" w:cs="Arial" w:eastAsia="Arial" w:hAnsi="Arial"/>
                <w:sz w:val="14"/>
                <w:szCs w:val="14"/>
                <w:b w:val="1"/>
                <w:bCs w:val="1"/>
                <w:color w:val="0033A0"/>
              </w:rPr>
              <w:t>2018</w:t>
            </w:r>
          </w:p>
        </w:tc>
        <w:tc>
          <w:tcPr>
            <w:tcW w:w="1400" w:type="dxa"/>
            <w:vAlign w:val="bottom"/>
            <w:tcBorders>
              <w:bottom w:val="single" w:sz="8" w:color="0033A0"/>
            </w:tcBorders>
          </w:tcPr>
          <w:p>
            <w:pPr>
              <w:jc w:val="right"/>
              <w:ind w:right="113"/>
              <w:spacing w:after="0"/>
              <w:rPr>
                <w:sz w:val="20"/>
                <w:szCs w:val="20"/>
                <w:color w:val="auto"/>
              </w:rPr>
            </w:pPr>
            <w:r>
              <w:rPr>
                <w:rFonts w:ascii="Arial" w:cs="Arial" w:eastAsia="Arial" w:hAnsi="Arial"/>
                <w:sz w:val="14"/>
                <w:szCs w:val="14"/>
                <w:b w:val="1"/>
                <w:bCs w:val="1"/>
                <w:color w:val="0033A0"/>
              </w:rPr>
              <w:t>2017</w:t>
            </w:r>
          </w:p>
        </w:tc>
      </w:tr>
      <w:tr>
        <w:trPr>
          <w:trHeight w:val="183"/>
        </w:trPr>
        <w:tc>
          <w:tcPr>
            <w:tcW w:w="8620" w:type="dxa"/>
            <w:vAlign w:val="bottom"/>
            <w:tcBorders>
              <w:bottom w:val="single" w:sz="8" w:color="0033A0"/>
            </w:tcBorders>
          </w:tcPr>
          <w:p>
            <w:pPr>
              <w:spacing w:after="0"/>
              <w:rPr>
                <w:sz w:val="15"/>
                <w:szCs w:val="15"/>
                <w:color w:val="auto"/>
              </w:rPr>
            </w:pPr>
          </w:p>
        </w:tc>
        <w:tc>
          <w:tcPr>
            <w:tcW w:w="2400" w:type="dxa"/>
            <w:vAlign w:val="bottom"/>
            <w:tcBorders>
              <w:bottom w:val="single" w:sz="8" w:color="0033A0"/>
            </w:tcBorders>
            <w:gridSpan w:val="2"/>
          </w:tcPr>
          <w:p>
            <w:pPr>
              <w:jc w:val="right"/>
              <w:ind w:right="553"/>
              <w:spacing w:after="0"/>
              <w:rPr>
                <w:sz w:val="20"/>
                <w:szCs w:val="20"/>
                <w:color w:val="auto"/>
              </w:rPr>
            </w:pPr>
            <w:r>
              <w:rPr>
                <w:rFonts w:ascii="Arial" w:cs="Arial" w:eastAsia="Arial" w:hAnsi="Arial"/>
                <w:sz w:val="14"/>
                <w:szCs w:val="14"/>
                <w:b w:val="1"/>
                <w:bCs w:val="1"/>
                <w:color w:val="0033A0"/>
              </w:rPr>
              <w:t>(In thousands)</w:t>
            </w:r>
          </w:p>
        </w:tc>
      </w:tr>
      <w:tr>
        <w:trPr>
          <w:trHeight w:val="21"/>
        </w:trPr>
        <w:tc>
          <w:tcPr>
            <w:tcW w:w="8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77"/>
        </w:trPr>
        <w:tc>
          <w:tcPr>
            <w:tcW w:w="8620" w:type="dxa"/>
            <w:vAlign w:val="bottom"/>
            <w:tcBorders>
              <w:bottom w:val="single" w:sz="8" w:color="E5EAF5"/>
            </w:tcBorders>
            <w:shd w:val="clear" w:color="auto" w:fill="E5EAF5"/>
          </w:tcPr>
          <w:p>
            <w:pPr>
              <w:ind w:left="60"/>
              <w:spacing w:after="0"/>
              <w:rPr>
                <w:sz w:val="20"/>
                <w:szCs w:val="20"/>
                <w:color w:val="auto"/>
              </w:rPr>
            </w:pPr>
            <w:r>
              <w:rPr>
                <w:rFonts w:ascii="Arial" w:cs="Arial" w:eastAsia="Arial" w:hAnsi="Arial"/>
                <w:sz w:val="18"/>
                <w:szCs w:val="18"/>
                <w:color w:val="auto"/>
              </w:rPr>
              <w:t>Audit Fees</w:t>
            </w:r>
          </w:p>
        </w:tc>
        <w:tc>
          <w:tcPr>
            <w:tcW w:w="1000" w:type="dxa"/>
            <w:vAlign w:val="bottom"/>
            <w:tcBorders>
              <w:bottom w:val="single" w:sz="8" w:color="E5EAF5"/>
            </w:tcBorders>
            <w:shd w:val="clear" w:color="auto" w:fill="E5EAF5"/>
          </w:tcPr>
          <w:p>
            <w:pPr>
              <w:jc w:val="right"/>
              <w:ind w:right="135"/>
              <w:spacing w:after="0"/>
              <w:rPr>
                <w:sz w:val="20"/>
                <w:szCs w:val="20"/>
                <w:color w:val="auto"/>
              </w:rPr>
            </w:pPr>
            <w:r>
              <w:rPr>
                <w:rFonts w:ascii="Arial" w:cs="Arial" w:eastAsia="Arial" w:hAnsi="Arial"/>
                <w:sz w:val="18"/>
                <w:szCs w:val="18"/>
                <w:color w:val="auto"/>
              </w:rPr>
              <w:t>$3,529</w:t>
            </w:r>
          </w:p>
        </w:tc>
        <w:tc>
          <w:tcPr>
            <w:tcW w:w="1400" w:type="dxa"/>
            <w:vAlign w:val="bottom"/>
            <w:tcBorders>
              <w:bottom w:val="single" w:sz="8" w:color="E5EAF5"/>
            </w:tcBorders>
            <w:shd w:val="clear" w:color="auto" w:fill="E5EAF5"/>
          </w:tcPr>
          <w:p>
            <w:pPr>
              <w:jc w:val="right"/>
              <w:spacing w:after="0"/>
              <w:rPr>
                <w:sz w:val="20"/>
                <w:szCs w:val="20"/>
                <w:color w:val="auto"/>
              </w:rPr>
            </w:pPr>
            <w:r>
              <w:rPr>
                <w:rFonts w:ascii="Arial" w:cs="Arial" w:eastAsia="Arial" w:hAnsi="Arial"/>
                <w:sz w:val="18"/>
                <w:szCs w:val="18"/>
                <w:color w:val="auto"/>
              </w:rPr>
              <w:t>$4,081</w:t>
            </w:r>
          </w:p>
        </w:tc>
      </w:tr>
      <w:tr>
        <w:trPr>
          <w:trHeight w:val="217"/>
        </w:trPr>
        <w:tc>
          <w:tcPr>
            <w:tcW w:w="8620" w:type="dxa"/>
            <w:vAlign w:val="bottom"/>
          </w:tcPr>
          <w:p>
            <w:pPr>
              <w:ind w:left="60"/>
              <w:spacing w:after="0"/>
              <w:rPr>
                <w:sz w:val="20"/>
                <w:szCs w:val="20"/>
                <w:color w:val="auto"/>
              </w:rPr>
            </w:pPr>
            <w:r>
              <w:rPr>
                <w:rFonts w:ascii="Arial" w:cs="Arial" w:eastAsia="Arial" w:hAnsi="Arial"/>
                <w:sz w:val="18"/>
                <w:szCs w:val="18"/>
                <w:color w:val="auto"/>
              </w:rPr>
              <w:t>Audit-Related Fees</w:t>
            </w:r>
          </w:p>
        </w:tc>
        <w:tc>
          <w:tcPr>
            <w:tcW w:w="1000" w:type="dxa"/>
            <w:vAlign w:val="bottom"/>
          </w:tcPr>
          <w:p>
            <w:pPr>
              <w:jc w:val="right"/>
              <w:ind w:right="135"/>
              <w:spacing w:after="0"/>
              <w:rPr>
                <w:sz w:val="20"/>
                <w:szCs w:val="20"/>
                <w:color w:val="auto"/>
              </w:rPr>
            </w:pPr>
            <w:r>
              <w:rPr>
                <w:rFonts w:ascii="Arial" w:cs="Arial" w:eastAsia="Arial" w:hAnsi="Arial"/>
                <w:sz w:val="18"/>
                <w:szCs w:val="18"/>
                <w:color w:val="auto"/>
              </w:rPr>
              <w:t>371</w:t>
            </w:r>
          </w:p>
        </w:tc>
        <w:tc>
          <w:tcPr>
            <w:tcW w:w="140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6"/>
        </w:trPr>
        <w:tc>
          <w:tcPr>
            <w:tcW w:w="8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3"/>
        </w:trPr>
        <w:tc>
          <w:tcPr>
            <w:tcW w:w="8620" w:type="dxa"/>
            <w:vAlign w:val="bottom"/>
            <w:tcBorders>
              <w:bottom w:val="single" w:sz="8" w:color="E5EAF5"/>
            </w:tcBorders>
            <w:shd w:val="clear" w:color="auto" w:fill="E5EAF5"/>
          </w:tcPr>
          <w:p>
            <w:pPr>
              <w:ind w:left="60"/>
              <w:spacing w:after="0" w:line="202" w:lineRule="exact"/>
              <w:rPr>
                <w:sz w:val="20"/>
                <w:szCs w:val="20"/>
                <w:color w:val="auto"/>
              </w:rPr>
            </w:pPr>
            <w:r>
              <w:rPr>
                <w:rFonts w:ascii="Arial" w:cs="Arial" w:eastAsia="Arial" w:hAnsi="Arial"/>
                <w:sz w:val="18"/>
                <w:szCs w:val="18"/>
                <w:color w:val="auto"/>
              </w:rPr>
              <w:t>Tax Fees</w:t>
            </w:r>
          </w:p>
        </w:tc>
        <w:tc>
          <w:tcPr>
            <w:tcW w:w="1000" w:type="dxa"/>
            <w:vAlign w:val="bottom"/>
            <w:tcBorders>
              <w:bottom w:val="single" w:sz="8" w:color="E5EAF5"/>
            </w:tcBorders>
            <w:shd w:val="clear" w:color="auto" w:fill="E5EAF5"/>
          </w:tcPr>
          <w:p>
            <w:pPr>
              <w:jc w:val="right"/>
              <w:ind w:right="135"/>
              <w:spacing w:after="0" w:line="202" w:lineRule="exact"/>
              <w:rPr>
                <w:sz w:val="20"/>
                <w:szCs w:val="20"/>
                <w:color w:val="auto"/>
              </w:rPr>
            </w:pPr>
            <w:r>
              <w:rPr>
                <w:rFonts w:ascii="Arial" w:cs="Arial" w:eastAsia="Arial" w:hAnsi="Arial"/>
                <w:sz w:val="18"/>
                <w:szCs w:val="18"/>
                <w:color w:val="auto"/>
              </w:rPr>
              <w:t>265</w:t>
            </w:r>
          </w:p>
        </w:tc>
        <w:tc>
          <w:tcPr>
            <w:tcW w:w="1400" w:type="dxa"/>
            <w:vAlign w:val="bottom"/>
            <w:tcBorders>
              <w:bottom w:val="single" w:sz="8" w:color="E5EAF5"/>
            </w:tcBorders>
            <w:shd w:val="clear" w:color="auto" w:fill="E5EAF5"/>
          </w:tcPr>
          <w:p>
            <w:pPr>
              <w:jc w:val="right"/>
              <w:spacing w:after="0" w:line="202" w:lineRule="exact"/>
              <w:rPr>
                <w:sz w:val="20"/>
                <w:szCs w:val="20"/>
                <w:color w:val="auto"/>
              </w:rPr>
            </w:pPr>
            <w:r>
              <w:rPr>
                <w:rFonts w:ascii="Arial" w:cs="Arial" w:eastAsia="Arial" w:hAnsi="Arial"/>
                <w:sz w:val="18"/>
                <w:szCs w:val="18"/>
                <w:color w:val="auto"/>
              </w:rPr>
              <w:t>119</w:t>
            </w:r>
          </w:p>
        </w:tc>
      </w:tr>
      <w:tr>
        <w:trPr>
          <w:trHeight w:val="217"/>
        </w:trPr>
        <w:tc>
          <w:tcPr>
            <w:tcW w:w="8620" w:type="dxa"/>
            <w:vAlign w:val="bottom"/>
          </w:tcPr>
          <w:p>
            <w:pPr>
              <w:ind w:left="60"/>
              <w:spacing w:after="0"/>
              <w:rPr>
                <w:sz w:val="20"/>
                <w:szCs w:val="20"/>
                <w:color w:val="auto"/>
              </w:rPr>
            </w:pPr>
            <w:r>
              <w:rPr>
                <w:rFonts w:ascii="Arial" w:cs="Arial" w:eastAsia="Arial" w:hAnsi="Arial"/>
                <w:sz w:val="18"/>
                <w:szCs w:val="18"/>
                <w:color w:val="auto"/>
              </w:rPr>
              <w:t>All Other Fees</w:t>
            </w:r>
          </w:p>
        </w:tc>
        <w:tc>
          <w:tcPr>
            <w:tcW w:w="1000" w:type="dxa"/>
            <w:vAlign w:val="bottom"/>
          </w:tcPr>
          <w:p>
            <w:pPr>
              <w:jc w:val="right"/>
              <w:ind w:right="135"/>
              <w:spacing w:after="0"/>
              <w:rPr>
                <w:sz w:val="20"/>
                <w:szCs w:val="20"/>
                <w:color w:val="auto"/>
              </w:rPr>
            </w:pPr>
            <w:r>
              <w:rPr>
                <w:rFonts w:ascii="Arial" w:cs="Arial" w:eastAsia="Arial" w:hAnsi="Arial"/>
                <w:sz w:val="18"/>
                <w:szCs w:val="18"/>
                <w:color w:val="auto"/>
              </w:rPr>
              <w:t>35</w:t>
            </w:r>
          </w:p>
        </w:tc>
        <w:tc>
          <w:tcPr>
            <w:tcW w:w="14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40"/>
        </w:trPr>
        <w:tc>
          <w:tcPr>
            <w:tcW w:w="8620" w:type="dxa"/>
            <w:vAlign w:val="bottom"/>
            <w:tcBorders>
              <w:bottom w:val="single" w:sz="8" w:color="0033A0"/>
            </w:tcBorders>
          </w:tcPr>
          <w:p>
            <w:pPr>
              <w:spacing w:after="0"/>
              <w:rPr>
                <w:sz w:val="3"/>
                <w:szCs w:val="3"/>
                <w:color w:val="auto"/>
              </w:rPr>
            </w:pPr>
          </w:p>
        </w:tc>
        <w:tc>
          <w:tcPr>
            <w:tcW w:w="1000" w:type="dxa"/>
            <w:vAlign w:val="bottom"/>
            <w:tcBorders>
              <w:bottom w:val="single" w:sz="8" w:color="0033A0"/>
            </w:tcBorders>
          </w:tcPr>
          <w:p>
            <w:pPr>
              <w:spacing w:after="0"/>
              <w:rPr>
                <w:sz w:val="3"/>
                <w:szCs w:val="3"/>
                <w:color w:val="auto"/>
              </w:rPr>
            </w:pPr>
          </w:p>
        </w:tc>
        <w:tc>
          <w:tcPr>
            <w:tcW w:w="1400" w:type="dxa"/>
            <w:vAlign w:val="bottom"/>
            <w:tcBorders>
              <w:bottom w:val="single" w:sz="8" w:color="0033A0"/>
            </w:tcBorders>
          </w:tcPr>
          <w:p>
            <w:pPr>
              <w:spacing w:after="0"/>
              <w:rPr>
                <w:sz w:val="3"/>
                <w:szCs w:val="3"/>
                <w:color w:val="auto"/>
              </w:rPr>
            </w:pPr>
          </w:p>
        </w:tc>
      </w:tr>
      <w:tr>
        <w:trPr>
          <w:trHeight w:val="230"/>
        </w:trPr>
        <w:tc>
          <w:tcPr>
            <w:tcW w:w="8620" w:type="dxa"/>
            <w:vAlign w:val="bottom"/>
            <w:tcBorders>
              <w:bottom w:val="single" w:sz="8" w:color="E5EAF5"/>
            </w:tcBorders>
            <w:shd w:val="clear" w:color="auto" w:fill="E5EAF5"/>
          </w:tcPr>
          <w:p>
            <w:pPr>
              <w:ind w:left="60"/>
              <w:spacing w:after="0" w:line="196" w:lineRule="exact"/>
              <w:rPr>
                <w:sz w:val="20"/>
                <w:szCs w:val="20"/>
                <w:color w:val="auto"/>
              </w:rPr>
            </w:pPr>
            <w:r>
              <w:rPr>
                <w:rFonts w:ascii="Arial" w:cs="Arial" w:eastAsia="Arial" w:hAnsi="Arial"/>
                <w:sz w:val="18"/>
                <w:szCs w:val="18"/>
                <w:color w:val="auto"/>
              </w:rPr>
              <w:t>Total Fees</w:t>
            </w:r>
          </w:p>
        </w:tc>
        <w:tc>
          <w:tcPr>
            <w:tcW w:w="1000" w:type="dxa"/>
            <w:vAlign w:val="bottom"/>
            <w:tcBorders>
              <w:bottom w:val="single" w:sz="8" w:color="E5EAF5"/>
            </w:tcBorders>
            <w:shd w:val="clear" w:color="auto" w:fill="E5EAF5"/>
          </w:tcPr>
          <w:p>
            <w:pPr>
              <w:jc w:val="right"/>
              <w:ind w:right="135"/>
              <w:spacing w:after="0" w:line="196" w:lineRule="exact"/>
              <w:rPr>
                <w:sz w:val="20"/>
                <w:szCs w:val="20"/>
                <w:color w:val="auto"/>
              </w:rPr>
            </w:pPr>
            <w:r>
              <w:rPr>
                <w:rFonts w:ascii="Arial" w:cs="Arial" w:eastAsia="Arial" w:hAnsi="Arial"/>
                <w:sz w:val="18"/>
                <w:szCs w:val="18"/>
                <w:color w:val="auto"/>
              </w:rPr>
              <w:t>$4,200</w:t>
            </w:r>
          </w:p>
        </w:tc>
        <w:tc>
          <w:tcPr>
            <w:tcW w:w="1400" w:type="dxa"/>
            <w:vAlign w:val="bottom"/>
            <w:tcBorders>
              <w:bottom w:val="single" w:sz="8" w:color="E5EAF5"/>
            </w:tcBorders>
            <w:shd w:val="clear" w:color="auto" w:fill="E5EAF5"/>
          </w:tcPr>
          <w:p>
            <w:pPr>
              <w:jc w:val="right"/>
              <w:spacing w:after="0" w:line="196" w:lineRule="exact"/>
              <w:rPr>
                <w:sz w:val="20"/>
                <w:szCs w:val="20"/>
                <w:color w:val="auto"/>
              </w:rPr>
            </w:pPr>
            <w:r>
              <w:rPr>
                <w:rFonts w:ascii="Arial" w:cs="Arial" w:eastAsia="Arial" w:hAnsi="Arial"/>
                <w:sz w:val="18"/>
                <w:szCs w:val="18"/>
                <w:color w:val="auto"/>
              </w:rPr>
              <w:t>$4,364</w:t>
            </w:r>
          </w:p>
        </w:tc>
      </w:tr>
      <w:tr>
        <w:trPr>
          <w:trHeight w:val="20"/>
        </w:trPr>
        <w:tc>
          <w:tcPr>
            <w:tcW w:w="8620" w:type="dxa"/>
            <w:vAlign w:val="bottom"/>
            <w:shd w:val="clear" w:color="auto" w:fill="0033A0"/>
          </w:tcPr>
          <w:p>
            <w:pPr>
              <w:spacing w:after="0" w:line="20" w:lineRule="exact"/>
              <w:rPr>
                <w:sz w:val="1"/>
                <w:szCs w:val="1"/>
                <w:color w:val="auto"/>
              </w:rPr>
            </w:pPr>
          </w:p>
        </w:tc>
        <w:tc>
          <w:tcPr>
            <w:tcW w:w="1000" w:type="dxa"/>
            <w:vAlign w:val="bottom"/>
            <w:shd w:val="clear" w:color="auto" w:fill="0033A0"/>
          </w:tcPr>
          <w:p>
            <w:pPr>
              <w:spacing w:after="0" w:line="20" w:lineRule="exact"/>
              <w:rPr>
                <w:sz w:val="1"/>
                <w:szCs w:val="1"/>
                <w:color w:val="auto"/>
              </w:rPr>
            </w:pPr>
          </w:p>
        </w:tc>
        <w:tc>
          <w:tcPr>
            <w:tcW w:w="1400" w:type="dxa"/>
            <w:vAlign w:val="bottom"/>
            <w:shd w:val="clear" w:color="auto" w:fill="0033A0"/>
          </w:tcPr>
          <w:p>
            <w:pPr>
              <w:spacing w:after="0" w:line="20" w:lineRule="exact"/>
              <w:rPr>
                <w:sz w:val="1"/>
                <w:szCs w:val="1"/>
                <w:color w:val="auto"/>
              </w:rPr>
            </w:pPr>
          </w:p>
        </w:tc>
      </w:tr>
    </w:tbl>
    <w:p>
      <w:pPr>
        <w:spacing w:after="0" w:line="153" w:lineRule="exact"/>
        <w:rPr>
          <w:sz w:val="20"/>
          <w:szCs w:val="20"/>
          <w:color w:val="auto"/>
        </w:rPr>
      </w:pPr>
    </w:p>
    <w:p>
      <w:pPr>
        <w:sectPr>
          <w:pgSz w:w="11900" w:h="16838" w:orient="portrait"/>
          <w:cols w:equalWidth="0" w:num="1">
            <w:col w:w="11240"/>
          </w:cols>
          <w:pgMar w:left="240" w:top="459" w:right="419" w:bottom="1440" w:gutter="0" w:footer="0" w:header="0"/>
        </w:sectPr>
      </w:pPr>
    </w:p>
    <w:p>
      <w:pPr>
        <w:ind w:left="220" w:right="60"/>
        <w:spacing w:after="0" w:line="241" w:lineRule="auto"/>
        <w:rPr>
          <w:sz w:val="20"/>
          <w:szCs w:val="20"/>
          <w:color w:val="auto"/>
        </w:rPr>
      </w:pPr>
      <w:r>
        <w:rPr>
          <w:rFonts w:ascii="Arial" w:cs="Arial" w:eastAsia="Arial" w:hAnsi="Arial"/>
          <w:sz w:val="18"/>
          <w:szCs w:val="18"/>
          <w:b w:val="1"/>
          <w:bCs w:val="1"/>
          <w:color w:val="auto"/>
        </w:rPr>
        <w:t xml:space="preserve">Audit Fees </w:t>
      </w:r>
      <w:r>
        <w:rPr>
          <w:rFonts w:ascii="Arial" w:cs="Arial" w:eastAsia="Arial" w:hAnsi="Arial"/>
          <w:sz w:val="18"/>
          <w:szCs w:val="18"/>
          <w:color w:val="auto"/>
        </w:rPr>
        <w:t>are primarily for professional services provided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the audit of the Company’s financial statements and review of quarterly consolidated financial statements (including the audit of the effectiveness of internal control over financial reporting required by Section 404 of the Sarbanes-Oxley Act of 2002) and audit services provided in connection with other statutory or regulatory filings.</w:t>
      </w:r>
    </w:p>
    <w:p>
      <w:pPr>
        <w:spacing w:after="0" w:line="71" w:lineRule="exact"/>
        <w:rPr>
          <w:sz w:val="20"/>
          <w:szCs w:val="20"/>
          <w:color w:val="auto"/>
        </w:rPr>
      </w:pPr>
    </w:p>
    <w:p>
      <w:pPr>
        <w:ind w:left="220" w:right="60"/>
        <w:spacing w:after="0" w:line="244" w:lineRule="auto"/>
        <w:rPr>
          <w:sz w:val="20"/>
          <w:szCs w:val="20"/>
          <w:color w:val="auto"/>
        </w:rPr>
      </w:pPr>
      <w:r>
        <w:rPr>
          <w:rFonts w:ascii="Arial" w:cs="Arial" w:eastAsia="Arial" w:hAnsi="Arial"/>
          <w:sz w:val="18"/>
          <w:szCs w:val="18"/>
          <w:b w:val="1"/>
          <w:bCs w:val="1"/>
          <w:color w:val="auto"/>
        </w:rPr>
        <w:t xml:space="preserve">Audit-Related Fees </w:t>
      </w:r>
      <w:r>
        <w:rPr>
          <w:rFonts w:ascii="Arial" w:cs="Arial" w:eastAsia="Arial" w:hAnsi="Arial"/>
          <w:sz w:val="18"/>
          <w:szCs w:val="18"/>
          <w:color w:val="auto"/>
        </w:rPr>
        <w:t>primarily include fees for assurance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that are reasonably related to the audit of the Company’s consolidated financial statements and for services in connection with audits of the Company’s pension and other employee benefit plans.</w:t>
      </w:r>
    </w:p>
    <w:p>
      <w:pPr>
        <w:spacing w:after="0" w:line="69" w:lineRule="exact"/>
        <w:rPr>
          <w:sz w:val="20"/>
          <w:szCs w:val="20"/>
          <w:color w:val="auto"/>
        </w:rPr>
      </w:pPr>
    </w:p>
    <w:p>
      <w:pPr>
        <w:ind w:left="220"/>
        <w:spacing w:after="0" w:line="244" w:lineRule="auto"/>
        <w:rPr>
          <w:sz w:val="20"/>
          <w:szCs w:val="20"/>
          <w:color w:val="auto"/>
        </w:rPr>
      </w:pPr>
      <w:r>
        <w:rPr>
          <w:rFonts w:ascii="Arial" w:cs="Arial" w:eastAsia="Arial" w:hAnsi="Arial"/>
          <w:sz w:val="18"/>
          <w:szCs w:val="18"/>
          <w:b w:val="1"/>
          <w:bCs w:val="1"/>
          <w:color w:val="auto"/>
        </w:rPr>
        <w:t xml:space="preserve">Tax Fees </w:t>
      </w:r>
      <w:r>
        <w:rPr>
          <w:rFonts w:ascii="Arial" w:cs="Arial" w:eastAsia="Arial" w:hAnsi="Arial"/>
          <w:sz w:val="18"/>
          <w:szCs w:val="18"/>
          <w:color w:val="auto"/>
        </w:rPr>
        <w:t>primarily include fees associated with tax compliance</w:t>
      </w:r>
      <w:r>
        <w:rPr>
          <w:rFonts w:ascii="Arial" w:cs="Arial" w:eastAsia="Arial" w:hAnsi="Arial"/>
          <w:sz w:val="18"/>
          <w:szCs w:val="18"/>
          <w:b w:val="1"/>
          <w:bCs w:val="1"/>
          <w:color w:val="auto"/>
        </w:rPr>
        <w:t xml:space="preserve"> </w:t>
      </w:r>
      <w:r>
        <w:rPr>
          <w:rFonts w:ascii="Arial" w:cs="Arial" w:eastAsia="Arial" w:hAnsi="Arial"/>
          <w:sz w:val="18"/>
          <w:szCs w:val="18"/>
          <w:color w:val="auto"/>
        </w:rPr>
        <w:t>and tax advice, as well as domestic and international tax planning. This category also includes tax planning on mergers and acquisitions and restructurings, as well as other services related to tax disclosure and filing requirements.</w:t>
      </w:r>
    </w:p>
    <w:p>
      <w:pPr>
        <w:spacing w:after="0" w:line="69" w:lineRule="exact"/>
        <w:rPr>
          <w:sz w:val="20"/>
          <w:szCs w:val="20"/>
          <w:color w:val="auto"/>
        </w:rPr>
      </w:pPr>
    </w:p>
    <w:p>
      <w:pPr>
        <w:ind w:left="220" w:right="420"/>
        <w:spacing w:after="0" w:line="271" w:lineRule="auto"/>
        <w:rPr>
          <w:sz w:val="20"/>
          <w:szCs w:val="20"/>
          <w:color w:val="auto"/>
        </w:rPr>
      </w:pPr>
      <w:r>
        <w:rPr>
          <w:rFonts w:ascii="Arial" w:cs="Arial" w:eastAsia="Arial" w:hAnsi="Arial"/>
          <w:sz w:val="18"/>
          <w:szCs w:val="18"/>
          <w:b w:val="1"/>
          <w:bCs w:val="1"/>
          <w:color w:val="auto"/>
        </w:rPr>
        <w:t xml:space="preserve">All Other Fees </w:t>
      </w:r>
      <w:r>
        <w:rPr>
          <w:rFonts w:ascii="Arial" w:cs="Arial" w:eastAsia="Arial" w:hAnsi="Arial"/>
          <w:sz w:val="18"/>
          <w:szCs w:val="18"/>
          <w:color w:val="auto"/>
        </w:rPr>
        <w:t>are for services provided to the Company not</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included in the categories above.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i w:val="1"/>
          <w:iCs w:val="1"/>
          <w:color w:val="auto"/>
        </w:rPr>
        <w:t>Consideration of Auditor Independence</w:t>
      </w:r>
    </w:p>
    <w:p>
      <w:pPr>
        <w:spacing w:after="0" w:line="126" w:lineRule="exact"/>
        <w:rPr>
          <w:sz w:val="20"/>
          <w:szCs w:val="20"/>
          <w:color w:val="auto"/>
        </w:rPr>
      </w:pPr>
    </w:p>
    <w:p>
      <w:pPr>
        <w:ind w:right="420"/>
        <w:spacing w:after="0"/>
        <w:rPr>
          <w:sz w:val="20"/>
          <w:szCs w:val="20"/>
          <w:color w:val="auto"/>
        </w:rPr>
      </w:pPr>
      <w:r>
        <w:rPr>
          <w:rFonts w:ascii="Arial" w:cs="Arial" w:eastAsia="Arial" w:hAnsi="Arial"/>
          <w:sz w:val="18"/>
          <w:szCs w:val="18"/>
          <w:color w:val="auto"/>
        </w:rPr>
        <w:t>The Audit Committee has concluded that the provision of the non-audit services by Deloitte was compatible with maintaining Deloitte’s independence.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Procedures for Pre-Approval of Audit and Non-Audit Services</w:t>
      </w:r>
    </w:p>
    <w:p>
      <w:pPr>
        <w:spacing w:after="0" w:line="126"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The Audit Committee has adopted written procedures for pre-approving audit and non-audit services provided by the independent registered public accounting firm. The pre-approved services are described in detail under three categories: audit and audit-related, tax services and agreed upon procedures. Requests for services are reviewed by the members of the Company’s Legal and Finance Departments to ensure that they satisfy the requirements of the pre-approval policy. The Audit Committee is provided a detailed update of these audit and non-audit engagements at each regular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-2275205</wp:posOffset>
            </wp:positionH>
            <wp:positionV relativeFrom="paragraph">
              <wp:posOffset>989330</wp:posOffset>
            </wp:positionV>
            <wp:extent cx="441642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4416425" cy="8890"/>
                    </a:xfrm>
                    <a:prstGeom prst="rect">
                      <a:avLst/>
                    </a:prstGeom>
                    <a:noFill/>
                  </pic:spPr>
                </pic:pic>
              </a:graphicData>
            </a:graphic>
          </wp:anchor>
        </w:drawing>
      </w:r>
    </w:p>
    <w:p>
      <w:pPr>
        <w:spacing w:after="0" w:line="1041" w:lineRule="exact"/>
        <w:rPr>
          <w:sz w:val="20"/>
          <w:szCs w:val="20"/>
          <w:color w:val="auto"/>
        </w:rPr>
      </w:pPr>
    </w:p>
    <w:p>
      <w:pPr>
        <w:sectPr>
          <w:pgSz w:w="11900" w:h="16838" w:orient="portrait"/>
          <w:cols w:equalWidth="0" w:num="2">
            <w:col w:w="5480" w:space="340"/>
            <w:col w:w="5420"/>
          </w:cols>
          <w:pgMar w:left="240" w:top="459"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left="2840" w:right="2660"/>
        <w:spacing w:after="0" w:line="247" w:lineRule="auto"/>
        <w:rPr>
          <w:sz w:val="20"/>
          <w:szCs w:val="20"/>
          <w:color w:val="auto"/>
        </w:rPr>
      </w:pPr>
      <w:r>
        <w:rPr>
          <w:rFonts w:ascii="Arial" w:cs="Arial" w:eastAsia="Arial" w:hAnsi="Arial"/>
          <w:sz w:val="18"/>
          <w:szCs w:val="18"/>
          <w:b w:val="1"/>
          <w:bCs w:val="1"/>
          <w:color w:val="0033A0"/>
        </w:rPr>
        <w:t>THE BOARD OF DIRECTORS RECOMMENDS THAT THE SHAREHOLDERS VOTE FOR APPROVAL OF THE SELECTION OF DELOITTE &amp; TOUCHE LLP AS THE COMPANY’S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1419860</wp:posOffset>
            </wp:positionH>
            <wp:positionV relativeFrom="paragraph">
              <wp:posOffset>142240</wp:posOffset>
            </wp:positionV>
            <wp:extent cx="441642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4416425" cy="8890"/>
                    </a:xfrm>
                    <a:prstGeom prst="rect">
                      <a:avLst/>
                    </a:prstGeom>
                    <a:noFill/>
                  </pic:spPr>
                </pic:pic>
              </a:graphicData>
            </a:graphic>
          </wp:anchor>
        </w:drawing>
      </w:r>
    </w:p>
    <w:p>
      <w:pPr>
        <w:spacing w:after="0" w:line="393" w:lineRule="exact"/>
        <w:rPr>
          <w:sz w:val="20"/>
          <w:szCs w:val="20"/>
          <w:color w:val="auto"/>
        </w:rPr>
      </w:pPr>
    </w:p>
    <w:tbl>
      <w:tblPr>
        <w:tblLayout w:type="fixed"/>
        <w:tblInd w:w="8820" w:type="dxa"/>
        <w:tblCellMar>
          <w:top w:w="0" w:type="dxa"/>
          <w:left w:w="0" w:type="dxa"/>
          <w:bottom w:w="0" w:type="dxa"/>
          <w:right w:w="0" w:type="dxa"/>
        </w:tblCellMar>
      </w:tblPr>
      <w:tr>
        <w:trPr>
          <w:trHeight w:val="297"/>
        </w:trPr>
        <w:tc>
          <w:tcPr>
            <w:tcW w:w="1900" w:type="dxa"/>
            <w:vAlign w:val="bottom"/>
            <w:tcBorders>
              <w:right w:val="single" w:sz="8" w:color="0033A0"/>
            </w:tcBorders>
          </w:tcPr>
          <w:p>
            <w:pPr>
              <w:spacing w:after="0"/>
              <w:rPr>
                <w:sz w:val="20"/>
                <w:szCs w:val="20"/>
                <w:color w:val="auto"/>
              </w:rPr>
            </w:pPr>
            <w:r>
              <w:rPr>
                <w:rFonts w:ascii="Arial" w:cs="Arial" w:eastAsia="Arial" w:hAnsi="Arial"/>
                <w:sz w:val="18"/>
                <w:szCs w:val="18"/>
                <w:i w:val="1"/>
                <w:iCs w:val="1"/>
                <w:color w:val="auto"/>
              </w:rPr>
              <w:t>2019 Proxy Statement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-170815</wp:posOffset>
            </wp:positionV>
            <wp:extent cx="720090" cy="12890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0090" cy="12890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type w:val="continuous"/>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0033A0"/>
        </w:rPr>
        <w:t>The Brink’s Company</w:t>
      </w:r>
    </w:p>
    <w:p>
      <w:pPr>
        <w:spacing w:after="0" w:line="161" w:lineRule="exact"/>
        <w:rPr>
          <w:sz w:val="20"/>
          <w:szCs w:val="20"/>
          <w:color w:val="auto"/>
        </w:rPr>
      </w:pPr>
    </w:p>
    <w:p>
      <w:pPr>
        <w:ind w:left="200"/>
        <w:spacing w:after="0"/>
        <w:rPr>
          <w:sz w:val="20"/>
          <w:szCs w:val="20"/>
          <w:color w:val="auto"/>
        </w:rPr>
      </w:pPr>
      <w:r>
        <w:rPr>
          <w:rFonts w:ascii="Arial" w:cs="Arial" w:eastAsia="Arial" w:hAnsi="Arial"/>
          <w:sz w:val="43"/>
          <w:szCs w:val="43"/>
          <w:color w:val="0033A0"/>
        </w:rPr>
        <w:t>AUDIT AND ETHICS COMMITTEE REPORT</w:t>
      </w:r>
    </w:p>
    <w:p>
      <w:pPr>
        <w:spacing w:after="0" w:line="222" w:lineRule="exact"/>
        <w:rPr>
          <w:sz w:val="20"/>
          <w:szCs w:val="20"/>
          <w:color w:val="auto"/>
        </w:rPr>
      </w:pPr>
    </w:p>
    <w:p>
      <w:pPr>
        <w:ind w:left="200" w:right="40"/>
        <w:spacing w:after="0" w:line="237" w:lineRule="auto"/>
        <w:rPr>
          <w:sz w:val="20"/>
          <w:szCs w:val="20"/>
          <w:color w:val="auto"/>
        </w:rPr>
      </w:pPr>
      <w:r>
        <w:rPr>
          <w:rFonts w:ascii="Arial" w:cs="Arial" w:eastAsia="Arial" w:hAnsi="Arial"/>
          <w:sz w:val="18"/>
          <w:szCs w:val="18"/>
          <w:color w:val="auto"/>
        </w:rPr>
        <w:t>In accordance with the Audit Committee Charter, the Audit Committee assists the Board in fulfilling its responsibility for oversight of the integrity of the accounting, auditing and financial reporting practices of the Company. Each member of the Audit Committee is “independent” as required by the applicable listing standards of the NYSE and the rules of the SEC. During the fiscal year ended December 31, 2018, the Audit Committee met nine times, and the Audit Committee reviewed and discussed the financial information contained in the Company’s Annual Report on Form 10-K, interim financial information contained in the Company’s Quarterly Reports on Form 10-Q, and discussed press releases announcing earnings with the Company’s Chief Financial Officer and the independent registered public accounting firm prior to public release.</w:t>
      </w:r>
    </w:p>
    <w:p>
      <w:pPr>
        <w:spacing w:after="0" w:line="95" w:lineRule="exact"/>
        <w:rPr>
          <w:sz w:val="20"/>
          <w:szCs w:val="20"/>
          <w:color w:val="auto"/>
        </w:rPr>
      </w:pPr>
    </w:p>
    <w:p>
      <w:pPr>
        <w:ind w:left="200" w:right="20"/>
        <w:spacing w:after="0" w:line="237" w:lineRule="auto"/>
        <w:rPr>
          <w:sz w:val="20"/>
          <w:szCs w:val="20"/>
          <w:color w:val="auto"/>
        </w:rPr>
      </w:pPr>
      <w:r>
        <w:rPr>
          <w:rFonts w:ascii="Arial" w:cs="Arial" w:eastAsia="Arial" w:hAnsi="Arial"/>
          <w:sz w:val="18"/>
          <w:szCs w:val="18"/>
          <w:color w:val="auto"/>
        </w:rPr>
        <w:t>The Audit Committee members are not professional accountants or auditors, and their functions are not intended to duplicate or to certify the activities of management or the Company’s independent registered public accounting firm. The Audit Committee oversees the Company’s financial reporting process on behalf of the Board. The Company’s management has primary responsibility for the financial statements and reporting process, including the Company’s internal control over financial reporting. The independent registered public accounting firm is responsible for performing an integrated audit of the Company’s financial statements and internal control over financial reporting in accordance with the auditing standards of the Public Company Accounting Oversight Board.</w:t>
      </w:r>
    </w:p>
    <w:p>
      <w:pPr>
        <w:spacing w:after="0" w:line="9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connection with the responsibilities set forth in its charter, the Audit Committee has:</w:t>
      </w:r>
    </w:p>
    <w:p>
      <w:pPr>
        <w:spacing w:after="0" w:line="117" w:lineRule="exact"/>
        <w:rPr>
          <w:sz w:val="20"/>
          <w:szCs w:val="20"/>
          <w:color w:val="auto"/>
        </w:rPr>
      </w:pPr>
    </w:p>
    <w:p>
      <w:pPr>
        <w:ind w:left="1060" w:right="100" w:hanging="316"/>
        <w:spacing w:after="0" w:line="246" w:lineRule="auto"/>
        <w:tabs>
          <w:tab w:leader="none" w:pos="1060" w:val="left"/>
        </w:tabs>
        <w:numPr>
          <w:ilvl w:val="0"/>
          <w:numId w:val="89"/>
        </w:numPr>
        <w:rPr>
          <w:rFonts w:ascii="Arial" w:cs="Arial" w:eastAsia="Arial" w:hAnsi="Arial"/>
          <w:sz w:val="18"/>
          <w:szCs w:val="18"/>
          <w:color w:val="0033A0"/>
        </w:rPr>
      </w:pPr>
      <w:r>
        <w:rPr>
          <w:rFonts w:ascii="Arial" w:cs="Arial" w:eastAsia="Arial" w:hAnsi="Arial"/>
          <w:sz w:val="18"/>
          <w:szCs w:val="18"/>
          <w:color w:val="auto"/>
        </w:rPr>
        <w:t>reviewed and discussed the audited financial statements for the fiscal year ended December 31, 2018 with management and Deloitte, the Company’s independent auditors;</w:t>
      </w:r>
    </w:p>
    <w:p>
      <w:pPr>
        <w:spacing w:after="0" w:line="102" w:lineRule="exact"/>
        <w:rPr>
          <w:rFonts w:ascii="Arial" w:cs="Arial" w:eastAsia="Arial" w:hAnsi="Arial"/>
          <w:sz w:val="18"/>
          <w:szCs w:val="18"/>
          <w:color w:val="0033A0"/>
        </w:rPr>
      </w:pPr>
    </w:p>
    <w:p>
      <w:pPr>
        <w:ind w:left="1060" w:right="200" w:hanging="316"/>
        <w:spacing w:after="0"/>
        <w:tabs>
          <w:tab w:leader="none" w:pos="1060" w:val="left"/>
        </w:tabs>
        <w:numPr>
          <w:ilvl w:val="0"/>
          <w:numId w:val="89"/>
        </w:numPr>
        <w:rPr>
          <w:rFonts w:ascii="Arial" w:cs="Arial" w:eastAsia="Arial" w:hAnsi="Arial"/>
          <w:sz w:val="18"/>
          <w:szCs w:val="18"/>
          <w:color w:val="0033A0"/>
        </w:rPr>
      </w:pPr>
      <w:r>
        <w:rPr>
          <w:rFonts w:ascii="Arial" w:cs="Arial" w:eastAsia="Arial" w:hAnsi="Arial"/>
          <w:sz w:val="18"/>
          <w:szCs w:val="18"/>
          <w:color w:val="auto"/>
        </w:rPr>
        <w:t>discussed with Deloitte the matters required to be discussed by the Auditing Standard No. 16, Communications with Audit Committees, which superseded the Statement on Auditing Standards No. 61, as amended (AICPA, Professional Standards, Vol. 1. AU section 380), as adopted by the Public Company Accounting Oversight Board in Rule 3200T; and</w:t>
      </w:r>
    </w:p>
    <w:p>
      <w:pPr>
        <w:spacing w:after="0" w:line="108" w:lineRule="exact"/>
        <w:rPr>
          <w:rFonts w:ascii="Arial" w:cs="Arial" w:eastAsia="Arial" w:hAnsi="Arial"/>
          <w:sz w:val="18"/>
          <w:szCs w:val="18"/>
          <w:color w:val="0033A0"/>
        </w:rPr>
      </w:pPr>
    </w:p>
    <w:p>
      <w:pPr>
        <w:ind w:left="1060" w:hanging="316"/>
        <w:spacing w:after="0"/>
        <w:tabs>
          <w:tab w:leader="none" w:pos="1060" w:val="left"/>
        </w:tabs>
        <w:numPr>
          <w:ilvl w:val="0"/>
          <w:numId w:val="89"/>
        </w:numPr>
        <w:rPr>
          <w:rFonts w:ascii="Arial" w:cs="Arial" w:eastAsia="Arial" w:hAnsi="Arial"/>
          <w:sz w:val="18"/>
          <w:szCs w:val="18"/>
          <w:color w:val="0033A0"/>
        </w:rPr>
      </w:pPr>
      <w:r>
        <w:rPr>
          <w:rFonts w:ascii="Arial" w:cs="Arial" w:eastAsia="Arial" w:hAnsi="Arial"/>
          <w:sz w:val="18"/>
          <w:szCs w:val="18"/>
          <w:color w:val="auto"/>
        </w:rPr>
        <w:t>received the written disclosures and the letter from Deloitte required by the applicable requirements of the Public Company Accounting Oversight Board regarding Deloitte’s communications with the audit committee concerning independence, and has discussed with Deloitte its independence.</w:t>
      </w:r>
    </w:p>
    <w:p>
      <w:pPr>
        <w:spacing w:after="0" w:line="95" w:lineRule="exact"/>
        <w:rPr>
          <w:sz w:val="20"/>
          <w:szCs w:val="20"/>
          <w:color w:val="auto"/>
        </w:rPr>
      </w:pPr>
    </w:p>
    <w:p>
      <w:pPr>
        <w:ind w:left="200" w:right="500"/>
        <w:spacing w:after="0" w:line="246" w:lineRule="auto"/>
        <w:rPr>
          <w:sz w:val="20"/>
          <w:szCs w:val="20"/>
          <w:color w:val="auto"/>
        </w:rPr>
      </w:pPr>
      <w:r>
        <w:rPr>
          <w:rFonts w:ascii="Arial" w:cs="Arial" w:eastAsia="Arial" w:hAnsi="Arial"/>
          <w:sz w:val="18"/>
          <w:szCs w:val="18"/>
          <w:color w:val="auto"/>
        </w:rPr>
        <w:t>The Audit Committee also considered, as it determined appropriate, tax matters and other areas of financial reporting and the audit process over which the Audit Committee has oversight.</w:t>
      </w:r>
    </w:p>
    <w:p>
      <w:pPr>
        <w:spacing w:after="0" w:line="89" w:lineRule="exact"/>
        <w:rPr>
          <w:sz w:val="20"/>
          <w:szCs w:val="20"/>
          <w:color w:val="auto"/>
        </w:rPr>
      </w:pPr>
    </w:p>
    <w:p>
      <w:pPr>
        <w:ind w:left="200" w:right="40"/>
        <w:spacing w:after="0"/>
        <w:rPr>
          <w:sz w:val="20"/>
          <w:szCs w:val="20"/>
          <w:color w:val="auto"/>
        </w:rPr>
      </w:pPr>
      <w:r>
        <w:rPr>
          <w:rFonts w:ascii="Arial" w:cs="Arial" w:eastAsia="Arial" w:hAnsi="Arial"/>
          <w:sz w:val="18"/>
          <w:szCs w:val="18"/>
          <w:color w:val="auto"/>
        </w:rPr>
        <w:t>Based on the Audit Committee’s review and discussions described above, the Audit Committee recommended to the Board that the audited financial statements be included in the Company’s Annual Report on Form 10-K for the fiscal year ended December 31, 2018 for filing with the SEC.</w:t>
      </w:r>
    </w:p>
    <w:p>
      <w:pPr>
        <w:spacing w:after="0" w:line="7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 xml:space="preserve">Reginald D. Hedgebeth, </w:t>
      </w:r>
      <w:r>
        <w:rPr>
          <w:rFonts w:ascii="Arial" w:cs="Arial" w:eastAsia="Arial" w:hAnsi="Arial"/>
          <w:sz w:val="18"/>
          <w:szCs w:val="18"/>
          <w:i w:val="1"/>
          <w:iCs w:val="1"/>
          <w:color w:val="auto"/>
        </w:rPr>
        <w:t>Chair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Paul G. Boynton</w:t>
      </w:r>
    </w:p>
    <w:p>
      <w:pPr>
        <w:ind w:left="6060"/>
        <w:spacing w:after="0" w:line="234" w:lineRule="auto"/>
        <w:rPr>
          <w:sz w:val="20"/>
          <w:szCs w:val="20"/>
          <w:color w:val="auto"/>
        </w:rPr>
      </w:pPr>
      <w:r>
        <w:rPr>
          <w:rFonts w:ascii="Arial" w:cs="Arial" w:eastAsia="Arial" w:hAnsi="Arial"/>
          <w:sz w:val="18"/>
          <w:szCs w:val="18"/>
          <w:color w:val="auto"/>
        </w:rPr>
        <w:t>Ian D. Clough</w:t>
      </w:r>
    </w:p>
    <w:p>
      <w:pPr>
        <w:spacing w:after="0" w:line="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George I. Stoeckert</w:t>
      </w:r>
    </w:p>
    <w:p>
      <w:pPr>
        <w:spacing w:after="0" w:line="145" w:lineRule="exact"/>
        <w:rPr>
          <w:sz w:val="20"/>
          <w:szCs w:val="20"/>
          <w:color w:val="auto"/>
        </w:rPr>
      </w:pPr>
    </w:p>
    <w:tbl>
      <w:tblPr>
        <w:tblLayout w:type="fixed"/>
        <w:tblInd w:w="200" w:type="dxa"/>
        <w:tblCellMar>
          <w:top w:w="0" w:type="dxa"/>
          <w:left w:w="0" w:type="dxa"/>
          <w:bottom w:w="0" w:type="dxa"/>
          <w:right w:w="0" w:type="dxa"/>
        </w:tblCellMar>
      </w:tblPr>
      <w:tr>
        <w:trPr>
          <w:trHeight w:val="297"/>
        </w:trPr>
        <w:tc>
          <w:tcPr>
            <w:tcW w:w="360" w:type="dxa"/>
            <w:vAlign w:val="bottom"/>
            <w:tcBorders>
              <w:right w:val="single" w:sz="8" w:color="0033A0"/>
            </w:tcBorders>
          </w:tcPr>
          <w:p>
            <w:pPr>
              <w:jc w:val="right"/>
              <w:ind w:right="70"/>
              <w:spacing w:after="0"/>
              <w:rPr>
                <w:sz w:val="20"/>
                <w:szCs w:val="20"/>
                <w:color w:val="auto"/>
              </w:rPr>
            </w:pPr>
            <w:r>
              <w:rPr>
                <w:rFonts w:ascii="Arial" w:cs="Arial" w:eastAsia="Arial" w:hAnsi="Arial"/>
                <w:sz w:val="18"/>
                <w:szCs w:val="18"/>
                <w:b w:val="1"/>
                <w:bCs w:val="1"/>
                <w:color w:val="auto"/>
                <w:w w:val="89"/>
              </w:rPr>
              <w:t>76</w:t>
            </w:r>
          </w:p>
        </w:tc>
        <w:tc>
          <w:tcPr>
            <w:tcW w:w="3380" w:type="dxa"/>
            <w:vAlign w:val="bottom"/>
          </w:tcPr>
          <w:p>
            <w:pPr>
              <w:ind w:left="1600"/>
              <w:spacing w:after="0"/>
              <w:rPr>
                <w:sz w:val="20"/>
                <w:szCs w:val="20"/>
                <w:color w:val="auto"/>
              </w:rPr>
            </w:pPr>
            <w:r>
              <w:rPr>
                <w:rFonts w:ascii="Arial" w:cs="Arial" w:eastAsia="Arial" w:hAnsi="Arial"/>
                <w:sz w:val="18"/>
                <w:szCs w:val="18"/>
                <w:i w:val="1"/>
                <w:iCs w:val="1"/>
                <w:color w:val="auto"/>
                <w:w w:val="98"/>
              </w:rPr>
              <w:t>2019 Proxy Statement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-170815</wp:posOffset>
            </wp:positionV>
            <wp:extent cx="720090" cy="12890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0090" cy="128905"/>
                    </a:xfrm>
                    <a:prstGeom prst="rect">
                      <a:avLst/>
                    </a:prstGeom>
                    <a:noFill/>
                  </pic:spPr>
                </pic:pic>
              </a:graphicData>
            </a:graphic>
          </wp:anchor>
        </w:drawing>
      </w:r>
    </w:p>
    <w:p>
      <w:pPr>
        <w:sectPr>
          <w:pgSz w:w="11900" w:h="16838" w:orient="portrait"/>
          <w:cols w:equalWidth="0" w:num="1">
            <w:col w:w="11100"/>
          </w:cols>
          <w:pgMar w:left="240" w:top="459" w:right="5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0033A0"/>
        </w:rPr>
        <w:t>The Brink’s Company</w:t>
      </w:r>
    </w:p>
    <w:p>
      <w:pPr>
        <w:spacing w:after="0" w:line="161" w:lineRule="exact"/>
        <w:rPr>
          <w:sz w:val="20"/>
          <w:szCs w:val="20"/>
          <w:color w:val="auto"/>
        </w:rPr>
      </w:pPr>
    </w:p>
    <w:p>
      <w:pPr>
        <w:ind w:left="200"/>
        <w:spacing w:after="0"/>
        <w:rPr>
          <w:sz w:val="20"/>
          <w:szCs w:val="20"/>
          <w:color w:val="auto"/>
        </w:rPr>
      </w:pPr>
      <w:r>
        <w:rPr>
          <w:rFonts w:ascii="Arial" w:cs="Arial" w:eastAsia="Arial" w:hAnsi="Arial"/>
          <w:sz w:val="43"/>
          <w:szCs w:val="43"/>
          <w:color w:val="0033A0"/>
        </w:rPr>
        <w:t>OTHER INFORMATION</w:t>
      </w:r>
    </w:p>
    <w:p>
      <w:pPr>
        <w:spacing w:after="0" w:line="192"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auto"/>
        </w:rPr>
        <w:t>Shareholder Proposals and Director Nominations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68580</wp:posOffset>
            </wp:positionV>
            <wp:extent cx="699770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180"/>
          </w:cols>
          <w:pgMar w:left="240" w:top="459" w:right="479" w:bottom="1440" w:gutter="0" w:footer="0" w:header="0"/>
        </w:sectPr>
      </w:pPr>
    </w:p>
    <w:p>
      <w:pPr>
        <w:spacing w:after="0" w:line="336" w:lineRule="exact"/>
        <w:rPr>
          <w:sz w:val="20"/>
          <w:szCs w:val="20"/>
          <w:color w:val="auto"/>
        </w:rPr>
      </w:pPr>
    </w:p>
    <w:p>
      <w:pPr>
        <w:ind w:left="220" w:right="120"/>
        <w:spacing w:after="0" w:line="236" w:lineRule="auto"/>
        <w:rPr>
          <w:sz w:val="20"/>
          <w:szCs w:val="20"/>
          <w:color w:val="auto"/>
        </w:rPr>
      </w:pPr>
      <w:r>
        <w:rPr>
          <w:rFonts w:ascii="Arial" w:cs="Arial" w:eastAsia="Arial" w:hAnsi="Arial"/>
          <w:sz w:val="18"/>
          <w:szCs w:val="18"/>
          <w:color w:val="auto"/>
        </w:rPr>
        <w:t>Under the regulations of the SEC, any shareholder desiring to submit a proposal pursuant to Rule 14a-8 of the Exchange Act to be acted upon at the 2019 annual meeting of shareholders must cause such proposal to be delivered, in proper form, to the Corporate Secretary at the address provided below under “Availability of Documents” no later than November 16, 2019, in order for the proposal to be considered for inclusion in the Company’s proxy statement for that meeting.</w:t>
      </w:r>
    </w:p>
    <w:p>
      <w:pPr>
        <w:spacing w:after="0" w:line="100" w:lineRule="exact"/>
        <w:rPr>
          <w:sz w:val="20"/>
          <w:szCs w:val="20"/>
          <w:color w:val="auto"/>
        </w:rPr>
      </w:pPr>
    </w:p>
    <w:p>
      <w:pPr>
        <w:ind w:left="220"/>
        <w:spacing w:after="0" w:line="236" w:lineRule="auto"/>
        <w:rPr>
          <w:sz w:val="20"/>
          <w:szCs w:val="20"/>
          <w:color w:val="auto"/>
        </w:rPr>
      </w:pPr>
      <w:r>
        <w:rPr>
          <w:rFonts w:ascii="Arial" w:cs="Arial" w:eastAsia="Arial" w:hAnsi="Arial"/>
          <w:sz w:val="18"/>
          <w:szCs w:val="18"/>
          <w:color w:val="auto"/>
        </w:rPr>
        <w:t>To nominate a director at the annual meeting, a shareholder must satisfy conditions specified in the Company’s bylaws. A shareholder who wishes to suggest potential nominees to the Board for consideration should write to the Corporate Governance Committee through the method described under “Communications with Non-Management Members of the Board of Directors” on page 15, stating in detail the qualifications of such nominees for consideration. The Company’s bylaws also prescribe the procedures a shareholder must follow to bring business (other than pursuant to Rule 14a-8) before annual meetings. For a shareholder to nominate a director or directors at the 2019 annual meeting other than the nomination of a director for inclusion in the Company’s proxy statement, or bring other business before the 2019</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annual meeting, notice must be received by the Corporate Secretary at the principal office of the Company not later than the close of business on January 3, 2020, nor earlier than the close of business on November 4, 2019. The notice must include a description of the proposed business, the reason for it, the complete text of any resolution and other matters specified in the bylaws.</w:t>
      </w:r>
    </w:p>
    <w:p>
      <w:pPr>
        <w:spacing w:after="0" w:line="95"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Any shareholder, or group of up to 20 shareholders, who has owned at least 3% of the outstanding shares of the Company’s Common Stock continuously for at least three years, is eligible to nominate and include director nominees (up to the greater of 2 or 20% of the number of directors on the Board of Directors) in the Company’s proxy materials for the 2020 Annual Meeting of Shareholders. Any eligible shareholder, or group of shareholders, wishing to do so, must give notice in writing of the proposed nomination, along with certain nomination materials, to the Secretary of the Company, delivered by November 16, 2019. The notice and accompanying nomination materials must meet the requirements set forth in the Company’s bylaws.</w:t>
      </w:r>
    </w:p>
    <w:p>
      <w:pPr>
        <w:spacing w:after="0" w:line="97" w:lineRule="exact"/>
        <w:rPr>
          <w:sz w:val="20"/>
          <w:szCs w:val="20"/>
          <w:color w:val="auto"/>
        </w:rPr>
      </w:pPr>
    </w:p>
    <w:p>
      <w:pPr>
        <w:ind w:right="20"/>
        <w:spacing w:after="0"/>
        <w:rPr>
          <w:sz w:val="20"/>
          <w:szCs w:val="20"/>
          <w:color w:val="auto"/>
        </w:rPr>
      </w:pPr>
      <w:r>
        <w:rPr>
          <w:rFonts w:ascii="Arial" w:cs="Arial" w:eastAsia="Arial" w:hAnsi="Arial"/>
          <w:sz w:val="18"/>
          <w:szCs w:val="18"/>
          <w:color w:val="auto"/>
        </w:rPr>
        <w:t>Any shareholder desiring a copy of the Company’s bylaws will be furnished one without charge upon written request to the Corporate Secretary.</w:t>
      </w:r>
    </w:p>
    <w:p>
      <w:pPr>
        <w:spacing w:after="0" w:line="200" w:lineRule="exact"/>
        <w:rPr>
          <w:sz w:val="20"/>
          <w:szCs w:val="20"/>
          <w:color w:val="auto"/>
        </w:rPr>
      </w:pPr>
    </w:p>
    <w:p>
      <w:pPr>
        <w:sectPr>
          <w:pgSz w:w="11900" w:h="16838" w:orient="portrait"/>
          <w:cols w:equalWidth="0" w:num="2">
            <w:col w:w="5480" w:space="340"/>
            <w:col w:w="5360"/>
          </w:cols>
          <w:pgMar w:left="240" w:top="459" w:right="479" w:bottom="1440" w:gutter="0" w:footer="0" w:header="0"/>
          <w:type w:val="continuous"/>
        </w:sectPr>
      </w:pPr>
    </w:p>
    <w:p>
      <w:pPr>
        <w:spacing w:after="0" w:line="149"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auto"/>
        </w:rPr>
        <w:t>Availability of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68580</wp:posOffset>
            </wp:positionV>
            <wp:extent cx="699770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180"/>
          </w:cols>
          <w:pgMar w:left="240" w:top="459" w:right="479" w:bottom="1440" w:gutter="0" w:footer="0" w:header="0"/>
          <w:type w:val="continuous"/>
        </w:sectPr>
      </w:pPr>
    </w:p>
    <w:p>
      <w:pPr>
        <w:spacing w:after="0" w:line="323"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The Company’s internet address is www.brinks.com. The Company makes available, free of charge, through its website, its Annual Report on Form 10-K, quarterly reports on Form 10-Q, current reports on Form 8-K and amendments to those reports filed or furnished pursuant to Section 13(a) or 15(d) of the Exchange Act. In addition, the Governance Policies, Code of Ethics and the charters of the Audit,</w:t>
      </w:r>
    </w:p>
    <w:p>
      <w:pPr>
        <w:spacing w:after="0" w:line="20" w:lineRule="exact"/>
        <w:rPr>
          <w:sz w:val="20"/>
          <w:szCs w:val="20"/>
          <w:color w:val="auto"/>
        </w:rPr>
      </w:pPr>
      <w:r>
        <w:rPr>
          <w:sz w:val="20"/>
          <w:szCs w:val="20"/>
          <w:color w:val="auto"/>
        </w:rPr>
        <w:br w:type="column"/>
      </w:r>
    </w:p>
    <w:p>
      <w:pPr>
        <w:spacing w:after="0" w:line="303"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Compensation, Corporate Governance and Finance Committees also are available on the Company’s website. All of the documents described above are available in print, without charge, to any shareholder upon request by contacting the Corporate Secretary at 1801 Bayberry Court, P.O. Box 18100, Richmond, Virginia 23226-8100 or by phone at (804) 289-9600.</w:t>
      </w:r>
    </w:p>
    <w:p>
      <w:pPr>
        <w:spacing w:after="0" w:line="404" w:lineRule="exact"/>
        <w:rPr>
          <w:sz w:val="20"/>
          <w:szCs w:val="20"/>
          <w:color w:val="auto"/>
        </w:rPr>
      </w:pPr>
    </w:p>
    <w:p>
      <w:pPr>
        <w:sectPr>
          <w:pgSz w:w="11900" w:h="16838" w:orient="portrait"/>
          <w:cols w:equalWidth="0" w:num="2">
            <w:col w:w="5400" w:space="420"/>
            <w:col w:w="5360"/>
          </w:cols>
          <w:pgMar w:left="240" w:top="459" w:right="479" w:bottom="1440" w:gutter="0" w:footer="0" w:header="0"/>
          <w:type w:val="continuous"/>
        </w:sectPr>
      </w:pPr>
    </w:p>
    <w:p>
      <w:pPr>
        <w:spacing w:after="0" w:line="149"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auto"/>
        </w:rPr>
        <w:t>Separate Copies for Beneficial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68580</wp:posOffset>
            </wp:positionV>
            <wp:extent cx="699770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180"/>
          </w:cols>
          <w:pgMar w:left="240" w:top="459" w:right="479" w:bottom="1440" w:gutter="0" w:footer="0" w:header="0"/>
          <w:type w:val="continuous"/>
        </w:sectPr>
      </w:pPr>
    </w:p>
    <w:p>
      <w:pPr>
        <w:spacing w:after="0" w:line="336" w:lineRule="exact"/>
        <w:rPr>
          <w:sz w:val="20"/>
          <w:szCs w:val="20"/>
          <w:color w:val="auto"/>
        </w:rPr>
      </w:pPr>
    </w:p>
    <w:p>
      <w:pPr>
        <w:ind w:left="220"/>
        <w:spacing w:after="0" w:line="237" w:lineRule="auto"/>
        <w:rPr>
          <w:sz w:val="20"/>
          <w:szCs w:val="20"/>
          <w:color w:val="auto"/>
        </w:rPr>
      </w:pPr>
      <w:r>
        <w:rPr>
          <w:rFonts w:ascii="Arial" w:cs="Arial" w:eastAsia="Arial" w:hAnsi="Arial"/>
          <w:sz w:val="18"/>
          <w:szCs w:val="18"/>
          <w:color w:val="auto"/>
        </w:rPr>
        <w:t>Institutions that hold shares in “street name” for two or more beneficial owners with the same address are permitted to deliver a single proxy statement and annual report to that address. Any such beneficial owner can request a separate copy of this proxy statement or the Company’s Annual Report on Form 10-K for the fiscal year ended December 31, 2018 by contacting the Corporate Secretary at the</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ind w:right="140"/>
        <w:spacing w:after="0" w:line="255" w:lineRule="auto"/>
        <w:rPr>
          <w:sz w:val="20"/>
          <w:szCs w:val="20"/>
          <w:color w:val="auto"/>
        </w:rPr>
      </w:pPr>
      <w:r>
        <w:rPr>
          <w:rFonts w:ascii="Arial" w:cs="Arial" w:eastAsia="Arial" w:hAnsi="Arial"/>
          <w:sz w:val="17"/>
          <w:szCs w:val="17"/>
          <w:color w:val="auto"/>
        </w:rPr>
        <w:t>address listed above under “Availability of Documents.” Beneficial owners with the same address who receive more than one proxy statement and Annual Report on Form 10-K may request delivery of a single proxy statement and Annual Report on Form 10-K by contacting the Corporate Secretary as described above.</w:t>
      </w:r>
    </w:p>
    <w:p>
      <w:pPr>
        <w:spacing w:after="0" w:line="592" w:lineRule="exact"/>
        <w:rPr>
          <w:sz w:val="20"/>
          <w:szCs w:val="20"/>
          <w:color w:val="auto"/>
        </w:rPr>
      </w:pPr>
    </w:p>
    <w:p>
      <w:pPr>
        <w:sectPr>
          <w:pgSz w:w="11900" w:h="16838" w:orient="portrait"/>
          <w:cols w:equalWidth="0" w:num="2">
            <w:col w:w="5480" w:space="340"/>
            <w:col w:w="5360"/>
          </w:cols>
          <w:pgMar w:left="240" w:top="459" w:right="479" w:bottom="1440" w:gutter="0" w:footer="0" w:header="0"/>
          <w:type w:val="continuous"/>
        </w:sectPr>
      </w:pPr>
    </w:p>
    <w:p>
      <w:pPr>
        <w:spacing w:after="0" w:line="72" w:lineRule="exact"/>
        <w:rPr>
          <w:sz w:val="20"/>
          <w:szCs w:val="20"/>
          <w:color w:val="auto"/>
        </w:rPr>
      </w:pPr>
    </w:p>
    <w:tbl>
      <w:tblPr>
        <w:tblLayout w:type="fixed"/>
        <w:tblInd w:w="8820" w:type="dxa"/>
        <w:tblCellMar>
          <w:top w:w="0" w:type="dxa"/>
          <w:left w:w="0" w:type="dxa"/>
          <w:bottom w:w="0" w:type="dxa"/>
          <w:right w:w="0" w:type="dxa"/>
        </w:tblCellMar>
      </w:tblPr>
      <w:tr>
        <w:trPr>
          <w:trHeight w:val="297"/>
        </w:trPr>
        <w:tc>
          <w:tcPr>
            <w:tcW w:w="1900" w:type="dxa"/>
            <w:vAlign w:val="bottom"/>
            <w:tcBorders>
              <w:right w:val="single" w:sz="8" w:color="0033A0"/>
            </w:tcBorders>
          </w:tcPr>
          <w:p>
            <w:pPr>
              <w:spacing w:after="0"/>
              <w:rPr>
                <w:sz w:val="20"/>
                <w:szCs w:val="20"/>
                <w:color w:val="auto"/>
              </w:rPr>
            </w:pPr>
            <w:r>
              <w:rPr>
                <w:rFonts w:ascii="Arial" w:cs="Arial" w:eastAsia="Arial" w:hAnsi="Arial"/>
                <w:sz w:val="18"/>
                <w:szCs w:val="18"/>
                <w:i w:val="1"/>
                <w:iCs w:val="1"/>
                <w:color w:val="auto"/>
              </w:rPr>
              <w:t>2019 Proxy Statement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-170815</wp:posOffset>
            </wp:positionV>
            <wp:extent cx="720090" cy="12890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0090" cy="128905"/>
                    </a:xfrm>
                    <a:prstGeom prst="rect">
                      <a:avLst/>
                    </a:prstGeom>
                    <a:noFill/>
                  </pic:spPr>
                </pic:pic>
              </a:graphicData>
            </a:graphic>
          </wp:anchor>
        </w:drawing>
      </w:r>
    </w:p>
    <w:p>
      <w:pPr>
        <w:sectPr>
          <w:pgSz w:w="11900" w:h="16838" w:orient="portrait"/>
          <w:cols w:equalWidth="0" w:num="1">
            <w:col w:w="11180"/>
          </w:cols>
          <w:pgMar w:left="240" w:top="459" w:right="479" w:bottom="1440" w:gutter="0" w:footer="0" w:header="0"/>
          <w:type w:val="continuous"/>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0033A0"/>
        </w:rPr>
        <w:t>The Brink’s Company</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auto"/>
        </w:rPr>
        <w:t>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68580</wp:posOffset>
            </wp:positionV>
            <wp:extent cx="699770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8" w:lineRule="exact"/>
        <w:rPr>
          <w:sz w:val="20"/>
          <w:szCs w:val="20"/>
          <w:color w:val="auto"/>
        </w:rPr>
      </w:pPr>
    </w:p>
    <w:p>
      <w:pPr>
        <w:ind w:left="200"/>
        <w:spacing w:after="0" w:line="246" w:lineRule="auto"/>
        <w:rPr>
          <w:sz w:val="20"/>
          <w:szCs w:val="20"/>
          <w:color w:val="auto"/>
        </w:rPr>
      </w:pPr>
      <w:r>
        <w:rPr>
          <w:rFonts w:ascii="Arial" w:cs="Arial" w:eastAsia="Arial" w:hAnsi="Arial"/>
          <w:sz w:val="18"/>
          <w:szCs w:val="18"/>
          <w:color w:val="auto"/>
        </w:rPr>
        <w:t>The reconciliation of our non-GAAP financial measures in Part II, Item 7 on page 35 of our Annual Report on Form 10-K for the fiscal year ended December 31, 2018, is hereby incorporated by reference into this proxy statement.</w:t>
      </w:r>
    </w:p>
    <w:p>
      <w:pPr>
        <w:spacing w:after="0" w:line="19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LINDSAY K. BLACKWOOD</w:t>
      </w:r>
    </w:p>
    <w:p>
      <w:pPr>
        <w:ind w:left="6060"/>
        <w:spacing w:after="0"/>
        <w:rPr>
          <w:sz w:val="20"/>
          <w:szCs w:val="20"/>
          <w:color w:val="auto"/>
        </w:rPr>
      </w:pPr>
      <w:r>
        <w:rPr>
          <w:rFonts w:ascii="Arial" w:cs="Arial" w:eastAsia="Arial" w:hAnsi="Arial"/>
          <w:sz w:val="18"/>
          <w:szCs w:val="18"/>
          <w:i w:val="1"/>
          <w:iCs w:val="1"/>
          <w:color w:val="auto"/>
        </w:rPr>
        <w:t>Secretary</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March 15, 2019</w:t>
      </w:r>
    </w:p>
    <w:p>
      <w:pPr>
        <w:spacing w:after="0" w:line="145" w:lineRule="exact"/>
        <w:rPr>
          <w:sz w:val="20"/>
          <w:szCs w:val="20"/>
          <w:color w:val="auto"/>
        </w:rPr>
      </w:pPr>
    </w:p>
    <w:tbl>
      <w:tblPr>
        <w:tblLayout w:type="fixed"/>
        <w:tblInd w:w="200" w:type="dxa"/>
        <w:tblCellMar>
          <w:top w:w="0" w:type="dxa"/>
          <w:left w:w="0" w:type="dxa"/>
          <w:bottom w:w="0" w:type="dxa"/>
          <w:right w:w="0" w:type="dxa"/>
        </w:tblCellMar>
      </w:tblPr>
      <w:tr>
        <w:trPr>
          <w:trHeight w:val="297"/>
        </w:trPr>
        <w:tc>
          <w:tcPr>
            <w:tcW w:w="360" w:type="dxa"/>
            <w:vAlign w:val="bottom"/>
            <w:tcBorders>
              <w:right w:val="single" w:sz="8" w:color="0033A0"/>
            </w:tcBorders>
          </w:tcPr>
          <w:p>
            <w:pPr>
              <w:jc w:val="right"/>
              <w:ind w:right="70"/>
              <w:spacing w:after="0"/>
              <w:rPr>
                <w:sz w:val="20"/>
                <w:szCs w:val="20"/>
                <w:color w:val="auto"/>
              </w:rPr>
            </w:pPr>
            <w:r>
              <w:rPr>
                <w:rFonts w:ascii="Arial" w:cs="Arial" w:eastAsia="Arial" w:hAnsi="Arial"/>
                <w:sz w:val="18"/>
                <w:szCs w:val="18"/>
                <w:b w:val="1"/>
                <w:bCs w:val="1"/>
                <w:color w:val="auto"/>
                <w:w w:val="89"/>
              </w:rPr>
              <w:t>78</w:t>
            </w:r>
          </w:p>
        </w:tc>
        <w:tc>
          <w:tcPr>
            <w:tcW w:w="3380" w:type="dxa"/>
            <w:vAlign w:val="bottom"/>
          </w:tcPr>
          <w:p>
            <w:pPr>
              <w:ind w:left="1600"/>
              <w:spacing w:after="0"/>
              <w:rPr>
                <w:sz w:val="20"/>
                <w:szCs w:val="20"/>
                <w:color w:val="auto"/>
              </w:rPr>
            </w:pPr>
            <w:r>
              <w:rPr>
                <w:rFonts w:ascii="Arial" w:cs="Arial" w:eastAsia="Arial" w:hAnsi="Arial"/>
                <w:sz w:val="18"/>
                <w:szCs w:val="18"/>
                <w:i w:val="1"/>
                <w:iCs w:val="1"/>
                <w:color w:val="auto"/>
                <w:w w:val="98"/>
              </w:rPr>
              <w:t>2019 Proxy Statement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-170815</wp:posOffset>
            </wp:positionV>
            <wp:extent cx="720090" cy="12890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0090" cy="128905"/>
                    </a:xfrm>
                    <a:prstGeom prst="rect">
                      <a:avLst/>
                    </a:prstGeom>
                    <a:noFill/>
                  </pic:spPr>
                </pic:pic>
              </a:graphicData>
            </a:graphic>
          </wp:anchor>
        </w:drawing>
      </w:r>
    </w:p>
    <w:p>
      <w:pPr>
        <w:sectPr>
          <w:pgSz w:w="11900" w:h="16838" w:orient="portrait"/>
          <w:cols w:equalWidth="0" w:num="1">
            <w:col w:w="11140"/>
          </w:cols>
          <w:pgMar w:left="240" w:top="459" w:right="51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0033A0"/>
        </w:rPr>
        <w:t>The Brink’s Company</w:t>
      </w:r>
    </w:p>
    <w:p>
      <w:pPr>
        <w:spacing w:after="0" w:line="161" w:lineRule="exact"/>
        <w:rPr>
          <w:sz w:val="20"/>
          <w:szCs w:val="20"/>
          <w:color w:val="auto"/>
        </w:rPr>
      </w:pPr>
    </w:p>
    <w:p>
      <w:pPr>
        <w:ind w:left="200"/>
        <w:spacing w:after="0"/>
        <w:rPr>
          <w:sz w:val="20"/>
          <w:szCs w:val="20"/>
          <w:color w:val="auto"/>
        </w:rPr>
      </w:pPr>
      <w:r>
        <w:rPr>
          <w:rFonts w:ascii="Arial" w:cs="Arial" w:eastAsia="Arial" w:hAnsi="Arial"/>
          <w:sz w:val="43"/>
          <w:szCs w:val="43"/>
          <w:color w:val="0033A0"/>
        </w:rPr>
        <w:t>APPENDIX A</w:t>
      </w:r>
    </w:p>
    <w:p>
      <w:pPr>
        <w:spacing w:after="0" w:line="192"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auto"/>
        </w:rPr>
        <w:t>Non-GAAP Reconciliation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68580</wp:posOffset>
            </wp:positionV>
            <wp:extent cx="699770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8" w:lineRule="exact"/>
        <w:rPr>
          <w:sz w:val="20"/>
          <w:szCs w:val="20"/>
          <w:color w:val="auto"/>
        </w:rPr>
      </w:pPr>
    </w:p>
    <w:p>
      <w:pPr>
        <w:ind w:left="200" w:right="80"/>
        <w:spacing w:after="0" w:line="236" w:lineRule="auto"/>
        <w:rPr>
          <w:sz w:val="20"/>
          <w:szCs w:val="20"/>
          <w:color w:val="auto"/>
        </w:rPr>
      </w:pPr>
      <w:r>
        <w:rPr>
          <w:rFonts w:ascii="Arial" w:cs="Arial" w:eastAsia="Arial" w:hAnsi="Arial"/>
          <w:sz w:val="18"/>
          <w:szCs w:val="18"/>
          <w:color w:val="auto"/>
        </w:rPr>
        <w:t>This proxy statement refers to non-GAAP revenue, operating profit and earnings per share, which are financial measures that are not required by or presented in accordance with U.S. generally accepted accounting principles (“GAAP”). The purpose of the non-GAAP results is to report financial information from the primary operations of our business by excluding the effects of certain income and expenses that do not reflect the ordinary earnings of our operations. The non-GAAP financial measures are intended to provide investors with a supplemental comparison of our operating results and trends for the periods presented. Our management believes these measures are also useful to investors as such measures allow investors to evaluate our performance using the same metrics that our management uses to evaluate past performance and prospects for future performance. We do not consider these items to be reflective of our core operating performance due to the variability of such items from period-to-period in terms of size, nature and significance.</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auto"/>
        </w:rPr>
        <w:t>2017 and 2018 Non-GAAP Results Reconciled to GAAP</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Brink’s Company and subsidiaries</w:t>
      </w:r>
    </w:p>
    <w:p>
      <w:pPr>
        <w:ind w:left="200"/>
        <w:spacing w:after="0"/>
        <w:rPr>
          <w:sz w:val="20"/>
          <w:szCs w:val="20"/>
          <w:color w:val="auto"/>
        </w:rPr>
      </w:pPr>
      <w:r>
        <w:rPr>
          <w:rFonts w:ascii="Arial" w:cs="Arial" w:eastAsia="Arial" w:hAnsi="Arial"/>
          <w:sz w:val="18"/>
          <w:szCs w:val="18"/>
          <w:i w:val="1"/>
          <w:iCs w:val="1"/>
          <w:color w:val="auto"/>
        </w:rPr>
        <w:t>(In millions, except for per share amounts)</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820" w:type="dxa"/>
            <w:vAlign w:val="bottom"/>
            <w:tcBorders>
              <w:bottom w:val="single" w:sz="8" w:color="0033A0"/>
            </w:tcBorders>
          </w:tcPr>
          <w:p>
            <w:pPr>
              <w:spacing w:after="0"/>
              <w:rPr>
                <w:sz w:val="15"/>
                <w:szCs w:val="15"/>
                <w:color w:val="auto"/>
              </w:rPr>
            </w:pPr>
          </w:p>
        </w:tc>
        <w:tc>
          <w:tcPr>
            <w:tcW w:w="1820" w:type="dxa"/>
            <w:vAlign w:val="bottom"/>
            <w:tcBorders>
              <w:bottom w:val="single" w:sz="8" w:color="0033A0"/>
            </w:tcBorders>
            <w:gridSpan w:val="2"/>
          </w:tcPr>
          <w:p>
            <w:pPr>
              <w:ind w:left="520"/>
              <w:spacing w:after="0"/>
              <w:rPr>
                <w:sz w:val="20"/>
                <w:szCs w:val="20"/>
                <w:color w:val="auto"/>
              </w:rPr>
            </w:pPr>
            <w:r>
              <w:rPr>
                <w:rFonts w:ascii="Arial" w:cs="Arial" w:eastAsia="Arial" w:hAnsi="Arial"/>
                <w:sz w:val="14"/>
                <w:szCs w:val="14"/>
                <w:b w:val="1"/>
                <w:bCs w:val="1"/>
                <w:color w:val="0033A0"/>
              </w:rPr>
              <w:t>Full Year 2018</w:t>
            </w:r>
          </w:p>
        </w:tc>
        <w:tc>
          <w:tcPr>
            <w:tcW w:w="1380" w:type="dxa"/>
            <w:vAlign w:val="bottom"/>
            <w:tcBorders>
              <w:bottom w:val="single" w:sz="8" w:color="0033A0"/>
            </w:tcBorders>
            <w:gridSpan w:val="3"/>
          </w:tcPr>
          <w:p>
            <w:pPr>
              <w:jc w:val="right"/>
              <w:ind w:right="50"/>
              <w:spacing w:after="0"/>
              <w:rPr>
                <w:sz w:val="20"/>
                <w:szCs w:val="20"/>
                <w:color w:val="auto"/>
              </w:rPr>
            </w:pPr>
            <w:r>
              <w:rPr>
                <w:rFonts w:ascii="Arial" w:cs="Arial" w:eastAsia="Arial" w:hAnsi="Arial"/>
                <w:sz w:val="14"/>
                <w:szCs w:val="14"/>
                <w:b w:val="1"/>
                <w:bCs w:val="1"/>
                <w:color w:val="0033A0"/>
              </w:rPr>
              <w:t>Full Year 2017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shd w:val="clear" w:color="auto" w:fill="E5EAF5"/>
          </w:tcPr>
          <w:p>
            <w:pPr>
              <w:ind w:left="60"/>
              <w:spacing w:after="0" w:line="202" w:lineRule="exact"/>
              <w:rPr>
                <w:sz w:val="20"/>
                <w:szCs w:val="20"/>
                <w:color w:val="auto"/>
              </w:rPr>
            </w:pPr>
            <w:r>
              <w:rPr>
                <w:rFonts w:ascii="Arial" w:cs="Arial" w:eastAsia="Arial" w:hAnsi="Arial"/>
                <w:sz w:val="18"/>
                <w:szCs w:val="18"/>
                <w:b w:val="1"/>
                <w:bCs w:val="1"/>
                <w:color w:val="auto"/>
              </w:rPr>
              <w:t>Revenues:</w:t>
            </w:r>
          </w:p>
        </w:tc>
        <w:tc>
          <w:tcPr>
            <w:tcW w:w="680" w:type="dxa"/>
            <w:vAlign w:val="bottom"/>
            <w:shd w:val="clear" w:color="auto" w:fill="E5EAF5"/>
          </w:tcPr>
          <w:p>
            <w:pPr>
              <w:spacing w:after="0"/>
              <w:rPr>
                <w:sz w:val="17"/>
                <w:szCs w:val="17"/>
                <w:color w:val="auto"/>
              </w:rPr>
            </w:pPr>
          </w:p>
        </w:tc>
        <w:tc>
          <w:tcPr>
            <w:tcW w:w="1140" w:type="dxa"/>
            <w:vAlign w:val="bottom"/>
            <w:shd w:val="clear" w:color="auto" w:fill="E5EAF5"/>
          </w:tcPr>
          <w:p>
            <w:pPr>
              <w:spacing w:after="0"/>
              <w:rPr>
                <w:sz w:val="17"/>
                <w:szCs w:val="17"/>
                <w:color w:val="auto"/>
              </w:rPr>
            </w:pPr>
          </w:p>
        </w:tc>
        <w:tc>
          <w:tcPr>
            <w:tcW w:w="720" w:type="dxa"/>
            <w:vAlign w:val="bottom"/>
            <w:shd w:val="clear" w:color="auto" w:fill="E5EAF5"/>
          </w:tcPr>
          <w:p>
            <w:pPr>
              <w:spacing w:after="0"/>
              <w:rPr>
                <w:sz w:val="17"/>
                <w:szCs w:val="17"/>
                <w:color w:val="auto"/>
              </w:rPr>
            </w:pPr>
          </w:p>
        </w:tc>
        <w:tc>
          <w:tcPr>
            <w:tcW w:w="120" w:type="dxa"/>
            <w:vAlign w:val="bottom"/>
            <w:tcBorders>
              <w:right w:val="single" w:sz="8" w:color="E5EAF5"/>
            </w:tcBorders>
            <w:shd w:val="clear" w:color="auto" w:fill="E5EAF5"/>
          </w:tcPr>
          <w:p>
            <w:pPr>
              <w:spacing w:after="0"/>
              <w:rPr>
                <w:sz w:val="17"/>
                <w:szCs w:val="17"/>
                <w:color w:val="auto"/>
              </w:rPr>
            </w:pPr>
          </w:p>
        </w:tc>
        <w:tc>
          <w:tcPr>
            <w:tcW w:w="540" w:type="dxa"/>
            <w:vAlign w:val="bottom"/>
            <w:shd w:val="clear" w:color="auto" w:fill="E5EAF5"/>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20" w:type="dxa"/>
            <w:vAlign w:val="bottom"/>
          </w:tcPr>
          <w:p>
            <w:pPr>
              <w:ind w:left="60"/>
              <w:spacing w:after="0"/>
              <w:rPr>
                <w:sz w:val="20"/>
                <w:szCs w:val="20"/>
                <w:color w:val="auto"/>
              </w:rPr>
            </w:pPr>
            <w:r>
              <w:rPr>
                <w:rFonts w:ascii="Arial" w:cs="Arial" w:eastAsia="Arial" w:hAnsi="Arial"/>
                <w:sz w:val="18"/>
                <w:szCs w:val="18"/>
                <w:color w:val="auto"/>
              </w:rPr>
              <w:t>GAAP</w:t>
            </w:r>
          </w:p>
        </w:tc>
        <w:tc>
          <w:tcPr>
            <w:tcW w:w="680" w:type="dxa"/>
            <w:vAlign w:val="bottom"/>
          </w:tcPr>
          <w:p>
            <w:pPr>
              <w:ind w:left="5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70"/>
              <w:spacing w:after="0"/>
              <w:rPr>
                <w:sz w:val="20"/>
                <w:szCs w:val="20"/>
                <w:color w:val="auto"/>
              </w:rPr>
            </w:pPr>
            <w:r>
              <w:rPr>
                <w:rFonts w:ascii="Arial" w:cs="Arial" w:eastAsia="Arial" w:hAnsi="Arial"/>
                <w:sz w:val="18"/>
                <w:szCs w:val="18"/>
                <w:color w:val="auto"/>
              </w:rPr>
              <w:t>3,488.9</w:t>
            </w:r>
          </w:p>
        </w:tc>
        <w:tc>
          <w:tcPr>
            <w:tcW w:w="1380" w:type="dxa"/>
            <w:vAlign w:val="bottom"/>
            <w:gridSpan w:val="3"/>
          </w:tcPr>
          <w:p>
            <w:pPr>
              <w:jc w:val="right"/>
              <w:ind w:right="50"/>
              <w:spacing w:after="0"/>
              <w:rPr>
                <w:sz w:val="20"/>
                <w:szCs w:val="20"/>
                <w:color w:val="auto"/>
              </w:rPr>
            </w:pPr>
            <w:r>
              <w:rPr>
                <w:rFonts w:ascii="Arial" w:cs="Arial" w:eastAsia="Arial" w:hAnsi="Arial"/>
                <w:sz w:val="18"/>
                <w:szCs w:val="18"/>
                <w:color w:val="auto"/>
              </w:rPr>
              <w:t>3,347.0</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20" w:type="dxa"/>
            <w:vAlign w:val="bottom"/>
            <w:tcBorders>
              <w:bottom w:val="single" w:sz="8" w:color="0033A0"/>
            </w:tcBorders>
            <w:shd w:val="clear" w:color="auto" w:fill="E5EAF5"/>
          </w:tcPr>
          <w:p>
            <w:pPr>
              <w:ind w:left="160"/>
              <w:spacing w:after="0" w:line="202" w:lineRule="exact"/>
              <w:rPr>
                <w:sz w:val="20"/>
                <w:szCs w:val="20"/>
                <w:color w:val="auto"/>
              </w:rPr>
            </w:pPr>
            <w:r>
              <w:rPr>
                <w:rFonts w:ascii="Arial" w:cs="Arial" w:eastAsia="Arial" w:hAnsi="Arial"/>
                <w:sz w:val="18"/>
                <w:szCs w:val="18"/>
                <w:color w:val="auto"/>
              </w:rPr>
              <w:t>Venezuela operations</w:t>
            </w:r>
            <w:r>
              <w:rPr>
                <w:rFonts w:ascii="Arial" w:cs="Arial" w:eastAsia="Arial" w:hAnsi="Arial"/>
                <w:sz w:val="15"/>
                <w:szCs w:val="15"/>
                <w:color w:val="auto"/>
              </w:rPr>
              <w:t>(a)</w:t>
            </w:r>
          </w:p>
        </w:tc>
        <w:tc>
          <w:tcPr>
            <w:tcW w:w="680" w:type="dxa"/>
            <w:vAlign w:val="bottom"/>
            <w:tcBorders>
              <w:bottom w:val="single" w:sz="8" w:color="0033A0"/>
            </w:tcBorders>
            <w:shd w:val="clear" w:color="auto" w:fill="E5EAF5"/>
          </w:tcPr>
          <w:p>
            <w:pPr>
              <w:spacing w:after="0"/>
              <w:rPr>
                <w:sz w:val="18"/>
                <w:szCs w:val="18"/>
                <w:color w:val="auto"/>
              </w:rPr>
            </w:pPr>
          </w:p>
        </w:tc>
        <w:tc>
          <w:tcPr>
            <w:tcW w:w="1140" w:type="dxa"/>
            <w:vAlign w:val="bottom"/>
            <w:tcBorders>
              <w:bottom w:val="single" w:sz="8" w:color="0033A0"/>
            </w:tcBorders>
            <w:shd w:val="clear" w:color="auto" w:fill="E5EAF5"/>
          </w:tcPr>
          <w:p>
            <w:pPr>
              <w:jc w:val="right"/>
              <w:ind w:right="210"/>
              <w:spacing w:after="0" w:line="202" w:lineRule="exact"/>
              <w:rPr>
                <w:sz w:val="20"/>
                <w:szCs w:val="20"/>
                <w:color w:val="auto"/>
              </w:rPr>
            </w:pPr>
            <w:r>
              <w:rPr>
                <w:rFonts w:ascii="Arial" w:cs="Arial" w:eastAsia="Arial" w:hAnsi="Arial"/>
                <w:sz w:val="18"/>
                <w:szCs w:val="18"/>
                <w:color w:val="auto"/>
              </w:rPr>
              <w:t>(51.4)</w:t>
            </w:r>
          </w:p>
        </w:tc>
        <w:tc>
          <w:tcPr>
            <w:tcW w:w="720" w:type="dxa"/>
            <w:vAlign w:val="bottom"/>
            <w:tcBorders>
              <w:bottom w:val="single" w:sz="8" w:color="0033A0"/>
            </w:tcBorders>
            <w:shd w:val="clear" w:color="auto" w:fill="E5EAF5"/>
          </w:tcPr>
          <w:p>
            <w:pPr>
              <w:spacing w:after="0"/>
              <w:rPr>
                <w:sz w:val="18"/>
                <w:szCs w:val="18"/>
                <w:color w:val="auto"/>
              </w:rPr>
            </w:pPr>
          </w:p>
        </w:tc>
        <w:tc>
          <w:tcPr>
            <w:tcW w:w="660" w:type="dxa"/>
            <w:vAlign w:val="bottom"/>
            <w:tcBorders>
              <w:bottom w:val="single" w:sz="8" w:color="0033A0"/>
            </w:tcBorders>
            <w:gridSpan w:val="2"/>
            <w:shd w:val="clear" w:color="auto" w:fill="E5EAF5"/>
          </w:tcPr>
          <w:p>
            <w:pPr>
              <w:jc w:val="right"/>
              <w:spacing w:after="0" w:line="202" w:lineRule="exact"/>
              <w:rPr>
                <w:sz w:val="20"/>
                <w:szCs w:val="20"/>
                <w:color w:val="auto"/>
              </w:rPr>
            </w:pPr>
            <w:r>
              <w:rPr>
                <w:rFonts w:ascii="Arial" w:cs="Arial" w:eastAsia="Arial" w:hAnsi="Arial"/>
                <w:sz w:val="18"/>
                <w:szCs w:val="18"/>
                <w:color w:val="auto"/>
                <w:w w:val="98"/>
              </w:rPr>
              <w:t>(154.1)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20" w:type="dxa"/>
            <w:vAlign w:val="bottom"/>
          </w:tcPr>
          <w:p>
            <w:pPr>
              <w:ind w:left="60"/>
              <w:spacing w:after="0"/>
              <w:rPr>
                <w:sz w:val="20"/>
                <w:szCs w:val="20"/>
                <w:color w:val="auto"/>
              </w:rPr>
            </w:pPr>
            <w:r>
              <w:rPr>
                <w:rFonts w:ascii="Arial" w:cs="Arial" w:eastAsia="Arial" w:hAnsi="Arial"/>
                <w:sz w:val="18"/>
                <w:szCs w:val="18"/>
                <w:color w:val="auto"/>
              </w:rPr>
              <w:t>Non-GAAP</w:t>
            </w:r>
          </w:p>
        </w:tc>
        <w:tc>
          <w:tcPr>
            <w:tcW w:w="680" w:type="dxa"/>
            <w:vAlign w:val="bottom"/>
          </w:tcPr>
          <w:p>
            <w:pPr>
              <w:ind w:left="5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70"/>
              <w:spacing w:after="0"/>
              <w:rPr>
                <w:sz w:val="20"/>
                <w:szCs w:val="20"/>
                <w:color w:val="auto"/>
              </w:rPr>
            </w:pPr>
            <w:r>
              <w:rPr>
                <w:rFonts w:ascii="Arial" w:cs="Arial" w:eastAsia="Arial" w:hAnsi="Arial"/>
                <w:sz w:val="18"/>
                <w:szCs w:val="18"/>
                <w:color w:val="auto"/>
              </w:rPr>
              <w:t>3,437.5</w:t>
            </w:r>
          </w:p>
        </w:tc>
        <w:tc>
          <w:tcPr>
            <w:tcW w:w="1380" w:type="dxa"/>
            <w:vAlign w:val="bottom"/>
            <w:gridSpan w:val="3"/>
          </w:tcPr>
          <w:p>
            <w:pPr>
              <w:jc w:val="right"/>
              <w:ind w:right="50"/>
              <w:spacing w:after="0"/>
              <w:rPr>
                <w:sz w:val="20"/>
                <w:szCs w:val="20"/>
                <w:color w:val="auto"/>
              </w:rPr>
            </w:pPr>
            <w:r>
              <w:rPr>
                <w:rFonts w:ascii="Arial" w:cs="Arial" w:eastAsia="Arial" w:hAnsi="Arial"/>
                <w:sz w:val="18"/>
                <w:szCs w:val="18"/>
                <w:color w:val="auto"/>
              </w:rPr>
              <w:t>3,192.9</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820" w:type="dxa"/>
            <w:vAlign w:val="bottom"/>
            <w:tcBorders>
              <w:bottom w:val="single" w:sz="8" w:color="0033A0"/>
            </w:tcBorders>
          </w:tcPr>
          <w:p>
            <w:pPr>
              <w:spacing w:after="0"/>
              <w:rPr>
                <w:sz w:val="3"/>
                <w:szCs w:val="3"/>
                <w:color w:val="auto"/>
              </w:rPr>
            </w:pPr>
          </w:p>
        </w:tc>
        <w:tc>
          <w:tcPr>
            <w:tcW w:w="680" w:type="dxa"/>
            <w:vAlign w:val="bottom"/>
            <w:tcBorders>
              <w:bottom w:val="single" w:sz="8" w:color="0033A0"/>
            </w:tcBorders>
          </w:tcPr>
          <w:p>
            <w:pPr>
              <w:spacing w:after="0"/>
              <w:rPr>
                <w:sz w:val="3"/>
                <w:szCs w:val="3"/>
                <w:color w:val="auto"/>
              </w:rPr>
            </w:pPr>
          </w:p>
        </w:tc>
        <w:tc>
          <w:tcPr>
            <w:tcW w:w="1140" w:type="dxa"/>
            <w:vAlign w:val="bottom"/>
            <w:tcBorders>
              <w:bottom w:val="single" w:sz="8" w:color="0033A0"/>
            </w:tcBorders>
          </w:tcPr>
          <w:p>
            <w:pPr>
              <w:spacing w:after="0"/>
              <w:rPr>
                <w:sz w:val="3"/>
                <w:szCs w:val="3"/>
                <w:color w:val="auto"/>
              </w:rPr>
            </w:pPr>
          </w:p>
        </w:tc>
        <w:tc>
          <w:tcPr>
            <w:tcW w:w="720" w:type="dxa"/>
            <w:vAlign w:val="bottom"/>
            <w:tcBorders>
              <w:bottom w:val="single" w:sz="8" w:color="0033A0"/>
            </w:tcBorders>
          </w:tcPr>
          <w:p>
            <w:pPr>
              <w:spacing w:after="0"/>
              <w:rPr>
                <w:sz w:val="3"/>
                <w:szCs w:val="3"/>
                <w:color w:val="auto"/>
              </w:rPr>
            </w:pPr>
          </w:p>
        </w:tc>
        <w:tc>
          <w:tcPr>
            <w:tcW w:w="120" w:type="dxa"/>
            <w:vAlign w:val="bottom"/>
            <w:tcBorders>
              <w:bottom w:val="single" w:sz="8" w:color="0033A0"/>
            </w:tcBorders>
          </w:tcPr>
          <w:p>
            <w:pPr>
              <w:spacing w:after="0"/>
              <w:rPr>
                <w:sz w:val="3"/>
                <w:szCs w:val="3"/>
                <w:color w:val="auto"/>
              </w:rPr>
            </w:pPr>
          </w:p>
        </w:tc>
        <w:tc>
          <w:tcPr>
            <w:tcW w:w="540" w:type="dxa"/>
            <w:vAlign w:val="bottom"/>
            <w:tcBorders>
              <w:bottom w:val="single" w:sz="8" w:color="0033A0"/>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20" w:type="dxa"/>
            <w:vAlign w:val="bottom"/>
            <w:shd w:val="clear" w:color="auto" w:fill="E5EAF5"/>
          </w:tcPr>
          <w:p>
            <w:pPr>
              <w:ind w:left="60"/>
              <w:spacing w:after="0" w:line="196" w:lineRule="exact"/>
              <w:rPr>
                <w:sz w:val="20"/>
                <w:szCs w:val="20"/>
                <w:color w:val="auto"/>
              </w:rPr>
            </w:pPr>
            <w:r>
              <w:rPr>
                <w:rFonts w:ascii="Arial" w:cs="Arial" w:eastAsia="Arial" w:hAnsi="Arial"/>
                <w:sz w:val="18"/>
                <w:szCs w:val="18"/>
                <w:b w:val="1"/>
                <w:bCs w:val="1"/>
                <w:color w:val="auto"/>
              </w:rPr>
              <w:t>Operating profit (loss):</w:t>
            </w:r>
          </w:p>
        </w:tc>
        <w:tc>
          <w:tcPr>
            <w:tcW w:w="680" w:type="dxa"/>
            <w:vAlign w:val="bottom"/>
            <w:shd w:val="clear" w:color="auto" w:fill="E5EAF5"/>
          </w:tcPr>
          <w:p>
            <w:pPr>
              <w:spacing w:after="0"/>
              <w:rPr>
                <w:sz w:val="17"/>
                <w:szCs w:val="17"/>
                <w:color w:val="auto"/>
              </w:rPr>
            </w:pPr>
          </w:p>
        </w:tc>
        <w:tc>
          <w:tcPr>
            <w:tcW w:w="1140" w:type="dxa"/>
            <w:vAlign w:val="bottom"/>
            <w:shd w:val="clear" w:color="auto" w:fill="E5EAF5"/>
          </w:tcPr>
          <w:p>
            <w:pPr>
              <w:spacing w:after="0"/>
              <w:rPr>
                <w:sz w:val="17"/>
                <w:szCs w:val="17"/>
                <w:color w:val="auto"/>
              </w:rPr>
            </w:pPr>
          </w:p>
        </w:tc>
        <w:tc>
          <w:tcPr>
            <w:tcW w:w="720" w:type="dxa"/>
            <w:vAlign w:val="bottom"/>
            <w:shd w:val="clear" w:color="auto" w:fill="E5EAF5"/>
          </w:tcPr>
          <w:p>
            <w:pPr>
              <w:spacing w:after="0"/>
              <w:rPr>
                <w:sz w:val="17"/>
                <w:szCs w:val="17"/>
                <w:color w:val="auto"/>
              </w:rPr>
            </w:pPr>
          </w:p>
        </w:tc>
        <w:tc>
          <w:tcPr>
            <w:tcW w:w="120" w:type="dxa"/>
            <w:vAlign w:val="bottom"/>
            <w:tcBorders>
              <w:right w:val="single" w:sz="8" w:color="E5EAF5"/>
            </w:tcBorders>
            <w:shd w:val="clear" w:color="auto" w:fill="E5EAF5"/>
          </w:tcPr>
          <w:p>
            <w:pPr>
              <w:spacing w:after="0"/>
              <w:rPr>
                <w:sz w:val="17"/>
                <w:szCs w:val="17"/>
                <w:color w:val="auto"/>
              </w:rPr>
            </w:pPr>
          </w:p>
        </w:tc>
        <w:tc>
          <w:tcPr>
            <w:tcW w:w="540" w:type="dxa"/>
            <w:vAlign w:val="bottom"/>
            <w:shd w:val="clear" w:color="auto" w:fill="E5EAF5"/>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20" w:type="dxa"/>
            <w:vAlign w:val="bottom"/>
          </w:tcPr>
          <w:p>
            <w:pPr>
              <w:ind w:left="60"/>
              <w:spacing w:after="0"/>
              <w:rPr>
                <w:sz w:val="20"/>
                <w:szCs w:val="20"/>
                <w:color w:val="auto"/>
              </w:rPr>
            </w:pPr>
            <w:r>
              <w:rPr>
                <w:rFonts w:ascii="Arial" w:cs="Arial" w:eastAsia="Arial" w:hAnsi="Arial"/>
                <w:sz w:val="18"/>
                <w:szCs w:val="18"/>
                <w:color w:val="auto"/>
              </w:rPr>
              <w:t>GAAP</w:t>
            </w:r>
          </w:p>
        </w:tc>
        <w:tc>
          <w:tcPr>
            <w:tcW w:w="680" w:type="dxa"/>
            <w:vAlign w:val="bottom"/>
          </w:tcPr>
          <w:p>
            <w:pPr>
              <w:ind w:left="5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70"/>
              <w:spacing w:after="0"/>
              <w:rPr>
                <w:sz w:val="20"/>
                <w:szCs w:val="20"/>
                <w:color w:val="auto"/>
              </w:rPr>
            </w:pPr>
            <w:r>
              <w:rPr>
                <w:rFonts w:ascii="Arial" w:cs="Arial" w:eastAsia="Arial" w:hAnsi="Arial"/>
                <w:sz w:val="18"/>
                <w:szCs w:val="18"/>
                <w:color w:val="auto"/>
              </w:rPr>
              <w:t>274.7</w:t>
            </w:r>
          </w:p>
        </w:tc>
        <w:tc>
          <w:tcPr>
            <w:tcW w:w="720" w:type="dxa"/>
            <w:vAlign w:val="bottom"/>
          </w:tcPr>
          <w:p>
            <w:pPr>
              <w:spacing w:after="0"/>
              <w:rPr>
                <w:sz w:val="18"/>
                <w:szCs w:val="18"/>
                <w:color w:val="auto"/>
              </w:rPr>
            </w:pPr>
          </w:p>
        </w:tc>
        <w:tc>
          <w:tcPr>
            <w:tcW w:w="660" w:type="dxa"/>
            <w:vAlign w:val="bottom"/>
            <w:gridSpan w:val="2"/>
          </w:tcPr>
          <w:p>
            <w:pPr>
              <w:jc w:val="right"/>
              <w:ind w:right="50"/>
              <w:spacing w:after="0"/>
              <w:rPr>
                <w:sz w:val="20"/>
                <w:szCs w:val="20"/>
                <w:color w:val="auto"/>
              </w:rPr>
            </w:pPr>
            <w:r>
              <w:rPr>
                <w:rFonts w:ascii="Arial" w:cs="Arial" w:eastAsia="Arial" w:hAnsi="Arial"/>
                <w:sz w:val="18"/>
                <w:szCs w:val="18"/>
                <w:color w:val="auto"/>
              </w:rPr>
              <w:t>273.9</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shd w:val="clear" w:color="auto" w:fill="E5EAF5"/>
          </w:tcPr>
          <w:p>
            <w:pPr>
              <w:ind w:left="160"/>
              <w:spacing w:after="0" w:line="202" w:lineRule="exact"/>
              <w:rPr>
                <w:sz w:val="20"/>
                <w:szCs w:val="20"/>
                <w:color w:val="auto"/>
              </w:rPr>
            </w:pPr>
            <w:r>
              <w:rPr>
                <w:rFonts w:ascii="Arial" w:cs="Arial" w:eastAsia="Arial" w:hAnsi="Arial"/>
                <w:sz w:val="18"/>
                <w:szCs w:val="18"/>
                <w:color w:val="auto"/>
              </w:rPr>
              <w:t>Venezuela operations</w:t>
            </w:r>
            <w:r>
              <w:rPr>
                <w:rFonts w:ascii="Arial" w:cs="Arial" w:eastAsia="Arial" w:hAnsi="Arial"/>
                <w:sz w:val="15"/>
                <w:szCs w:val="15"/>
                <w:color w:val="auto"/>
              </w:rPr>
              <w:t>(a)</w:t>
            </w:r>
          </w:p>
        </w:tc>
        <w:tc>
          <w:tcPr>
            <w:tcW w:w="680" w:type="dxa"/>
            <w:vAlign w:val="bottom"/>
            <w:shd w:val="clear" w:color="auto" w:fill="E5EAF5"/>
          </w:tcPr>
          <w:p>
            <w:pPr>
              <w:spacing w:after="0"/>
              <w:rPr>
                <w:sz w:val="17"/>
                <w:szCs w:val="17"/>
                <w:color w:val="auto"/>
              </w:rPr>
            </w:pPr>
          </w:p>
        </w:tc>
        <w:tc>
          <w:tcPr>
            <w:tcW w:w="1140" w:type="dxa"/>
            <w:vAlign w:val="bottom"/>
            <w:shd w:val="clear" w:color="auto" w:fill="E5EAF5"/>
          </w:tcPr>
          <w:p>
            <w:pPr>
              <w:jc w:val="right"/>
              <w:ind w:right="210"/>
              <w:spacing w:after="0" w:line="202" w:lineRule="exact"/>
              <w:rPr>
                <w:sz w:val="20"/>
                <w:szCs w:val="20"/>
                <w:color w:val="auto"/>
              </w:rPr>
            </w:pPr>
            <w:r>
              <w:rPr>
                <w:rFonts w:ascii="Arial" w:cs="Arial" w:eastAsia="Arial" w:hAnsi="Arial"/>
                <w:sz w:val="18"/>
                <w:szCs w:val="18"/>
                <w:color w:val="auto"/>
              </w:rPr>
              <w:t>(2.3)</w:t>
            </w:r>
          </w:p>
        </w:tc>
        <w:tc>
          <w:tcPr>
            <w:tcW w:w="720" w:type="dxa"/>
            <w:vAlign w:val="bottom"/>
            <w:shd w:val="clear" w:color="auto" w:fill="E5EAF5"/>
          </w:tcPr>
          <w:p>
            <w:pPr>
              <w:spacing w:after="0"/>
              <w:rPr>
                <w:sz w:val="17"/>
                <w:szCs w:val="17"/>
                <w:color w:val="auto"/>
              </w:rPr>
            </w:pPr>
          </w:p>
        </w:tc>
        <w:tc>
          <w:tcPr>
            <w:tcW w:w="660" w:type="dxa"/>
            <w:vAlign w:val="bottom"/>
            <w:gridSpan w:val="2"/>
            <w:shd w:val="clear" w:color="auto" w:fill="E5EAF5"/>
          </w:tcPr>
          <w:p>
            <w:pPr>
              <w:jc w:val="right"/>
              <w:spacing w:after="0" w:line="202" w:lineRule="exact"/>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tcPr>
          <w:p>
            <w:pPr>
              <w:ind w:left="160"/>
              <w:spacing w:after="0" w:line="202" w:lineRule="exact"/>
              <w:rPr>
                <w:sz w:val="20"/>
                <w:szCs w:val="20"/>
                <w:color w:val="auto"/>
              </w:rPr>
            </w:pPr>
            <w:r>
              <w:rPr>
                <w:rFonts w:ascii="Arial" w:cs="Arial" w:eastAsia="Arial" w:hAnsi="Arial"/>
                <w:sz w:val="18"/>
                <w:szCs w:val="18"/>
                <w:color w:val="auto"/>
              </w:rPr>
              <w:t>Reorganization and Restructuring</w:t>
            </w:r>
            <w:r>
              <w:rPr>
                <w:rFonts w:ascii="Arial" w:cs="Arial" w:eastAsia="Arial" w:hAnsi="Arial"/>
                <w:sz w:val="15"/>
                <w:szCs w:val="15"/>
                <w:color w:val="auto"/>
              </w:rPr>
              <w:t>(a)</w:t>
            </w:r>
          </w:p>
        </w:tc>
        <w:tc>
          <w:tcPr>
            <w:tcW w:w="680" w:type="dxa"/>
            <w:vAlign w:val="bottom"/>
          </w:tcPr>
          <w:p>
            <w:pPr>
              <w:spacing w:after="0"/>
              <w:rPr>
                <w:sz w:val="17"/>
                <w:szCs w:val="17"/>
                <w:color w:val="auto"/>
              </w:rPr>
            </w:pPr>
          </w:p>
        </w:tc>
        <w:tc>
          <w:tcPr>
            <w:tcW w:w="114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20.6</w:t>
            </w:r>
          </w:p>
        </w:tc>
        <w:tc>
          <w:tcPr>
            <w:tcW w:w="720" w:type="dxa"/>
            <w:vAlign w:val="bottom"/>
          </w:tcPr>
          <w:p>
            <w:pPr>
              <w:spacing w:after="0"/>
              <w:rPr>
                <w:sz w:val="17"/>
                <w:szCs w:val="17"/>
                <w:color w:val="auto"/>
              </w:rPr>
            </w:pPr>
          </w:p>
        </w:tc>
        <w:tc>
          <w:tcPr>
            <w:tcW w:w="66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shd w:val="clear" w:color="auto" w:fill="E5EAF5"/>
          </w:tcPr>
          <w:p>
            <w:pPr>
              <w:ind w:left="160"/>
              <w:spacing w:after="0" w:line="202" w:lineRule="exact"/>
              <w:rPr>
                <w:sz w:val="20"/>
                <w:szCs w:val="20"/>
                <w:color w:val="auto"/>
              </w:rPr>
            </w:pPr>
            <w:r>
              <w:rPr>
                <w:rFonts w:ascii="Arial" w:cs="Arial" w:eastAsia="Arial" w:hAnsi="Arial"/>
                <w:sz w:val="18"/>
                <w:szCs w:val="18"/>
                <w:color w:val="auto"/>
              </w:rPr>
              <w:t>Acquisitions and dispositions</w:t>
            </w:r>
            <w:r>
              <w:rPr>
                <w:rFonts w:ascii="Arial" w:cs="Arial" w:eastAsia="Arial" w:hAnsi="Arial"/>
                <w:sz w:val="15"/>
                <w:szCs w:val="15"/>
                <w:color w:val="auto"/>
              </w:rPr>
              <w:t>(a)</w:t>
            </w:r>
          </w:p>
        </w:tc>
        <w:tc>
          <w:tcPr>
            <w:tcW w:w="680" w:type="dxa"/>
            <w:vAlign w:val="bottom"/>
            <w:shd w:val="clear" w:color="auto" w:fill="E5EAF5"/>
          </w:tcPr>
          <w:p>
            <w:pPr>
              <w:spacing w:after="0"/>
              <w:rPr>
                <w:sz w:val="17"/>
                <w:szCs w:val="17"/>
                <w:color w:val="auto"/>
              </w:rPr>
            </w:pPr>
          </w:p>
        </w:tc>
        <w:tc>
          <w:tcPr>
            <w:tcW w:w="1140" w:type="dxa"/>
            <w:vAlign w:val="bottom"/>
            <w:shd w:val="clear" w:color="auto" w:fill="E5EAF5"/>
          </w:tcPr>
          <w:p>
            <w:pPr>
              <w:jc w:val="right"/>
              <w:ind w:right="270"/>
              <w:spacing w:after="0" w:line="202" w:lineRule="exact"/>
              <w:rPr>
                <w:sz w:val="20"/>
                <w:szCs w:val="20"/>
                <w:color w:val="auto"/>
              </w:rPr>
            </w:pPr>
            <w:r>
              <w:rPr>
                <w:rFonts w:ascii="Arial" w:cs="Arial" w:eastAsia="Arial" w:hAnsi="Arial"/>
                <w:sz w:val="18"/>
                <w:szCs w:val="18"/>
                <w:color w:val="auto"/>
              </w:rPr>
              <w:t>41.4</w:t>
            </w:r>
          </w:p>
        </w:tc>
        <w:tc>
          <w:tcPr>
            <w:tcW w:w="720" w:type="dxa"/>
            <w:vAlign w:val="bottom"/>
            <w:shd w:val="clear" w:color="auto" w:fill="E5EAF5"/>
          </w:tcPr>
          <w:p>
            <w:pPr>
              <w:spacing w:after="0"/>
              <w:rPr>
                <w:sz w:val="17"/>
                <w:szCs w:val="17"/>
                <w:color w:val="auto"/>
              </w:rPr>
            </w:pPr>
          </w:p>
        </w:tc>
        <w:tc>
          <w:tcPr>
            <w:tcW w:w="660" w:type="dxa"/>
            <w:vAlign w:val="bottom"/>
            <w:gridSpan w:val="2"/>
            <w:shd w:val="clear" w:color="auto" w:fill="E5EAF5"/>
          </w:tcPr>
          <w:p>
            <w:pPr>
              <w:jc w:val="right"/>
              <w:ind w:right="50"/>
              <w:spacing w:after="0" w:line="202"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tcPr>
          <w:p>
            <w:pPr>
              <w:ind w:left="160"/>
              <w:spacing w:after="0" w:line="202" w:lineRule="exact"/>
              <w:rPr>
                <w:sz w:val="20"/>
                <w:szCs w:val="20"/>
                <w:color w:val="auto"/>
              </w:rPr>
            </w:pPr>
            <w:r>
              <w:rPr>
                <w:rFonts w:ascii="Arial" w:cs="Arial" w:eastAsia="Arial" w:hAnsi="Arial"/>
                <w:sz w:val="18"/>
                <w:szCs w:val="18"/>
                <w:color w:val="auto"/>
              </w:rPr>
              <w:t>Argentina highly inflationary impact</w:t>
            </w:r>
            <w:r>
              <w:rPr>
                <w:rFonts w:ascii="Arial" w:cs="Arial" w:eastAsia="Arial" w:hAnsi="Arial"/>
                <w:sz w:val="15"/>
                <w:szCs w:val="15"/>
                <w:color w:val="auto"/>
              </w:rPr>
              <w:t>(a)</w:t>
            </w:r>
          </w:p>
        </w:tc>
        <w:tc>
          <w:tcPr>
            <w:tcW w:w="680" w:type="dxa"/>
            <w:vAlign w:val="bottom"/>
          </w:tcPr>
          <w:p>
            <w:pPr>
              <w:spacing w:after="0"/>
              <w:rPr>
                <w:sz w:val="17"/>
                <w:szCs w:val="17"/>
                <w:color w:val="auto"/>
              </w:rPr>
            </w:pPr>
          </w:p>
        </w:tc>
        <w:tc>
          <w:tcPr>
            <w:tcW w:w="114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8.0</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20" w:type="dxa"/>
            <w:vAlign w:val="bottom"/>
            <w:tcBorders>
              <w:bottom w:val="single" w:sz="8" w:color="0033A0"/>
            </w:tcBorders>
            <w:shd w:val="clear" w:color="auto" w:fill="E5EAF5"/>
          </w:tcPr>
          <w:p>
            <w:pPr>
              <w:ind w:left="160"/>
              <w:spacing w:after="0" w:line="202" w:lineRule="exact"/>
              <w:rPr>
                <w:sz w:val="20"/>
                <w:szCs w:val="20"/>
                <w:color w:val="auto"/>
              </w:rPr>
            </w:pPr>
            <w:r>
              <w:rPr>
                <w:rFonts w:ascii="Arial" w:cs="Arial" w:eastAsia="Arial" w:hAnsi="Arial"/>
                <w:sz w:val="18"/>
                <w:szCs w:val="18"/>
                <w:color w:val="auto"/>
              </w:rPr>
              <w:t>Reporting compliance</w:t>
            </w:r>
            <w:r>
              <w:rPr>
                <w:rFonts w:ascii="Arial" w:cs="Arial" w:eastAsia="Arial" w:hAnsi="Arial"/>
                <w:sz w:val="15"/>
                <w:szCs w:val="15"/>
                <w:color w:val="auto"/>
              </w:rPr>
              <w:t>(a)</w:t>
            </w:r>
          </w:p>
        </w:tc>
        <w:tc>
          <w:tcPr>
            <w:tcW w:w="680" w:type="dxa"/>
            <w:vAlign w:val="bottom"/>
            <w:tcBorders>
              <w:bottom w:val="single" w:sz="8" w:color="0033A0"/>
            </w:tcBorders>
            <w:shd w:val="clear" w:color="auto" w:fill="E5EAF5"/>
          </w:tcPr>
          <w:p>
            <w:pPr>
              <w:spacing w:after="0"/>
              <w:rPr>
                <w:sz w:val="18"/>
                <w:szCs w:val="18"/>
                <w:color w:val="auto"/>
              </w:rPr>
            </w:pPr>
          </w:p>
        </w:tc>
        <w:tc>
          <w:tcPr>
            <w:tcW w:w="1140" w:type="dxa"/>
            <w:vAlign w:val="bottom"/>
            <w:tcBorders>
              <w:bottom w:val="single" w:sz="8" w:color="0033A0"/>
            </w:tcBorders>
            <w:shd w:val="clear" w:color="auto" w:fill="E5EAF5"/>
          </w:tcPr>
          <w:p>
            <w:pPr>
              <w:jc w:val="right"/>
              <w:ind w:right="270"/>
              <w:spacing w:after="0" w:line="202" w:lineRule="exact"/>
              <w:rPr>
                <w:sz w:val="20"/>
                <w:szCs w:val="20"/>
                <w:color w:val="auto"/>
              </w:rPr>
            </w:pPr>
            <w:r>
              <w:rPr>
                <w:rFonts w:ascii="Arial" w:cs="Arial" w:eastAsia="Arial" w:hAnsi="Arial"/>
                <w:sz w:val="18"/>
                <w:szCs w:val="18"/>
                <w:color w:val="auto"/>
              </w:rPr>
              <w:t>4.5</w:t>
            </w:r>
          </w:p>
        </w:tc>
        <w:tc>
          <w:tcPr>
            <w:tcW w:w="720" w:type="dxa"/>
            <w:vAlign w:val="bottom"/>
            <w:tcBorders>
              <w:bottom w:val="single" w:sz="8" w:color="0033A0"/>
            </w:tcBorders>
            <w:shd w:val="clear" w:color="auto" w:fill="E5EAF5"/>
          </w:tcPr>
          <w:p>
            <w:pPr>
              <w:spacing w:after="0"/>
              <w:rPr>
                <w:sz w:val="18"/>
                <w:szCs w:val="18"/>
                <w:color w:val="auto"/>
              </w:rPr>
            </w:pPr>
          </w:p>
        </w:tc>
        <w:tc>
          <w:tcPr>
            <w:tcW w:w="120" w:type="dxa"/>
            <w:vAlign w:val="bottom"/>
            <w:tcBorders>
              <w:bottom w:val="single" w:sz="8" w:color="0033A0"/>
              <w:right w:val="single" w:sz="8" w:color="E5EAF5"/>
            </w:tcBorders>
            <w:shd w:val="clear" w:color="auto" w:fill="E5EAF5"/>
          </w:tcPr>
          <w:p>
            <w:pPr>
              <w:spacing w:after="0"/>
              <w:rPr>
                <w:sz w:val="18"/>
                <w:szCs w:val="18"/>
                <w:color w:val="auto"/>
              </w:rPr>
            </w:pPr>
          </w:p>
        </w:tc>
        <w:tc>
          <w:tcPr>
            <w:tcW w:w="540" w:type="dxa"/>
            <w:vAlign w:val="bottom"/>
            <w:tcBorders>
              <w:bottom w:val="single" w:sz="8" w:color="0033A0"/>
            </w:tcBorders>
            <w:shd w:val="clear" w:color="auto" w:fill="E5EAF5"/>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20" w:type="dxa"/>
            <w:vAlign w:val="bottom"/>
          </w:tcPr>
          <w:p>
            <w:pPr>
              <w:ind w:left="60"/>
              <w:spacing w:after="0"/>
              <w:rPr>
                <w:sz w:val="20"/>
                <w:szCs w:val="20"/>
                <w:color w:val="auto"/>
              </w:rPr>
            </w:pPr>
            <w:r>
              <w:rPr>
                <w:rFonts w:ascii="Arial" w:cs="Arial" w:eastAsia="Arial" w:hAnsi="Arial"/>
                <w:sz w:val="18"/>
                <w:szCs w:val="18"/>
                <w:color w:val="auto"/>
              </w:rPr>
              <w:t>Non-GAAP</w:t>
            </w:r>
          </w:p>
        </w:tc>
        <w:tc>
          <w:tcPr>
            <w:tcW w:w="680" w:type="dxa"/>
            <w:vAlign w:val="bottom"/>
          </w:tcPr>
          <w:p>
            <w:pPr>
              <w:ind w:left="5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70"/>
              <w:spacing w:after="0"/>
              <w:rPr>
                <w:sz w:val="20"/>
                <w:szCs w:val="20"/>
                <w:color w:val="auto"/>
              </w:rPr>
            </w:pPr>
            <w:r>
              <w:rPr>
                <w:rFonts w:ascii="Arial" w:cs="Arial" w:eastAsia="Arial" w:hAnsi="Arial"/>
                <w:sz w:val="18"/>
                <w:szCs w:val="18"/>
                <w:color w:val="auto"/>
              </w:rPr>
              <w:t>346.9</w:t>
            </w:r>
          </w:p>
        </w:tc>
        <w:tc>
          <w:tcPr>
            <w:tcW w:w="720" w:type="dxa"/>
            <w:vAlign w:val="bottom"/>
          </w:tcPr>
          <w:p>
            <w:pPr>
              <w:spacing w:after="0"/>
              <w:rPr>
                <w:sz w:val="18"/>
                <w:szCs w:val="18"/>
                <w:color w:val="auto"/>
              </w:rPr>
            </w:pPr>
          </w:p>
        </w:tc>
        <w:tc>
          <w:tcPr>
            <w:tcW w:w="660" w:type="dxa"/>
            <w:vAlign w:val="bottom"/>
            <w:gridSpan w:val="2"/>
          </w:tcPr>
          <w:p>
            <w:pPr>
              <w:jc w:val="right"/>
              <w:ind w:right="50"/>
              <w:spacing w:after="0"/>
              <w:rPr>
                <w:sz w:val="20"/>
                <w:szCs w:val="20"/>
                <w:color w:val="auto"/>
              </w:rPr>
            </w:pPr>
            <w:r>
              <w:rPr>
                <w:rFonts w:ascii="Arial" w:cs="Arial" w:eastAsia="Arial" w:hAnsi="Arial"/>
                <w:sz w:val="18"/>
                <w:szCs w:val="18"/>
                <w:color w:val="auto"/>
              </w:rPr>
              <w:t>281.4</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820" w:type="dxa"/>
            <w:vAlign w:val="bottom"/>
            <w:tcBorders>
              <w:bottom w:val="single" w:sz="8" w:color="0033A0"/>
            </w:tcBorders>
          </w:tcPr>
          <w:p>
            <w:pPr>
              <w:spacing w:after="0"/>
              <w:rPr>
                <w:sz w:val="3"/>
                <w:szCs w:val="3"/>
                <w:color w:val="auto"/>
              </w:rPr>
            </w:pPr>
          </w:p>
        </w:tc>
        <w:tc>
          <w:tcPr>
            <w:tcW w:w="680" w:type="dxa"/>
            <w:vAlign w:val="bottom"/>
            <w:tcBorders>
              <w:bottom w:val="single" w:sz="8" w:color="0033A0"/>
            </w:tcBorders>
          </w:tcPr>
          <w:p>
            <w:pPr>
              <w:spacing w:after="0"/>
              <w:rPr>
                <w:sz w:val="3"/>
                <w:szCs w:val="3"/>
                <w:color w:val="auto"/>
              </w:rPr>
            </w:pPr>
          </w:p>
        </w:tc>
        <w:tc>
          <w:tcPr>
            <w:tcW w:w="1140" w:type="dxa"/>
            <w:vAlign w:val="bottom"/>
            <w:tcBorders>
              <w:bottom w:val="single" w:sz="8" w:color="0033A0"/>
            </w:tcBorders>
          </w:tcPr>
          <w:p>
            <w:pPr>
              <w:spacing w:after="0"/>
              <w:rPr>
                <w:sz w:val="3"/>
                <w:szCs w:val="3"/>
                <w:color w:val="auto"/>
              </w:rPr>
            </w:pPr>
          </w:p>
        </w:tc>
        <w:tc>
          <w:tcPr>
            <w:tcW w:w="720" w:type="dxa"/>
            <w:vAlign w:val="bottom"/>
            <w:tcBorders>
              <w:bottom w:val="single" w:sz="8" w:color="0033A0"/>
            </w:tcBorders>
          </w:tcPr>
          <w:p>
            <w:pPr>
              <w:spacing w:after="0"/>
              <w:rPr>
                <w:sz w:val="3"/>
                <w:szCs w:val="3"/>
                <w:color w:val="auto"/>
              </w:rPr>
            </w:pPr>
          </w:p>
        </w:tc>
        <w:tc>
          <w:tcPr>
            <w:tcW w:w="120" w:type="dxa"/>
            <w:vAlign w:val="bottom"/>
            <w:tcBorders>
              <w:bottom w:val="single" w:sz="8" w:color="0033A0"/>
            </w:tcBorders>
          </w:tcPr>
          <w:p>
            <w:pPr>
              <w:spacing w:after="0"/>
              <w:rPr>
                <w:sz w:val="3"/>
                <w:szCs w:val="3"/>
                <w:color w:val="auto"/>
              </w:rPr>
            </w:pPr>
          </w:p>
        </w:tc>
        <w:tc>
          <w:tcPr>
            <w:tcW w:w="540" w:type="dxa"/>
            <w:vAlign w:val="bottom"/>
            <w:tcBorders>
              <w:bottom w:val="single" w:sz="8" w:color="0033A0"/>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20" w:type="dxa"/>
            <w:vAlign w:val="bottom"/>
            <w:shd w:val="clear" w:color="auto" w:fill="E5EAF5"/>
          </w:tcPr>
          <w:p>
            <w:pPr>
              <w:ind w:left="60"/>
              <w:spacing w:after="0" w:line="196" w:lineRule="exact"/>
              <w:rPr>
                <w:sz w:val="20"/>
                <w:szCs w:val="20"/>
                <w:color w:val="auto"/>
              </w:rPr>
            </w:pPr>
            <w:r>
              <w:rPr>
                <w:rFonts w:ascii="Arial" w:cs="Arial" w:eastAsia="Arial" w:hAnsi="Arial"/>
                <w:sz w:val="18"/>
                <w:szCs w:val="18"/>
                <w:b w:val="1"/>
                <w:bCs w:val="1"/>
                <w:color w:val="auto"/>
              </w:rPr>
              <w:t>EPS:</w:t>
            </w:r>
          </w:p>
        </w:tc>
        <w:tc>
          <w:tcPr>
            <w:tcW w:w="680" w:type="dxa"/>
            <w:vAlign w:val="bottom"/>
            <w:shd w:val="clear" w:color="auto" w:fill="E5EAF5"/>
          </w:tcPr>
          <w:p>
            <w:pPr>
              <w:spacing w:after="0"/>
              <w:rPr>
                <w:sz w:val="17"/>
                <w:szCs w:val="17"/>
                <w:color w:val="auto"/>
              </w:rPr>
            </w:pPr>
          </w:p>
        </w:tc>
        <w:tc>
          <w:tcPr>
            <w:tcW w:w="1140" w:type="dxa"/>
            <w:vAlign w:val="bottom"/>
            <w:shd w:val="clear" w:color="auto" w:fill="E5EAF5"/>
          </w:tcPr>
          <w:p>
            <w:pPr>
              <w:spacing w:after="0"/>
              <w:rPr>
                <w:sz w:val="17"/>
                <w:szCs w:val="17"/>
                <w:color w:val="auto"/>
              </w:rPr>
            </w:pPr>
          </w:p>
        </w:tc>
        <w:tc>
          <w:tcPr>
            <w:tcW w:w="720" w:type="dxa"/>
            <w:vAlign w:val="bottom"/>
            <w:shd w:val="clear" w:color="auto" w:fill="E5EAF5"/>
          </w:tcPr>
          <w:p>
            <w:pPr>
              <w:spacing w:after="0"/>
              <w:rPr>
                <w:sz w:val="17"/>
                <w:szCs w:val="17"/>
                <w:color w:val="auto"/>
              </w:rPr>
            </w:pPr>
          </w:p>
        </w:tc>
        <w:tc>
          <w:tcPr>
            <w:tcW w:w="120" w:type="dxa"/>
            <w:vAlign w:val="bottom"/>
            <w:tcBorders>
              <w:right w:val="single" w:sz="8" w:color="E5EAF5"/>
            </w:tcBorders>
            <w:shd w:val="clear" w:color="auto" w:fill="E5EAF5"/>
          </w:tcPr>
          <w:p>
            <w:pPr>
              <w:spacing w:after="0"/>
              <w:rPr>
                <w:sz w:val="17"/>
                <w:szCs w:val="17"/>
                <w:color w:val="auto"/>
              </w:rPr>
            </w:pPr>
          </w:p>
        </w:tc>
        <w:tc>
          <w:tcPr>
            <w:tcW w:w="540" w:type="dxa"/>
            <w:vAlign w:val="bottom"/>
            <w:shd w:val="clear" w:color="auto" w:fill="E5EAF5"/>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20" w:type="dxa"/>
            <w:vAlign w:val="bottom"/>
          </w:tcPr>
          <w:p>
            <w:pPr>
              <w:ind w:left="60"/>
              <w:spacing w:after="0"/>
              <w:rPr>
                <w:sz w:val="20"/>
                <w:szCs w:val="20"/>
                <w:color w:val="auto"/>
              </w:rPr>
            </w:pPr>
            <w:r>
              <w:rPr>
                <w:rFonts w:ascii="Arial" w:cs="Arial" w:eastAsia="Arial" w:hAnsi="Arial"/>
                <w:sz w:val="18"/>
                <w:szCs w:val="18"/>
                <w:color w:val="auto"/>
              </w:rPr>
              <w:t>GAAP</w:t>
            </w:r>
          </w:p>
        </w:tc>
        <w:tc>
          <w:tcPr>
            <w:tcW w:w="680" w:type="dxa"/>
            <w:vAlign w:val="bottom"/>
          </w:tcPr>
          <w:p>
            <w:pPr>
              <w:ind w:left="5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10"/>
              <w:spacing w:after="0"/>
              <w:rPr>
                <w:sz w:val="20"/>
                <w:szCs w:val="20"/>
                <w:color w:val="auto"/>
              </w:rPr>
            </w:pPr>
            <w:r>
              <w:rPr>
                <w:rFonts w:ascii="Arial" w:cs="Arial" w:eastAsia="Arial" w:hAnsi="Arial"/>
                <w:sz w:val="18"/>
                <w:szCs w:val="18"/>
                <w:color w:val="auto"/>
              </w:rPr>
              <w:t>(0.65)</w:t>
            </w:r>
          </w:p>
        </w:tc>
        <w:tc>
          <w:tcPr>
            <w:tcW w:w="720" w:type="dxa"/>
            <w:vAlign w:val="bottom"/>
          </w:tcPr>
          <w:p>
            <w:pPr>
              <w:spacing w:after="0"/>
              <w:rPr>
                <w:sz w:val="18"/>
                <w:szCs w:val="18"/>
                <w:color w:val="auto"/>
              </w:rPr>
            </w:pPr>
          </w:p>
        </w:tc>
        <w:tc>
          <w:tcPr>
            <w:tcW w:w="660" w:type="dxa"/>
            <w:vAlign w:val="bottom"/>
            <w:gridSpan w:val="2"/>
          </w:tcPr>
          <w:p>
            <w:pPr>
              <w:jc w:val="right"/>
              <w:ind w:right="5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shd w:val="clear" w:color="auto" w:fill="E5EAF5"/>
          </w:tcPr>
          <w:p>
            <w:pPr>
              <w:ind w:left="160"/>
              <w:spacing w:after="0" w:line="202" w:lineRule="exact"/>
              <w:rPr>
                <w:sz w:val="20"/>
                <w:szCs w:val="20"/>
                <w:color w:val="auto"/>
              </w:rPr>
            </w:pPr>
            <w:r>
              <w:rPr>
                <w:rFonts w:ascii="Arial" w:cs="Arial" w:eastAsia="Arial" w:hAnsi="Arial"/>
                <w:sz w:val="18"/>
                <w:szCs w:val="18"/>
                <w:color w:val="auto"/>
              </w:rPr>
              <w:t>Retirement plans</w:t>
            </w:r>
            <w:r>
              <w:rPr>
                <w:rFonts w:ascii="Arial" w:cs="Arial" w:eastAsia="Arial" w:hAnsi="Arial"/>
                <w:sz w:val="15"/>
                <w:szCs w:val="15"/>
                <w:color w:val="auto"/>
              </w:rPr>
              <w:t>(b)</w:t>
            </w:r>
          </w:p>
        </w:tc>
        <w:tc>
          <w:tcPr>
            <w:tcW w:w="680" w:type="dxa"/>
            <w:vAlign w:val="bottom"/>
            <w:shd w:val="clear" w:color="auto" w:fill="E5EAF5"/>
          </w:tcPr>
          <w:p>
            <w:pPr>
              <w:spacing w:after="0"/>
              <w:rPr>
                <w:sz w:val="17"/>
                <w:szCs w:val="17"/>
                <w:color w:val="auto"/>
              </w:rPr>
            </w:pPr>
          </w:p>
        </w:tc>
        <w:tc>
          <w:tcPr>
            <w:tcW w:w="1140" w:type="dxa"/>
            <w:vAlign w:val="bottom"/>
            <w:shd w:val="clear" w:color="auto" w:fill="E5EAF5"/>
          </w:tcPr>
          <w:p>
            <w:pPr>
              <w:jc w:val="right"/>
              <w:ind w:right="270"/>
              <w:spacing w:after="0" w:line="202" w:lineRule="exact"/>
              <w:rPr>
                <w:sz w:val="20"/>
                <w:szCs w:val="20"/>
                <w:color w:val="auto"/>
              </w:rPr>
            </w:pPr>
            <w:r>
              <w:rPr>
                <w:rFonts w:ascii="Arial" w:cs="Arial" w:eastAsia="Arial" w:hAnsi="Arial"/>
                <w:sz w:val="18"/>
                <w:szCs w:val="18"/>
                <w:color w:val="auto"/>
              </w:rPr>
              <w:t>0.49</w:t>
            </w:r>
          </w:p>
        </w:tc>
        <w:tc>
          <w:tcPr>
            <w:tcW w:w="720" w:type="dxa"/>
            <w:vAlign w:val="bottom"/>
            <w:shd w:val="clear" w:color="auto" w:fill="E5EAF5"/>
          </w:tcPr>
          <w:p>
            <w:pPr>
              <w:spacing w:after="0"/>
              <w:rPr>
                <w:sz w:val="17"/>
                <w:szCs w:val="17"/>
                <w:color w:val="auto"/>
              </w:rPr>
            </w:pPr>
          </w:p>
        </w:tc>
        <w:tc>
          <w:tcPr>
            <w:tcW w:w="660" w:type="dxa"/>
            <w:vAlign w:val="bottom"/>
            <w:gridSpan w:val="2"/>
            <w:shd w:val="clear" w:color="auto" w:fill="E5EAF5"/>
          </w:tcPr>
          <w:p>
            <w:pPr>
              <w:jc w:val="right"/>
              <w:ind w:right="50"/>
              <w:spacing w:after="0" w:line="202" w:lineRule="exact"/>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tcPr>
          <w:p>
            <w:pPr>
              <w:ind w:left="160"/>
              <w:spacing w:after="0" w:line="202" w:lineRule="exact"/>
              <w:rPr>
                <w:sz w:val="20"/>
                <w:szCs w:val="20"/>
                <w:color w:val="auto"/>
              </w:rPr>
            </w:pPr>
            <w:r>
              <w:rPr>
                <w:rFonts w:ascii="Arial" w:cs="Arial" w:eastAsia="Arial" w:hAnsi="Arial"/>
                <w:sz w:val="18"/>
                <w:szCs w:val="18"/>
                <w:color w:val="auto"/>
              </w:rPr>
              <w:t>Venezuela operations</w:t>
            </w:r>
            <w:r>
              <w:rPr>
                <w:rFonts w:ascii="Arial" w:cs="Arial" w:eastAsia="Arial" w:hAnsi="Arial"/>
                <w:sz w:val="15"/>
                <w:szCs w:val="15"/>
                <w:color w:val="auto"/>
              </w:rPr>
              <w:t>(a)</w:t>
            </w:r>
          </w:p>
        </w:tc>
        <w:tc>
          <w:tcPr>
            <w:tcW w:w="680" w:type="dxa"/>
            <w:vAlign w:val="bottom"/>
          </w:tcPr>
          <w:p>
            <w:pPr>
              <w:spacing w:after="0"/>
              <w:rPr>
                <w:sz w:val="17"/>
                <w:szCs w:val="17"/>
                <w:color w:val="auto"/>
              </w:rPr>
            </w:pPr>
          </w:p>
        </w:tc>
        <w:tc>
          <w:tcPr>
            <w:tcW w:w="114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0.08</w:t>
            </w:r>
          </w:p>
        </w:tc>
        <w:tc>
          <w:tcPr>
            <w:tcW w:w="720" w:type="dxa"/>
            <w:vAlign w:val="bottom"/>
          </w:tcPr>
          <w:p>
            <w:pPr>
              <w:spacing w:after="0"/>
              <w:rPr>
                <w:sz w:val="17"/>
                <w:szCs w:val="17"/>
                <w:color w:val="auto"/>
              </w:rPr>
            </w:pPr>
          </w:p>
        </w:tc>
        <w:tc>
          <w:tcPr>
            <w:tcW w:w="66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shd w:val="clear" w:color="auto" w:fill="E5EAF5"/>
          </w:tcPr>
          <w:p>
            <w:pPr>
              <w:ind w:left="160"/>
              <w:spacing w:after="0" w:line="202" w:lineRule="exact"/>
              <w:rPr>
                <w:sz w:val="20"/>
                <w:szCs w:val="20"/>
                <w:color w:val="auto"/>
              </w:rPr>
            </w:pPr>
            <w:r>
              <w:rPr>
                <w:rFonts w:ascii="Arial" w:cs="Arial" w:eastAsia="Arial" w:hAnsi="Arial"/>
                <w:sz w:val="18"/>
                <w:szCs w:val="18"/>
                <w:color w:val="auto"/>
              </w:rPr>
              <w:t>Reorganization and Restructuring</w:t>
            </w:r>
            <w:r>
              <w:rPr>
                <w:rFonts w:ascii="Arial" w:cs="Arial" w:eastAsia="Arial" w:hAnsi="Arial"/>
                <w:sz w:val="15"/>
                <w:szCs w:val="15"/>
                <w:color w:val="auto"/>
              </w:rPr>
              <w:t>(a)</w:t>
            </w:r>
          </w:p>
        </w:tc>
        <w:tc>
          <w:tcPr>
            <w:tcW w:w="680" w:type="dxa"/>
            <w:vAlign w:val="bottom"/>
            <w:shd w:val="clear" w:color="auto" w:fill="E5EAF5"/>
          </w:tcPr>
          <w:p>
            <w:pPr>
              <w:spacing w:after="0"/>
              <w:rPr>
                <w:sz w:val="17"/>
                <w:szCs w:val="17"/>
                <w:color w:val="auto"/>
              </w:rPr>
            </w:pPr>
          </w:p>
        </w:tc>
        <w:tc>
          <w:tcPr>
            <w:tcW w:w="1140" w:type="dxa"/>
            <w:vAlign w:val="bottom"/>
            <w:shd w:val="clear" w:color="auto" w:fill="E5EAF5"/>
          </w:tcPr>
          <w:p>
            <w:pPr>
              <w:jc w:val="right"/>
              <w:ind w:right="270"/>
              <w:spacing w:after="0" w:line="202" w:lineRule="exact"/>
              <w:rPr>
                <w:sz w:val="20"/>
                <w:szCs w:val="20"/>
                <w:color w:val="auto"/>
              </w:rPr>
            </w:pPr>
            <w:r>
              <w:rPr>
                <w:rFonts w:ascii="Arial" w:cs="Arial" w:eastAsia="Arial" w:hAnsi="Arial"/>
                <w:sz w:val="18"/>
                <w:szCs w:val="18"/>
                <w:color w:val="auto"/>
              </w:rPr>
              <w:t>0.27</w:t>
            </w:r>
          </w:p>
        </w:tc>
        <w:tc>
          <w:tcPr>
            <w:tcW w:w="720" w:type="dxa"/>
            <w:vAlign w:val="bottom"/>
            <w:shd w:val="clear" w:color="auto" w:fill="E5EAF5"/>
          </w:tcPr>
          <w:p>
            <w:pPr>
              <w:spacing w:after="0"/>
              <w:rPr>
                <w:sz w:val="17"/>
                <w:szCs w:val="17"/>
                <w:color w:val="auto"/>
              </w:rPr>
            </w:pPr>
          </w:p>
        </w:tc>
        <w:tc>
          <w:tcPr>
            <w:tcW w:w="660" w:type="dxa"/>
            <w:vAlign w:val="bottom"/>
            <w:gridSpan w:val="2"/>
            <w:shd w:val="clear" w:color="auto" w:fill="E5EAF5"/>
          </w:tcPr>
          <w:p>
            <w:pPr>
              <w:jc w:val="right"/>
              <w:ind w:right="50"/>
              <w:spacing w:after="0" w:line="202" w:lineRule="exact"/>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tcPr>
          <w:p>
            <w:pPr>
              <w:ind w:left="160"/>
              <w:spacing w:after="0" w:line="202" w:lineRule="exact"/>
              <w:rPr>
                <w:sz w:val="20"/>
                <w:szCs w:val="20"/>
                <w:color w:val="auto"/>
              </w:rPr>
            </w:pPr>
            <w:r>
              <w:rPr>
                <w:rFonts w:ascii="Arial" w:cs="Arial" w:eastAsia="Arial" w:hAnsi="Arial"/>
                <w:sz w:val="18"/>
                <w:szCs w:val="18"/>
                <w:color w:val="auto"/>
              </w:rPr>
              <w:t>Acquisitions and dispositions</w:t>
            </w:r>
            <w:r>
              <w:rPr>
                <w:rFonts w:ascii="Arial" w:cs="Arial" w:eastAsia="Arial" w:hAnsi="Arial"/>
                <w:sz w:val="15"/>
                <w:szCs w:val="15"/>
                <w:color w:val="auto"/>
              </w:rPr>
              <w:t>(a)</w:t>
            </w:r>
          </w:p>
        </w:tc>
        <w:tc>
          <w:tcPr>
            <w:tcW w:w="680" w:type="dxa"/>
            <w:vAlign w:val="bottom"/>
          </w:tcPr>
          <w:p>
            <w:pPr>
              <w:spacing w:after="0"/>
              <w:rPr>
                <w:sz w:val="17"/>
                <w:szCs w:val="17"/>
                <w:color w:val="auto"/>
              </w:rPr>
            </w:pPr>
          </w:p>
        </w:tc>
        <w:tc>
          <w:tcPr>
            <w:tcW w:w="114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0.64</w:t>
            </w:r>
          </w:p>
        </w:tc>
        <w:tc>
          <w:tcPr>
            <w:tcW w:w="720" w:type="dxa"/>
            <w:vAlign w:val="bottom"/>
          </w:tcPr>
          <w:p>
            <w:pPr>
              <w:spacing w:after="0"/>
              <w:rPr>
                <w:sz w:val="17"/>
                <w:szCs w:val="17"/>
                <w:color w:val="auto"/>
              </w:rPr>
            </w:pPr>
          </w:p>
        </w:tc>
        <w:tc>
          <w:tcPr>
            <w:tcW w:w="66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shd w:val="clear" w:color="auto" w:fill="E5EAF5"/>
          </w:tcPr>
          <w:p>
            <w:pPr>
              <w:ind w:left="160"/>
              <w:spacing w:after="0" w:line="202" w:lineRule="exact"/>
              <w:rPr>
                <w:sz w:val="20"/>
                <w:szCs w:val="20"/>
                <w:color w:val="auto"/>
              </w:rPr>
            </w:pPr>
            <w:r>
              <w:rPr>
                <w:rFonts w:ascii="Arial" w:cs="Arial" w:eastAsia="Arial" w:hAnsi="Arial"/>
                <w:sz w:val="18"/>
                <w:szCs w:val="18"/>
                <w:color w:val="auto"/>
              </w:rPr>
              <w:t>Prepayment penalties</w:t>
            </w:r>
            <w:r>
              <w:rPr>
                <w:rFonts w:ascii="Arial" w:cs="Arial" w:eastAsia="Arial" w:hAnsi="Arial"/>
                <w:sz w:val="15"/>
                <w:szCs w:val="15"/>
                <w:color w:val="auto"/>
              </w:rPr>
              <w:t>(f)</w:t>
            </w:r>
          </w:p>
        </w:tc>
        <w:tc>
          <w:tcPr>
            <w:tcW w:w="680" w:type="dxa"/>
            <w:vAlign w:val="bottom"/>
            <w:shd w:val="clear" w:color="auto" w:fill="E5EAF5"/>
          </w:tcPr>
          <w:p>
            <w:pPr>
              <w:spacing w:after="0"/>
              <w:rPr>
                <w:sz w:val="17"/>
                <w:szCs w:val="17"/>
                <w:color w:val="auto"/>
              </w:rPr>
            </w:pPr>
          </w:p>
        </w:tc>
        <w:tc>
          <w:tcPr>
            <w:tcW w:w="1140" w:type="dxa"/>
            <w:vAlign w:val="bottom"/>
            <w:shd w:val="clear" w:color="auto" w:fill="E5EAF5"/>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E5EAF5"/>
          </w:tcPr>
          <w:p>
            <w:pPr>
              <w:spacing w:after="0"/>
              <w:rPr>
                <w:sz w:val="17"/>
                <w:szCs w:val="17"/>
                <w:color w:val="auto"/>
              </w:rPr>
            </w:pPr>
          </w:p>
        </w:tc>
        <w:tc>
          <w:tcPr>
            <w:tcW w:w="660" w:type="dxa"/>
            <w:vAlign w:val="bottom"/>
            <w:gridSpan w:val="2"/>
            <w:shd w:val="clear" w:color="auto" w:fill="E5EAF5"/>
          </w:tcPr>
          <w:p>
            <w:pPr>
              <w:jc w:val="right"/>
              <w:ind w:right="50"/>
              <w:spacing w:after="0" w:line="202" w:lineRule="exact"/>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tcPr>
          <w:p>
            <w:pPr>
              <w:ind w:left="160"/>
              <w:spacing w:after="0" w:line="202" w:lineRule="exact"/>
              <w:rPr>
                <w:sz w:val="20"/>
                <w:szCs w:val="20"/>
                <w:color w:val="auto"/>
              </w:rPr>
            </w:pPr>
            <w:r>
              <w:rPr>
                <w:rFonts w:ascii="Arial" w:cs="Arial" w:eastAsia="Arial" w:hAnsi="Arial"/>
                <w:sz w:val="18"/>
                <w:szCs w:val="18"/>
                <w:color w:val="auto"/>
              </w:rPr>
              <w:t>Interest on Brazil tax claim</w:t>
            </w:r>
            <w:r>
              <w:rPr>
                <w:rFonts w:ascii="Arial" w:cs="Arial" w:eastAsia="Arial" w:hAnsi="Arial"/>
                <w:sz w:val="15"/>
                <w:szCs w:val="15"/>
                <w:color w:val="auto"/>
              </w:rPr>
              <w:t>(g)</w:t>
            </w:r>
          </w:p>
        </w:tc>
        <w:tc>
          <w:tcPr>
            <w:tcW w:w="680" w:type="dxa"/>
            <w:vAlign w:val="bottom"/>
          </w:tcPr>
          <w:p>
            <w:pPr>
              <w:spacing w:after="0"/>
              <w:rPr>
                <w:sz w:val="17"/>
                <w:szCs w:val="17"/>
                <w:color w:val="auto"/>
              </w:rPr>
            </w:pPr>
          </w:p>
        </w:tc>
        <w:tc>
          <w:tcPr>
            <w:tcW w:w="114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spacing w:after="0"/>
              <w:rPr>
                <w:sz w:val="17"/>
                <w:szCs w:val="17"/>
                <w:color w:val="auto"/>
              </w:rPr>
            </w:pPr>
          </w:p>
        </w:tc>
        <w:tc>
          <w:tcPr>
            <w:tcW w:w="66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shd w:val="clear" w:color="auto" w:fill="E5EAF5"/>
          </w:tcPr>
          <w:p>
            <w:pPr>
              <w:ind w:left="160"/>
              <w:spacing w:after="0" w:line="202" w:lineRule="exact"/>
              <w:rPr>
                <w:sz w:val="20"/>
                <w:szCs w:val="20"/>
                <w:color w:val="auto"/>
              </w:rPr>
            </w:pPr>
            <w:r>
              <w:rPr>
                <w:rFonts w:ascii="Arial" w:cs="Arial" w:eastAsia="Arial" w:hAnsi="Arial"/>
                <w:sz w:val="18"/>
                <w:szCs w:val="18"/>
                <w:color w:val="auto"/>
              </w:rPr>
              <w:t>Tax reform</w:t>
            </w:r>
            <w:r>
              <w:rPr>
                <w:rFonts w:ascii="Arial" w:cs="Arial" w:eastAsia="Arial" w:hAnsi="Arial"/>
                <w:sz w:val="15"/>
                <w:szCs w:val="15"/>
                <w:color w:val="auto"/>
              </w:rPr>
              <w:t>(c)</w:t>
            </w:r>
          </w:p>
        </w:tc>
        <w:tc>
          <w:tcPr>
            <w:tcW w:w="680" w:type="dxa"/>
            <w:vAlign w:val="bottom"/>
            <w:shd w:val="clear" w:color="auto" w:fill="E5EAF5"/>
          </w:tcPr>
          <w:p>
            <w:pPr>
              <w:spacing w:after="0"/>
              <w:rPr>
                <w:sz w:val="17"/>
                <w:szCs w:val="17"/>
                <w:color w:val="auto"/>
              </w:rPr>
            </w:pPr>
          </w:p>
        </w:tc>
        <w:tc>
          <w:tcPr>
            <w:tcW w:w="1140" w:type="dxa"/>
            <w:vAlign w:val="bottom"/>
            <w:shd w:val="clear" w:color="auto" w:fill="E5EAF5"/>
          </w:tcPr>
          <w:p>
            <w:pPr>
              <w:jc w:val="right"/>
              <w:ind w:right="210"/>
              <w:spacing w:after="0" w:line="202" w:lineRule="exact"/>
              <w:rPr>
                <w:sz w:val="20"/>
                <w:szCs w:val="20"/>
                <w:color w:val="auto"/>
              </w:rPr>
            </w:pPr>
            <w:r>
              <w:rPr>
                <w:rFonts w:ascii="Arial" w:cs="Arial" w:eastAsia="Arial" w:hAnsi="Arial"/>
                <w:sz w:val="18"/>
                <w:szCs w:val="18"/>
                <w:color w:val="auto"/>
              </w:rPr>
              <w:t>(0.04)</w:t>
            </w:r>
          </w:p>
        </w:tc>
        <w:tc>
          <w:tcPr>
            <w:tcW w:w="720" w:type="dxa"/>
            <w:vAlign w:val="bottom"/>
            <w:shd w:val="clear" w:color="auto" w:fill="E5EAF5"/>
          </w:tcPr>
          <w:p>
            <w:pPr>
              <w:spacing w:after="0"/>
              <w:rPr>
                <w:sz w:val="17"/>
                <w:szCs w:val="17"/>
                <w:color w:val="auto"/>
              </w:rPr>
            </w:pPr>
          </w:p>
        </w:tc>
        <w:tc>
          <w:tcPr>
            <w:tcW w:w="660" w:type="dxa"/>
            <w:vAlign w:val="bottom"/>
            <w:gridSpan w:val="2"/>
            <w:shd w:val="clear" w:color="auto" w:fill="E5EAF5"/>
          </w:tcPr>
          <w:p>
            <w:pPr>
              <w:jc w:val="right"/>
              <w:ind w:right="50"/>
              <w:spacing w:after="0" w:line="202" w:lineRule="exact"/>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tcPr>
          <w:p>
            <w:pPr>
              <w:ind w:left="160"/>
              <w:spacing w:after="0" w:line="202" w:lineRule="exact"/>
              <w:rPr>
                <w:sz w:val="20"/>
                <w:szCs w:val="20"/>
                <w:color w:val="auto"/>
              </w:rPr>
            </w:pPr>
            <w:r>
              <w:rPr>
                <w:rFonts w:ascii="Arial" w:cs="Arial" w:eastAsia="Arial" w:hAnsi="Arial"/>
                <w:sz w:val="18"/>
                <w:szCs w:val="18"/>
                <w:color w:val="auto"/>
              </w:rPr>
              <w:t>Tax on accelerated income</w:t>
            </w:r>
            <w:r>
              <w:rPr>
                <w:rFonts w:ascii="Arial" w:cs="Arial" w:eastAsia="Arial" w:hAnsi="Arial"/>
                <w:sz w:val="15"/>
                <w:szCs w:val="15"/>
                <w:color w:val="auto"/>
              </w:rPr>
              <w:t>(h)</w:t>
            </w:r>
          </w:p>
        </w:tc>
        <w:tc>
          <w:tcPr>
            <w:tcW w:w="680" w:type="dxa"/>
            <w:vAlign w:val="bottom"/>
          </w:tcPr>
          <w:p>
            <w:pPr>
              <w:spacing w:after="0"/>
              <w:rPr>
                <w:sz w:val="17"/>
                <w:szCs w:val="17"/>
                <w:color w:val="auto"/>
              </w:rPr>
            </w:pPr>
          </w:p>
        </w:tc>
        <w:tc>
          <w:tcPr>
            <w:tcW w:w="114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spacing w:after="0"/>
              <w:rPr>
                <w:sz w:val="17"/>
                <w:szCs w:val="17"/>
                <w:color w:val="auto"/>
              </w:rPr>
            </w:pP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shd w:val="clear" w:color="auto" w:fill="E5EAF5"/>
          </w:tcPr>
          <w:p>
            <w:pPr>
              <w:ind w:left="160"/>
              <w:spacing w:after="0" w:line="202" w:lineRule="exact"/>
              <w:rPr>
                <w:sz w:val="20"/>
                <w:szCs w:val="20"/>
                <w:color w:val="auto"/>
              </w:rPr>
            </w:pPr>
            <w:r>
              <w:rPr>
                <w:rFonts w:ascii="Arial" w:cs="Arial" w:eastAsia="Arial" w:hAnsi="Arial"/>
                <w:sz w:val="18"/>
                <w:szCs w:val="18"/>
                <w:color w:val="auto"/>
              </w:rPr>
              <w:t>Argentina highly inflationary impact</w:t>
            </w:r>
            <w:r>
              <w:rPr>
                <w:rFonts w:ascii="Arial" w:cs="Arial" w:eastAsia="Arial" w:hAnsi="Arial"/>
                <w:sz w:val="15"/>
                <w:szCs w:val="15"/>
                <w:color w:val="auto"/>
              </w:rPr>
              <w:t>(a)</w:t>
            </w:r>
          </w:p>
        </w:tc>
        <w:tc>
          <w:tcPr>
            <w:tcW w:w="680" w:type="dxa"/>
            <w:vAlign w:val="bottom"/>
            <w:shd w:val="clear" w:color="auto" w:fill="E5EAF5"/>
          </w:tcPr>
          <w:p>
            <w:pPr>
              <w:spacing w:after="0"/>
              <w:rPr>
                <w:sz w:val="17"/>
                <w:szCs w:val="17"/>
                <w:color w:val="auto"/>
              </w:rPr>
            </w:pPr>
          </w:p>
        </w:tc>
        <w:tc>
          <w:tcPr>
            <w:tcW w:w="1140" w:type="dxa"/>
            <w:vAlign w:val="bottom"/>
            <w:shd w:val="clear" w:color="auto" w:fill="E5EAF5"/>
          </w:tcPr>
          <w:p>
            <w:pPr>
              <w:jc w:val="right"/>
              <w:ind w:right="270"/>
              <w:spacing w:after="0" w:line="202" w:lineRule="exact"/>
              <w:rPr>
                <w:sz w:val="20"/>
                <w:szCs w:val="20"/>
                <w:color w:val="auto"/>
              </w:rPr>
            </w:pPr>
            <w:r>
              <w:rPr>
                <w:rFonts w:ascii="Arial" w:cs="Arial" w:eastAsia="Arial" w:hAnsi="Arial"/>
                <w:sz w:val="18"/>
                <w:szCs w:val="18"/>
                <w:color w:val="auto"/>
              </w:rPr>
              <w:t>0.14</w:t>
            </w:r>
          </w:p>
        </w:tc>
        <w:tc>
          <w:tcPr>
            <w:tcW w:w="720" w:type="dxa"/>
            <w:vAlign w:val="bottom"/>
            <w:shd w:val="clear" w:color="auto" w:fill="E5EAF5"/>
          </w:tcPr>
          <w:p>
            <w:pPr>
              <w:spacing w:after="0"/>
              <w:rPr>
                <w:sz w:val="17"/>
                <w:szCs w:val="17"/>
                <w:color w:val="auto"/>
              </w:rPr>
            </w:pPr>
          </w:p>
        </w:tc>
        <w:tc>
          <w:tcPr>
            <w:tcW w:w="120" w:type="dxa"/>
            <w:vAlign w:val="bottom"/>
            <w:tcBorders>
              <w:right w:val="single" w:sz="8" w:color="E5EAF5"/>
            </w:tcBorders>
            <w:shd w:val="clear" w:color="auto" w:fill="E5EAF5"/>
          </w:tcPr>
          <w:p>
            <w:pPr>
              <w:spacing w:after="0"/>
              <w:rPr>
                <w:sz w:val="17"/>
                <w:szCs w:val="17"/>
                <w:color w:val="auto"/>
              </w:rPr>
            </w:pPr>
          </w:p>
        </w:tc>
        <w:tc>
          <w:tcPr>
            <w:tcW w:w="540" w:type="dxa"/>
            <w:vAlign w:val="bottom"/>
            <w:shd w:val="clear" w:color="auto" w:fill="E5EAF5"/>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tcPr>
          <w:p>
            <w:pPr>
              <w:ind w:left="160"/>
              <w:spacing w:after="0" w:line="202" w:lineRule="exact"/>
              <w:rPr>
                <w:sz w:val="20"/>
                <w:szCs w:val="20"/>
                <w:color w:val="auto"/>
              </w:rPr>
            </w:pPr>
            <w:r>
              <w:rPr>
                <w:rFonts w:ascii="Arial" w:cs="Arial" w:eastAsia="Arial" w:hAnsi="Arial"/>
                <w:sz w:val="18"/>
                <w:szCs w:val="18"/>
                <w:color w:val="auto"/>
              </w:rPr>
              <w:t>Reporting compliance</w:t>
            </w:r>
            <w:r>
              <w:rPr>
                <w:rFonts w:ascii="Arial" w:cs="Arial" w:eastAsia="Arial" w:hAnsi="Arial"/>
                <w:sz w:val="15"/>
                <w:szCs w:val="15"/>
                <w:color w:val="auto"/>
              </w:rPr>
              <w:t>(a)</w:t>
            </w:r>
          </w:p>
        </w:tc>
        <w:tc>
          <w:tcPr>
            <w:tcW w:w="680" w:type="dxa"/>
            <w:vAlign w:val="bottom"/>
          </w:tcPr>
          <w:p>
            <w:pPr>
              <w:spacing w:after="0"/>
              <w:rPr>
                <w:sz w:val="17"/>
                <w:szCs w:val="17"/>
                <w:color w:val="auto"/>
              </w:rPr>
            </w:pPr>
          </w:p>
        </w:tc>
        <w:tc>
          <w:tcPr>
            <w:tcW w:w="114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0.09</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shd w:val="clear" w:color="auto" w:fill="E5EAF5"/>
          </w:tcPr>
          <w:p>
            <w:pPr>
              <w:ind w:left="160"/>
              <w:spacing w:after="0" w:line="202" w:lineRule="exact"/>
              <w:rPr>
                <w:sz w:val="20"/>
                <w:szCs w:val="20"/>
                <w:color w:val="auto"/>
              </w:rPr>
            </w:pPr>
            <w:r>
              <w:rPr>
                <w:rFonts w:ascii="Arial" w:cs="Arial" w:eastAsia="Arial" w:hAnsi="Arial"/>
                <w:sz w:val="18"/>
                <w:szCs w:val="18"/>
                <w:color w:val="auto"/>
              </w:rPr>
              <w:t>Loss on deconsolidation of Venezuela operations</w:t>
            </w:r>
            <w:r>
              <w:rPr>
                <w:rFonts w:ascii="Arial" w:cs="Arial" w:eastAsia="Arial" w:hAnsi="Arial"/>
                <w:sz w:val="15"/>
                <w:szCs w:val="15"/>
                <w:color w:val="auto"/>
              </w:rPr>
              <w:t>(d)</w:t>
            </w:r>
          </w:p>
        </w:tc>
        <w:tc>
          <w:tcPr>
            <w:tcW w:w="680" w:type="dxa"/>
            <w:vAlign w:val="bottom"/>
            <w:shd w:val="clear" w:color="auto" w:fill="E5EAF5"/>
          </w:tcPr>
          <w:p>
            <w:pPr>
              <w:spacing w:after="0"/>
              <w:rPr>
                <w:sz w:val="17"/>
                <w:szCs w:val="17"/>
                <w:color w:val="auto"/>
              </w:rPr>
            </w:pPr>
          </w:p>
        </w:tc>
        <w:tc>
          <w:tcPr>
            <w:tcW w:w="1140" w:type="dxa"/>
            <w:vAlign w:val="bottom"/>
            <w:shd w:val="clear" w:color="auto" w:fill="E5EAF5"/>
          </w:tcPr>
          <w:p>
            <w:pPr>
              <w:jc w:val="right"/>
              <w:ind w:right="270"/>
              <w:spacing w:after="0" w:line="202" w:lineRule="exact"/>
              <w:rPr>
                <w:sz w:val="20"/>
                <w:szCs w:val="20"/>
                <w:color w:val="auto"/>
              </w:rPr>
            </w:pPr>
            <w:r>
              <w:rPr>
                <w:rFonts w:ascii="Arial" w:cs="Arial" w:eastAsia="Arial" w:hAnsi="Arial"/>
                <w:sz w:val="18"/>
                <w:szCs w:val="18"/>
                <w:color w:val="auto"/>
              </w:rPr>
              <w:t>2.44</w:t>
            </w:r>
          </w:p>
        </w:tc>
        <w:tc>
          <w:tcPr>
            <w:tcW w:w="720" w:type="dxa"/>
            <w:vAlign w:val="bottom"/>
            <w:shd w:val="clear" w:color="auto" w:fill="E5EAF5"/>
          </w:tcPr>
          <w:p>
            <w:pPr>
              <w:spacing w:after="0"/>
              <w:rPr>
                <w:sz w:val="17"/>
                <w:szCs w:val="17"/>
                <w:color w:val="auto"/>
              </w:rPr>
            </w:pPr>
          </w:p>
        </w:tc>
        <w:tc>
          <w:tcPr>
            <w:tcW w:w="120" w:type="dxa"/>
            <w:vAlign w:val="bottom"/>
            <w:tcBorders>
              <w:right w:val="single" w:sz="8" w:color="E5EAF5"/>
            </w:tcBorders>
            <w:shd w:val="clear" w:color="auto" w:fill="E5EAF5"/>
          </w:tcPr>
          <w:p>
            <w:pPr>
              <w:spacing w:after="0"/>
              <w:rPr>
                <w:sz w:val="17"/>
                <w:szCs w:val="17"/>
                <w:color w:val="auto"/>
              </w:rPr>
            </w:pPr>
          </w:p>
        </w:tc>
        <w:tc>
          <w:tcPr>
            <w:tcW w:w="540" w:type="dxa"/>
            <w:vAlign w:val="bottom"/>
            <w:shd w:val="clear" w:color="auto" w:fill="E5EAF5"/>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Borders>
              <w:bottom w:val="single" w:sz="8" w:color="0033A0"/>
            </w:tcBorders>
          </w:tcPr>
          <w:p>
            <w:pPr>
              <w:ind w:left="160"/>
              <w:spacing w:after="0"/>
              <w:rPr>
                <w:sz w:val="20"/>
                <w:szCs w:val="20"/>
                <w:color w:val="auto"/>
              </w:rPr>
            </w:pPr>
            <w:r>
              <w:rPr>
                <w:rFonts w:ascii="Arial" w:cs="Arial" w:eastAsia="Arial" w:hAnsi="Arial"/>
                <w:sz w:val="18"/>
                <w:szCs w:val="18"/>
                <w:color w:val="auto"/>
              </w:rPr>
              <w:t>Share adjustment</w:t>
            </w:r>
            <w:r>
              <w:rPr>
                <w:rFonts w:ascii="Arial" w:cs="Arial" w:eastAsia="Arial" w:hAnsi="Arial"/>
                <w:sz w:val="15"/>
                <w:szCs w:val="15"/>
                <w:color w:val="auto"/>
              </w:rPr>
              <w:t>(e)</w:t>
            </w:r>
          </w:p>
        </w:tc>
        <w:tc>
          <w:tcPr>
            <w:tcW w:w="680" w:type="dxa"/>
            <w:vAlign w:val="bottom"/>
            <w:tcBorders>
              <w:bottom w:val="single" w:sz="8" w:color="0033A0"/>
            </w:tcBorders>
          </w:tcPr>
          <w:p>
            <w:pPr>
              <w:spacing w:after="0"/>
              <w:rPr>
                <w:sz w:val="18"/>
                <w:szCs w:val="18"/>
                <w:color w:val="auto"/>
              </w:rPr>
            </w:pPr>
          </w:p>
        </w:tc>
        <w:tc>
          <w:tcPr>
            <w:tcW w:w="1140" w:type="dxa"/>
            <w:vAlign w:val="bottom"/>
            <w:tcBorders>
              <w:bottom w:val="single" w:sz="8" w:color="0033A0"/>
            </w:tcBorders>
          </w:tcPr>
          <w:p>
            <w:pPr>
              <w:jc w:val="right"/>
              <w:ind w:right="270"/>
              <w:spacing w:after="0"/>
              <w:rPr>
                <w:sz w:val="20"/>
                <w:szCs w:val="20"/>
                <w:color w:val="auto"/>
              </w:rPr>
            </w:pPr>
            <w:r>
              <w:rPr>
                <w:rFonts w:ascii="Arial" w:cs="Arial" w:eastAsia="Arial" w:hAnsi="Arial"/>
                <w:sz w:val="18"/>
                <w:szCs w:val="18"/>
                <w:color w:val="auto"/>
              </w:rPr>
              <w:t>0.01</w:t>
            </w:r>
          </w:p>
        </w:tc>
        <w:tc>
          <w:tcPr>
            <w:tcW w:w="720" w:type="dxa"/>
            <w:vAlign w:val="bottom"/>
            <w:tcBorders>
              <w:bottom w:val="single" w:sz="8" w:color="0033A0"/>
            </w:tcBorders>
          </w:tcPr>
          <w:p>
            <w:pPr>
              <w:spacing w:after="0"/>
              <w:rPr>
                <w:sz w:val="18"/>
                <w:szCs w:val="18"/>
                <w:color w:val="auto"/>
              </w:rPr>
            </w:pPr>
          </w:p>
        </w:tc>
        <w:tc>
          <w:tcPr>
            <w:tcW w:w="120" w:type="dxa"/>
            <w:vAlign w:val="bottom"/>
            <w:tcBorders>
              <w:bottom w:val="single" w:sz="8" w:color="0033A0"/>
            </w:tcBorders>
          </w:tcPr>
          <w:p>
            <w:pPr>
              <w:spacing w:after="0"/>
              <w:rPr>
                <w:sz w:val="18"/>
                <w:szCs w:val="18"/>
                <w:color w:val="auto"/>
              </w:rPr>
            </w:pPr>
          </w:p>
        </w:tc>
        <w:tc>
          <w:tcPr>
            <w:tcW w:w="540" w:type="dxa"/>
            <w:vAlign w:val="bottom"/>
            <w:tcBorders>
              <w:bottom w:val="single" w:sz="8" w:color="0033A0"/>
            </w:tcBorders>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20" w:type="dxa"/>
            <w:vAlign w:val="bottom"/>
            <w:tcBorders>
              <w:bottom w:val="single" w:sz="8" w:color="E5EAF5"/>
            </w:tcBorders>
            <w:shd w:val="clear" w:color="auto" w:fill="E5EAF5"/>
          </w:tcPr>
          <w:p>
            <w:pPr>
              <w:ind w:left="60"/>
              <w:spacing w:after="0" w:line="196" w:lineRule="exact"/>
              <w:rPr>
                <w:sz w:val="20"/>
                <w:szCs w:val="20"/>
                <w:color w:val="auto"/>
              </w:rPr>
            </w:pPr>
            <w:r>
              <w:rPr>
                <w:rFonts w:ascii="Arial" w:cs="Arial" w:eastAsia="Arial" w:hAnsi="Arial"/>
                <w:sz w:val="18"/>
                <w:szCs w:val="18"/>
                <w:color w:val="auto"/>
              </w:rPr>
              <w:t>Non-GAAP</w:t>
            </w:r>
          </w:p>
        </w:tc>
        <w:tc>
          <w:tcPr>
            <w:tcW w:w="680" w:type="dxa"/>
            <w:vAlign w:val="bottom"/>
            <w:tcBorders>
              <w:bottom w:val="single" w:sz="8" w:color="E5EAF5"/>
            </w:tcBorders>
            <w:shd w:val="clear" w:color="auto" w:fill="E5EAF5"/>
          </w:tcPr>
          <w:p>
            <w:pPr>
              <w:ind w:left="520"/>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E5EAF5"/>
            </w:tcBorders>
            <w:shd w:val="clear" w:color="auto" w:fill="E5EAF5"/>
          </w:tcPr>
          <w:p>
            <w:pPr>
              <w:jc w:val="right"/>
              <w:ind w:right="270"/>
              <w:spacing w:after="0" w:line="196" w:lineRule="exact"/>
              <w:rPr>
                <w:sz w:val="20"/>
                <w:szCs w:val="20"/>
                <w:color w:val="auto"/>
              </w:rPr>
            </w:pPr>
            <w:r>
              <w:rPr>
                <w:rFonts w:ascii="Arial" w:cs="Arial" w:eastAsia="Arial" w:hAnsi="Arial"/>
                <w:sz w:val="18"/>
                <w:szCs w:val="18"/>
                <w:color w:val="auto"/>
              </w:rPr>
              <w:t>3.46</w:t>
            </w:r>
          </w:p>
        </w:tc>
        <w:tc>
          <w:tcPr>
            <w:tcW w:w="720" w:type="dxa"/>
            <w:vAlign w:val="bottom"/>
            <w:tcBorders>
              <w:bottom w:val="single" w:sz="8" w:color="E5EAF5"/>
            </w:tcBorders>
            <w:shd w:val="clear" w:color="auto" w:fill="E5EAF5"/>
          </w:tcPr>
          <w:p>
            <w:pPr>
              <w:spacing w:after="0"/>
              <w:rPr>
                <w:sz w:val="20"/>
                <w:szCs w:val="20"/>
                <w:color w:val="auto"/>
              </w:rPr>
            </w:pPr>
          </w:p>
        </w:tc>
        <w:tc>
          <w:tcPr>
            <w:tcW w:w="660" w:type="dxa"/>
            <w:vAlign w:val="bottom"/>
            <w:tcBorders>
              <w:bottom w:val="single" w:sz="8" w:color="E5EAF5"/>
            </w:tcBorders>
            <w:gridSpan w:val="2"/>
            <w:shd w:val="clear" w:color="auto" w:fill="E5EAF5"/>
          </w:tcPr>
          <w:p>
            <w:pPr>
              <w:jc w:val="right"/>
              <w:ind w:right="50"/>
              <w:spacing w:after="0" w:line="196" w:lineRule="exact"/>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shd w:val="clear" w:color="auto" w:fill="0033A0"/>
          </w:tcPr>
          <w:p>
            <w:pPr>
              <w:spacing w:after="0" w:line="20" w:lineRule="exact"/>
              <w:rPr>
                <w:sz w:val="1"/>
                <w:szCs w:val="1"/>
                <w:color w:val="auto"/>
              </w:rPr>
            </w:pPr>
          </w:p>
        </w:tc>
        <w:tc>
          <w:tcPr>
            <w:tcW w:w="680" w:type="dxa"/>
            <w:vAlign w:val="bottom"/>
            <w:shd w:val="clear" w:color="auto" w:fill="0033A0"/>
          </w:tcPr>
          <w:p>
            <w:pPr>
              <w:spacing w:after="0" w:line="20" w:lineRule="exact"/>
              <w:rPr>
                <w:sz w:val="1"/>
                <w:szCs w:val="1"/>
                <w:color w:val="auto"/>
              </w:rPr>
            </w:pPr>
          </w:p>
        </w:tc>
        <w:tc>
          <w:tcPr>
            <w:tcW w:w="1140" w:type="dxa"/>
            <w:vAlign w:val="bottom"/>
            <w:shd w:val="clear" w:color="auto" w:fill="0033A0"/>
          </w:tcPr>
          <w:p>
            <w:pPr>
              <w:spacing w:after="0" w:line="20" w:lineRule="exact"/>
              <w:rPr>
                <w:sz w:val="1"/>
                <w:szCs w:val="1"/>
                <w:color w:val="auto"/>
              </w:rPr>
            </w:pPr>
          </w:p>
        </w:tc>
        <w:tc>
          <w:tcPr>
            <w:tcW w:w="720" w:type="dxa"/>
            <w:vAlign w:val="bottom"/>
            <w:shd w:val="clear" w:color="auto" w:fill="0033A0"/>
          </w:tcPr>
          <w:p>
            <w:pPr>
              <w:spacing w:after="0" w:line="20" w:lineRule="exact"/>
              <w:rPr>
                <w:sz w:val="1"/>
                <w:szCs w:val="1"/>
                <w:color w:val="auto"/>
              </w:rPr>
            </w:pPr>
          </w:p>
        </w:tc>
        <w:tc>
          <w:tcPr>
            <w:tcW w:w="120" w:type="dxa"/>
            <w:vAlign w:val="bottom"/>
            <w:tcBorders>
              <w:right w:val="single" w:sz="8" w:color="0033A0"/>
            </w:tcBorders>
            <w:shd w:val="clear" w:color="auto" w:fill="0033A0"/>
          </w:tcPr>
          <w:p>
            <w:pPr>
              <w:spacing w:after="0" w:line="20" w:lineRule="exact"/>
              <w:rPr>
                <w:sz w:val="1"/>
                <w:szCs w:val="1"/>
                <w:color w:val="auto"/>
              </w:rPr>
            </w:pPr>
          </w:p>
        </w:tc>
        <w:tc>
          <w:tcPr>
            <w:tcW w:w="540" w:type="dxa"/>
            <w:vAlign w:val="bottom"/>
            <w:shd w:val="clear" w:color="auto" w:fill="0033A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840" w:type="dxa"/>
            <w:vAlign w:val="bottom"/>
            <w:gridSpan w:val="2"/>
          </w:tcPr>
          <w:p>
            <w:pPr>
              <w:spacing w:after="0"/>
              <w:rPr>
                <w:sz w:val="20"/>
                <w:szCs w:val="20"/>
                <w:color w:val="auto"/>
              </w:rPr>
            </w:pPr>
            <w:r>
              <w:rPr>
                <w:rFonts w:ascii="Arial" w:cs="Arial" w:eastAsia="Arial" w:hAnsi="Arial"/>
                <w:sz w:val="18"/>
                <w:szCs w:val="18"/>
                <w:color w:val="auto"/>
              </w:rPr>
              <w:t>Amounts may not add due to rounding.</w:t>
            </w:r>
          </w:p>
        </w:tc>
        <w:tc>
          <w:tcPr>
            <w:tcW w:w="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60" w:type="dxa"/>
            <w:vAlign w:val="bottom"/>
            <w:gridSpan w:val="2"/>
            <w:vMerge w:val="restart"/>
          </w:tcPr>
          <w:p>
            <w:pPr>
              <w:ind w:left="60"/>
              <w:spacing w:after="0"/>
              <w:rPr>
                <w:sz w:val="20"/>
                <w:szCs w:val="20"/>
                <w:color w:val="auto"/>
              </w:rPr>
            </w:pPr>
            <w:r>
              <w:rPr>
                <w:rFonts w:ascii="Arial" w:cs="Arial" w:eastAsia="Arial" w:hAnsi="Arial"/>
                <w:sz w:val="18"/>
                <w:szCs w:val="18"/>
                <w:i w:val="1"/>
                <w:iCs w:val="1"/>
                <w:color w:val="auto"/>
                <w:w w:val="99"/>
              </w:rPr>
              <w:t>2019 Proxy Statement</w:t>
            </w:r>
          </w:p>
        </w:tc>
        <w:tc>
          <w:tcPr>
            <w:tcW w:w="12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60" w:type="dxa"/>
            <w:vAlign w:val="bottom"/>
            <w:gridSpan w:val="2"/>
            <w:vMerge w:val="continue"/>
          </w:tcPr>
          <w:p>
            <w:pPr>
              <w:spacing w:after="0"/>
              <w:rPr>
                <w:sz w:val="19"/>
                <w:szCs w:val="19"/>
                <w:color w:val="auto"/>
              </w:rPr>
            </w:pPr>
          </w:p>
        </w:tc>
        <w:tc>
          <w:tcPr>
            <w:tcW w:w="120" w:type="dxa"/>
            <w:vAlign w:val="bottom"/>
            <w:tcBorders>
              <w:right w:val="single" w:sz="8" w:color="0033A0"/>
            </w:tcBorders>
          </w:tcPr>
          <w:p>
            <w:pPr>
              <w:spacing w:after="0"/>
              <w:rPr>
                <w:sz w:val="19"/>
                <w:szCs w:val="19"/>
                <w:color w:val="auto"/>
              </w:rPr>
            </w:pPr>
          </w:p>
        </w:tc>
        <w:tc>
          <w:tcPr>
            <w:tcW w:w="5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Borders>
              <w:right w:val="single" w:sz="8" w:color="0033A0"/>
            </w:tcBorders>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-273685</wp:posOffset>
            </wp:positionV>
            <wp:extent cx="720090" cy="12890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0090" cy="12890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0033A0"/>
        </w:rPr>
        <w:t>The Brink’s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240030</wp:posOffset>
            </wp:positionV>
            <wp:extent cx="111506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520" w:right="80" w:hanging="316"/>
        <w:spacing w:after="0" w:line="258" w:lineRule="auto"/>
        <w:tabs>
          <w:tab w:leader="none" w:pos="520" w:val="left"/>
        </w:tabs>
        <w:numPr>
          <w:ilvl w:val="0"/>
          <w:numId w:val="90"/>
        </w:numPr>
        <w:rPr>
          <w:rFonts w:ascii="Arial" w:cs="Arial" w:eastAsia="Arial" w:hAnsi="Arial"/>
          <w:sz w:val="14"/>
          <w:szCs w:val="14"/>
          <w:color w:val="auto"/>
        </w:rPr>
      </w:pPr>
      <w:r>
        <w:rPr>
          <w:rFonts w:ascii="Arial" w:cs="Arial" w:eastAsia="Arial" w:hAnsi="Arial"/>
          <w:sz w:val="14"/>
          <w:szCs w:val="14"/>
          <w:color w:val="auto"/>
        </w:rPr>
        <w:t>See “Other Items Not Allocated To Segments” below for details. We do not consider these items to be reflective of our core operating performance due to the variability of such items from period-to-period in terms of size, nature and significance.</w:t>
      </w:r>
    </w:p>
    <w:p>
      <w:pPr>
        <w:spacing w:after="0" w:line="18" w:lineRule="exact"/>
        <w:rPr>
          <w:rFonts w:ascii="Arial" w:cs="Arial" w:eastAsia="Arial" w:hAnsi="Arial"/>
          <w:sz w:val="14"/>
          <w:szCs w:val="14"/>
          <w:color w:val="auto"/>
        </w:rPr>
      </w:pPr>
    </w:p>
    <w:p>
      <w:pPr>
        <w:ind w:left="520" w:right="280" w:hanging="316"/>
        <w:spacing w:after="0" w:line="258" w:lineRule="auto"/>
        <w:tabs>
          <w:tab w:leader="none" w:pos="520" w:val="left"/>
        </w:tabs>
        <w:numPr>
          <w:ilvl w:val="0"/>
          <w:numId w:val="90"/>
        </w:numPr>
        <w:rPr>
          <w:rFonts w:ascii="Arial" w:cs="Arial" w:eastAsia="Arial" w:hAnsi="Arial"/>
          <w:sz w:val="14"/>
          <w:szCs w:val="14"/>
          <w:color w:val="auto"/>
        </w:rPr>
      </w:pPr>
      <w:r>
        <w:rPr>
          <w:rFonts w:ascii="Arial" w:cs="Arial" w:eastAsia="Arial" w:hAnsi="Arial"/>
          <w:sz w:val="14"/>
          <w:szCs w:val="14"/>
          <w:color w:val="auto"/>
        </w:rPr>
        <w:t>Our U.S. retirement plans are frozen and costs related to these plans are excluded from non-GAAP results. Certain non-U.S. operations also have retirement plans. Settlement charges related to these non-U.S. plans are also excluded from non-GAAP results.</w:t>
      </w:r>
    </w:p>
    <w:p>
      <w:pPr>
        <w:spacing w:after="0" w:line="18" w:lineRule="exact"/>
        <w:rPr>
          <w:rFonts w:ascii="Arial" w:cs="Arial" w:eastAsia="Arial" w:hAnsi="Arial"/>
          <w:sz w:val="14"/>
          <w:szCs w:val="14"/>
          <w:color w:val="auto"/>
        </w:rPr>
      </w:pPr>
    </w:p>
    <w:p>
      <w:pPr>
        <w:ind w:left="520" w:right="20" w:hanging="316"/>
        <w:spacing w:after="0" w:line="250" w:lineRule="auto"/>
        <w:tabs>
          <w:tab w:leader="none" w:pos="520" w:val="left"/>
        </w:tabs>
        <w:numPr>
          <w:ilvl w:val="0"/>
          <w:numId w:val="90"/>
        </w:numPr>
        <w:rPr>
          <w:rFonts w:ascii="Arial" w:cs="Arial" w:eastAsia="Arial" w:hAnsi="Arial"/>
          <w:sz w:val="14"/>
          <w:szCs w:val="14"/>
          <w:color w:val="auto"/>
        </w:rPr>
      </w:pPr>
      <w:r>
        <w:rPr>
          <w:rFonts w:ascii="Arial" w:cs="Arial" w:eastAsia="Arial" w:hAnsi="Arial"/>
          <w:sz w:val="14"/>
          <w:szCs w:val="14"/>
          <w:color w:val="auto"/>
        </w:rPr>
        <w:t>Represents the impact of tax legislation enacted into law in the fourth quarter of 2017. This primarily relates to the U.S. Tax Reform expense from the remeasurement of our net deferred tax assets. The 2018 amount represents a benefit associated with reversing a portion of the 2017 estimated impact as a result of guidance issued by U.S. authorities.</w:t>
      </w:r>
    </w:p>
    <w:p>
      <w:pPr>
        <w:spacing w:after="0" w:line="23" w:lineRule="exact"/>
        <w:rPr>
          <w:rFonts w:ascii="Arial" w:cs="Arial" w:eastAsia="Arial" w:hAnsi="Arial"/>
          <w:sz w:val="14"/>
          <w:szCs w:val="14"/>
          <w:color w:val="auto"/>
        </w:rPr>
      </w:pPr>
    </w:p>
    <w:p>
      <w:pPr>
        <w:ind w:left="520" w:right="100" w:hanging="316"/>
        <w:spacing w:after="0" w:line="250" w:lineRule="auto"/>
        <w:tabs>
          <w:tab w:leader="none" w:pos="520" w:val="left"/>
        </w:tabs>
        <w:numPr>
          <w:ilvl w:val="0"/>
          <w:numId w:val="90"/>
        </w:numPr>
        <w:rPr>
          <w:rFonts w:ascii="Arial" w:cs="Arial" w:eastAsia="Arial" w:hAnsi="Arial"/>
          <w:sz w:val="14"/>
          <w:szCs w:val="14"/>
          <w:color w:val="auto"/>
        </w:rPr>
      </w:pPr>
      <w:r>
        <w:rPr>
          <w:rFonts w:ascii="Arial" w:cs="Arial" w:eastAsia="Arial" w:hAnsi="Arial"/>
          <w:sz w:val="14"/>
          <w:szCs w:val="14"/>
          <w:color w:val="auto"/>
        </w:rPr>
        <w:t>Effective June 30, 2018, we deconsolidated our investment in Venezuelan subsidiaries and recognized a pretax charge of $126.7 million. Post-deconsolidation funding of ongoing costs related to our Venezuelan operations was $0.6 million and was expensed as incurred and reported in interest and other nonoperating income (expense). We do not expect future amounts to be material.</w:t>
      </w:r>
    </w:p>
    <w:p>
      <w:pPr>
        <w:spacing w:after="0" w:line="23" w:lineRule="exact"/>
        <w:rPr>
          <w:rFonts w:ascii="Arial" w:cs="Arial" w:eastAsia="Arial" w:hAnsi="Arial"/>
          <w:sz w:val="14"/>
          <w:szCs w:val="14"/>
          <w:color w:val="auto"/>
        </w:rPr>
      </w:pPr>
    </w:p>
    <w:p>
      <w:pPr>
        <w:ind w:left="520" w:hanging="316"/>
        <w:spacing w:after="0" w:line="258" w:lineRule="auto"/>
        <w:tabs>
          <w:tab w:leader="none" w:pos="520" w:val="left"/>
        </w:tabs>
        <w:numPr>
          <w:ilvl w:val="0"/>
          <w:numId w:val="90"/>
        </w:numPr>
        <w:rPr>
          <w:rFonts w:ascii="Arial" w:cs="Arial" w:eastAsia="Arial" w:hAnsi="Arial"/>
          <w:sz w:val="14"/>
          <w:szCs w:val="14"/>
          <w:color w:val="auto"/>
        </w:rPr>
      </w:pPr>
      <w:r>
        <w:rPr>
          <w:rFonts w:ascii="Arial" w:cs="Arial" w:eastAsia="Arial" w:hAnsi="Arial"/>
          <w:sz w:val="14"/>
          <w:szCs w:val="14"/>
          <w:color w:val="auto"/>
        </w:rPr>
        <w:t>Because we reported a loss from continuing operations on a GAAP basis in 2018, GAAP EPS was calculated using basic shares. However, as we reported income from continuing operations on a non-GAAP basis in 2018, non-GAAP EPS was calculated using diluted shares.</w:t>
      </w:r>
    </w:p>
    <w:p>
      <w:pPr>
        <w:spacing w:after="0" w:line="18" w:lineRule="exact"/>
        <w:rPr>
          <w:rFonts w:ascii="Arial" w:cs="Arial" w:eastAsia="Arial" w:hAnsi="Arial"/>
          <w:sz w:val="14"/>
          <w:szCs w:val="14"/>
          <w:color w:val="auto"/>
        </w:rPr>
      </w:pPr>
    </w:p>
    <w:p>
      <w:pPr>
        <w:ind w:left="520" w:hanging="316"/>
        <w:spacing w:after="0"/>
        <w:tabs>
          <w:tab w:leader="none" w:pos="520" w:val="left"/>
        </w:tabs>
        <w:numPr>
          <w:ilvl w:val="0"/>
          <w:numId w:val="90"/>
        </w:numPr>
        <w:rPr>
          <w:rFonts w:ascii="Arial" w:cs="Arial" w:eastAsia="Arial" w:hAnsi="Arial"/>
          <w:sz w:val="14"/>
          <w:szCs w:val="14"/>
          <w:color w:val="auto"/>
        </w:rPr>
      </w:pPr>
      <w:r>
        <w:rPr>
          <w:rFonts w:ascii="Arial" w:cs="Arial" w:eastAsia="Arial" w:hAnsi="Arial"/>
          <w:sz w:val="14"/>
          <w:szCs w:val="14"/>
          <w:color w:val="auto"/>
        </w:rPr>
        <w:t>Penalties upon prepayment of Private Placement notes in September 2017 and a term loan in October 2017.</w:t>
      </w:r>
    </w:p>
    <w:p>
      <w:pPr>
        <w:spacing w:after="0" w:line="41" w:lineRule="exact"/>
        <w:rPr>
          <w:rFonts w:ascii="Arial" w:cs="Arial" w:eastAsia="Arial" w:hAnsi="Arial"/>
          <w:sz w:val="14"/>
          <w:szCs w:val="14"/>
          <w:color w:val="auto"/>
        </w:rPr>
      </w:pPr>
    </w:p>
    <w:p>
      <w:pPr>
        <w:jc w:val="both"/>
        <w:ind w:left="520" w:right="160" w:hanging="316"/>
        <w:spacing w:after="0" w:line="250" w:lineRule="auto"/>
        <w:tabs>
          <w:tab w:leader="none" w:pos="520" w:val="left"/>
        </w:tabs>
        <w:numPr>
          <w:ilvl w:val="0"/>
          <w:numId w:val="90"/>
        </w:numPr>
        <w:rPr>
          <w:rFonts w:ascii="Arial" w:cs="Arial" w:eastAsia="Arial" w:hAnsi="Arial"/>
          <w:sz w:val="14"/>
          <w:szCs w:val="14"/>
          <w:color w:val="auto"/>
        </w:rPr>
      </w:pPr>
      <w:r>
        <w:rPr>
          <w:rFonts w:ascii="Arial" w:cs="Arial" w:eastAsia="Arial" w:hAnsi="Arial"/>
          <w:sz w:val="14"/>
          <w:szCs w:val="14"/>
          <w:color w:val="auto"/>
        </w:rPr>
        <w:t>Related to an unfavorable court ruling in the third quarter of 2017 on a non-income tax claim in Brazil. The court ruled that Brink’s must pay interest accruing from the initial claim filing in 1994 to the current date. The principal amount of the claim was approximately $1 million and was recognized in selling, general and administrative expenses in the third quarter of 2017.</w:t>
      </w:r>
    </w:p>
    <w:p>
      <w:pPr>
        <w:spacing w:after="0" w:line="23" w:lineRule="exact"/>
        <w:rPr>
          <w:rFonts w:ascii="Arial" w:cs="Arial" w:eastAsia="Arial" w:hAnsi="Arial"/>
          <w:sz w:val="14"/>
          <w:szCs w:val="14"/>
          <w:color w:val="auto"/>
        </w:rPr>
      </w:pPr>
    </w:p>
    <w:p>
      <w:pPr>
        <w:ind w:left="520" w:hanging="316"/>
        <w:spacing w:after="0"/>
        <w:tabs>
          <w:tab w:leader="none" w:pos="520" w:val="left"/>
        </w:tabs>
        <w:numPr>
          <w:ilvl w:val="0"/>
          <w:numId w:val="90"/>
        </w:numPr>
        <w:rPr>
          <w:rFonts w:ascii="Arial" w:cs="Arial" w:eastAsia="Arial" w:hAnsi="Arial"/>
          <w:sz w:val="14"/>
          <w:szCs w:val="14"/>
          <w:color w:val="auto"/>
        </w:rPr>
      </w:pPr>
      <w:r>
        <w:rPr>
          <w:rFonts w:ascii="Arial" w:cs="Arial" w:eastAsia="Arial" w:hAnsi="Arial"/>
          <w:sz w:val="14"/>
          <w:szCs w:val="14"/>
          <w:color w:val="auto"/>
        </w:rPr>
        <w:t>The 2017 non-GAAP tax rate excludes the foreign tax benefit that resulted from a transaction that accelerated U.S. tax in 2015.</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auto"/>
        </w:rPr>
        <w:t>Other Items Not Allocated To Segments (Unaudited)</w:t>
      </w:r>
    </w:p>
    <w:p>
      <w:pPr>
        <w:spacing w:after="0" w:line="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Brink’s Company and subsidiaries</w:t>
      </w:r>
    </w:p>
    <w:p>
      <w:pPr>
        <w:spacing w:after="0" w:line="212" w:lineRule="exact"/>
        <w:rPr>
          <w:sz w:val="20"/>
          <w:szCs w:val="20"/>
          <w:color w:val="auto"/>
        </w:rPr>
      </w:pPr>
    </w:p>
    <w:p>
      <w:pPr>
        <w:ind w:left="200" w:right="420"/>
        <w:spacing w:after="0" w:line="246" w:lineRule="auto"/>
        <w:rPr>
          <w:sz w:val="20"/>
          <w:szCs w:val="20"/>
          <w:color w:val="auto"/>
        </w:rPr>
      </w:pPr>
      <w:r>
        <w:rPr>
          <w:rFonts w:ascii="Arial" w:cs="Arial" w:eastAsia="Arial" w:hAnsi="Arial"/>
          <w:sz w:val="18"/>
          <w:szCs w:val="18"/>
          <w:color w:val="auto"/>
        </w:rPr>
        <w:t>Brink’s measures its segment results before income and expenses for corporate activities and for certain other items. See below for a summary of the other items not allocated to segments.</w:t>
      </w:r>
    </w:p>
    <w:p>
      <w:pPr>
        <w:spacing w:after="0" w:line="175" w:lineRule="exact"/>
        <w:rPr>
          <w:sz w:val="20"/>
          <w:szCs w:val="20"/>
          <w:color w:val="auto"/>
        </w:rPr>
      </w:pPr>
    </w:p>
    <w:p>
      <w:pPr>
        <w:ind w:left="200" w:right="500"/>
        <w:spacing w:after="0" w:line="247" w:lineRule="auto"/>
        <w:rPr>
          <w:sz w:val="20"/>
          <w:szCs w:val="20"/>
          <w:color w:val="auto"/>
        </w:rPr>
      </w:pPr>
      <w:r>
        <w:rPr>
          <w:rFonts w:ascii="Arial" w:cs="Arial" w:eastAsia="Arial" w:hAnsi="Arial"/>
          <w:sz w:val="18"/>
          <w:szCs w:val="18"/>
          <w:b w:val="1"/>
          <w:bCs w:val="1"/>
          <w:color w:val="auto"/>
        </w:rPr>
        <w:t xml:space="preserve">Venezuela operations </w:t>
      </w:r>
      <w:r>
        <w:rPr>
          <w:rFonts w:ascii="Arial" w:cs="Arial" w:eastAsia="Arial" w:hAnsi="Arial"/>
          <w:sz w:val="18"/>
          <w:szCs w:val="18"/>
          <w:color w:val="auto"/>
        </w:rPr>
        <w:t>Prior to the deconsolidation of our Venezuelan subsidiaries effective June 30, 2018, we excluded from our</w:t>
      </w:r>
      <w:r>
        <w:rPr>
          <w:rFonts w:ascii="Arial" w:cs="Arial" w:eastAsia="Arial" w:hAnsi="Arial"/>
          <w:sz w:val="18"/>
          <w:szCs w:val="18"/>
          <w:b w:val="1"/>
          <w:bCs w:val="1"/>
          <w:color w:val="auto"/>
        </w:rPr>
        <w:t xml:space="preserve"> </w:t>
      </w:r>
      <w:r>
        <w:rPr>
          <w:rFonts w:ascii="Arial" w:cs="Arial" w:eastAsia="Arial" w:hAnsi="Arial"/>
          <w:sz w:val="18"/>
          <w:szCs w:val="18"/>
          <w:color w:val="auto"/>
        </w:rPr>
        <w:t>segment results all of our Venezuela operating results, due to the Venezuelan government’s restrictions that have prevented us from repatriating funds. As a result, the Chief Executive Officer, the Company’s Chief Operating Decision maker (“CODM”), has assessed segment performance and has made resource decisions by segment excluding Venezuela operating results.</w:t>
      </w:r>
    </w:p>
    <w:p>
      <w:pPr>
        <w:spacing w:after="0" w:line="6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Reorganization and Restructuring</w:t>
      </w:r>
    </w:p>
    <w:p>
      <w:pPr>
        <w:spacing w:after="0" w:line="10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2016 Restructuring</w:t>
      </w:r>
    </w:p>
    <w:p>
      <w:pPr>
        <w:spacing w:after="0" w:line="122" w:lineRule="exact"/>
        <w:rPr>
          <w:sz w:val="20"/>
          <w:szCs w:val="20"/>
          <w:color w:val="auto"/>
        </w:rPr>
      </w:pPr>
    </w:p>
    <w:p>
      <w:pPr>
        <w:ind w:left="200" w:right="340"/>
        <w:spacing w:after="0" w:line="239" w:lineRule="auto"/>
        <w:rPr>
          <w:sz w:val="20"/>
          <w:szCs w:val="20"/>
          <w:color w:val="auto"/>
        </w:rPr>
      </w:pPr>
      <w:r>
        <w:rPr>
          <w:rFonts w:ascii="Arial" w:cs="Arial" w:eastAsia="Arial" w:hAnsi="Arial"/>
          <w:sz w:val="18"/>
          <w:szCs w:val="18"/>
          <w:color w:val="auto"/>
        </w:rPr>
        <w:t>In the fourth quarter of 2016, management implemented restructuring actions across our global business operations and our corporate functions. As a result of these actions, we recognized charges of $18.1 million in 2016, an additional $17.3 million in 2017 and $13.0 million in 2018. The actions under this program were substantially completed in 2018, with cumulative pretax charges of approximately $48 million.</w:t>
      </w:r>
    </w:p>
    <w:p>
      <w:pPr>
        <w:spacing w:after="0" w:line="7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Other Restructurings</w:t>
      </w:r>
    </w:p>
    <w:p>
      <w:pPr>
        <w:spacing w:after="0" w:line="122" w:lineRule="exact"/>
        <w:rPr>
          <w:sz w:val="20"/>
          <w:szCs w:val="20"/>
          <w:color w:val="auto"/>
        </w:rPr>
      </w:pPr>
    </w:p>
    <w:p>
      <w:pPr>
        <w:ind w:left="200" w:right="280"/>
        <w:spacing w:after="0"/>
        <w:rPr>
          <w:sz w:val="20"/>
          <w:szCs w:val="20"/>
          <w:color w:val="auto"/>
        </w:rPr>
      </w:pPr>
      <w:r>
        <w:rPr>
          <w:rFonts w:ascii="Arial" w:cs="Arial" w:eastAsia="Arial" w:hAnsi="Arial"/>
          <w:sz w:val="18"/>
          <w:szCs w:val="18"/>
          <w:color w:val="auto"/>
        </w:rPr>
        <w:t>Management periodically implements restructuring actions in targeted sections of our business. As a result of these actions, we recognized charges of $4.6 million in 2017 and $7.6 million in 2018, primarily severance costs. For the current restructuring actions, we expect to incur additional costs of up to $7 million in future periods.</w:t>
      </w:r>
    </w:p>
    <w:p>
      <w:pPr>
        <w:spacing w:after="0" w:line="95" w:lineRule="exact"/>
        <w:rPr>
          <w:sz w:val="20"/>
          <w:szCs w:val="20"/>
          <w:color w:val="auto"/>
        </w:rPr>
      </w:pPr>
    </w:p>
    <w:p>
      <w:pPr>
        <w:ind w:left="200" w:right="840"/>
        <w:spacing w:after="0" w:line="246" w:lineRule="auto"/>
        <w:rPr>
          <w:sz w:val="20"/>
          <w:szCs w:val="20"/>
          <w:color w:val="auto"/>
        </w:rPr>
      </w:pPr>
      <w:r>
        <w:rPr>
          <w:rFonts w:ascii="Arial" w:cs="Arial" w:eastAsia="Arial" w:hAnsi="Arial"/>
          <w:sz w:val="18"/>
          <w:szCs w:val="18"/>
          <w:color w:val="auto"/>
        </w:rPr>
        <w:t>Due to the unique circumstances around these charges, they have not been allocated to segment results and are excluded from non-GAAP results.</w:t>
      </w:r>
    </w:p>
    <w:p>
      <w:pPr>
        <w:spacing w:after="0" w:line="67" w:lineRule="exact"/>
        <w:rPr>
          <w:sz w:val="20"/>
          <w:szCs w:val="20"/>
          <w:color w:val="auto"/>
        </w:rPr>
      </w:pPr>
    </w:p>
    <w:p>
      <w:pPr>
        <w:ind w:left="200" w:right="520"/>
        <w:spacing w:after="0" w:line="271" w:lineRule="auto"/>
        <w:rPr>
          <w:sz w:val="20"/>
          <w:szCs w:val="20"/>
          <w:color w:val="auto"/>
        </w:rPr>
      </w:pPr>
      <w:r>
        <w:rPr>
          <w:rFonts w:ascii="Arial" w:cs="Arial" w:eastAsia="Arial" w:hAnsi="Arial"/>
          <w:sz w:val="18"/>
          <w:szCs w:val="18"/>
          <w:b w:val="1"/>
          <w:bCs w:val="1"/>
          <w:color w:val="auto"/>
        </w:rPr>
        <w:t xml:space="preserve">Acquisitions and dispositions </w:t>
      </w:r>
      <w:r>
        <w:rPr>
          <w:rFonts w:ascii="Arial" w:cs="Arial" w:eastAsia="Arial" w:hAnsi="Arial"/>
          <w:sz w:val="18"/>
          <w:szCs w:val="18"/>
          <w:color w:val="auto"/>
        </w:rPr>
        <w:t>Certain acquisition and disposition items that are not considered part of the ongoing activities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and are special in nature are consistently excluded from non-GAAP results. These items are described below:</w:t>
      </w:r>
    </w:p>
    <w:p>
      <w:pPr>
        <w:spacing w:after="0" w:line="5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2018 Acquisitions and Dispositions</w:t>
      </w:r>
    </w:p>
    <w:p>
      <w:pPr>
        <w:spacing w:after="0" w:line="135" w:lineRule="exact"/>
        <w:rPr>
          <w:sz w:val="20"/>
          <w:szCs w:val="20"/>
          <w:color w:val="auto"/>
        </w:rPr>
      </w:pPr>
    </w:p>
    <w:p>
      <w:pPr>
        <w:ind w:left="1060" w:hanging="316"/>
        <w:spacing w:after="0"/>
        <w:tabs>
          <w:tab w:leader="none" w:pos="1060" w:val="left"/>
        </w:tabs>
        <w:numPr>
          <w:ilvl w:val="0"/>
          <w:numId w:val="91"/>
        </w:numPr>
        <w:rPr>
          <w:rFonts w:ascii="Arial" w:cs="Arial" w:eastAsia="Arial" w:hAnsi="Arial"/>
          <w:sz w:val="18"/>
          <w:szCs w:val="18"/>
          <w:color w:val="0033A0"/>
        </w:rPr>
      </w:pPr>
      <w:r>
        <w:rPr>
          <w:rFonts w:ascii="Arial" w:cs="Arial" w:eastAsia="Arial" w:hAnsi="Arial"/>
          <w:sz w:val="18"/>
          <w:szCs w:val="18"/>
          <w:color w:val="auto"/>
        </w:rPr>
        <w:t>Amortization expense for acquisition-related intangible assets was $17.7 million in 2018.</w:t>
      </w:r>
    </w:p>
    <w:p>
      <w:pPr>
        <w:spacing w:after="0" w:line="117" w:lineRule="exact"/>
        <w:rPr>
          <w:rFonts w:ascii="Arial" w:cs="Arial" w:eastAsia="Arial" w:hAnsi="Arial"/>
          <w:sz w:val="18"/>
          <w:szCs w:val="18"/>
          <w:color w:val="0033A0"/>
        </w:rPr>
      </w:pPr>
    </w:p>
    <w:p>
      <w:pPr>
        <w:ind w:left="1060" w:hanging="316"/>
        <w:spacing w:after="0"/>
        <w:tabs>
          <w:tab w:leader="none" w:pos="1060" w:val="left"/>
        </w:tabs>
        <w:numPr>
          <w:ilvl w:val="0"/>
          <w:numId w:val="91"/>
        </w:numPr>
        <w:rPr>
          <w:rFonts w:ascii="Arial" w:cs="Arial" w:eastAsia="Arial" w:hAnsi="Arial"/>
          <w:sz w:val="18"/>
          <w:szCs w:val="18"/>
          <w:color w:val="0033A0"/>
        </w:rPr>
      </w:pPr>
      <w:r>
        <w:rPr>
          <w:rFonts w:ascii="Arial" w:cs="Arial" w:eastAsia="Arial" w:hAnsi="Arial"/>
          <w:sz w:val="18"/>
          <w:szCs w:val="18"/>
          <w:color w:val="auto"/>
        </w:rPr>
        <w:t>Integration costs in 2018 related to acquisitions in France and the U.S. were $8.1 million.</w:t>
      </w:r>
    </w:p>
    <w:p>
      <w:pPr>
        <w:spacing w:after="0" w:line="117" w:lineRule="exact"/>
        <w:rPr>
          <w:rFonts w:ascii="Arial" w:cs="Arial" w:eastAsia="Arial" w:hAnsi="Arial"/>
          <w:sz w:val="18"/>
          <w:szCs w:val="18"/>
          <w:color w:val="0033A0"/>
        </w:rPr>
      </w:pPr>
    </w:p>
    <w:p>
      <w:pPr>
        <w:ind w:left="1060" w:hanging="316"/>
        <w:spacing w:after="0"/>
        <w:tabs>
          <w:tab w:leader="none" w:pos="1060" w:val="left"/>
        </w:tabs>
        <w:numPr>
          <w:ilvl w:val="0"/>
          <w:numId w:val="91"/>
        </w:numPr>
        <w:rPr>
          <w:rFonts w:ascii="Arial" w:cs="Arial" w:eastAsia="Arial" w:hAnsi="Arial"/>
          <w:sz w:val="18"/>
          <w:szCs w:val="18"/>
          <w:color w:val="0033A0"/>
        </w:rPr>
      </w:pPr>
      <w:r>
        <w:rPr>
          <w:rFonts w:ascii="Arial" w:cs="Arial" w:eastAsia="Arial" w:hAnsi="Arial"/>
          <w:sz w:val="18"/>
          <w:szCs w:val="18"/>
          <w:color w:val="auto"/>
        </w:rPr>
        <w:t>2018 transaction costs related to business acquisitions were $6.7 million.</w:t>
      </w:r>
    </w:p>
    <w:p>
      <w:pPr>
        <w:spacing w:after="0" w:line="145" w:lineRule="exact"/>
        <w:rPr>
          <w:sz w:val="20"/>
          <w:szCs w:val="20"/>
          <w:color w:val="auto"/>
        </w:rPr>
      </w:pPr>
    </w:p>
    <w:tbl>
      <w:tblPr>
        <w:tblLayout w:type="fixed"/>
        <w:tblInd w:w="200" w:type="dxa"/>
        <w:tblCellMar>
          <w:top w:w="0" w:type="dxa"/>
          <w:left w:w="0" w:type="dxa"/>
          <w:bottom w:w="0" w:type="dxa"/>
          <w:right w:w="0" w:type="dxa"/>
        </w:tblCellMar>
      </w:tblPr>
      <w:tr>
        <w:trPr>
          <w:trHeight w:val="297"/>
        </w:trPr>
        <w:tc>
          <w:tcPr>
            <w:tcW w:w="480" w:type="dxa"/>
            <w:vAlign w:val="bottom"/>
            <w:tcBorders>
              <w:right w:val="single" w:sz="8" w:color="0033A0"/>
            </w:tcBorders>
          </w:tcPr>
          <w:p>
            <w:pPr>
              <w:spacing w:after="0"/>
              <w:rPr>
                <w:sz w:val="20"/>
                <w:szCs w:val="20"/>
                <w:color w:val="auto"/>
              </w:rPr>
            </w:pPr>
            <w:r>
              <w:rPr>
                <w:rFonts w:ascii="Arial" w:cs="Arial" w:eastAsia="Arial" w:hAnsi="Arial"/>
                <w:sz w:val="18"/>
                <w:szCs w:val="18"/>
                <w:b w:val="1"/>
                <w:bCs w:val="1"/>
                <w:color w:val="auto"/>
              </w:rPr>
              <w:t>A-2</w:t>
            </w:r>
          </w:p>
        </w:tc>
        <w:tc>
          <w:tcPr>
            <w:tcW w:w="3380" w:type="dxa"/>
            <w:vAlign w:val="bottom"/>
          </w:tcPr>
          <w:p>
            <w:pPr>
              <w:ind w:left="1600"/>
              <w:spacing w:after="0"/>
              <w:rPr>
                <w:sz w:val="20"/>
                <w:szCs w:val="20"/>
                <w:color w:val="auto"/>
              </w:rPr>
            </w:pPr>
            <w:r>
              <w:rPr>
                <w:rFonts w:ascii="Arial" w:cs="Arial" w:eastAsia="Arial" w:hAnsi="Arial"/>
                <w:sz w:val="18"/>
                <w:szCs w:val="18"/>
                <w:i w:val="1"/>
                <w:iCs w:val="1"/>
                <w:color w:val="auto"/>
                <w:w w:val="98"/>
              </w:rPr>
              <w:t>2019 Proxy Statement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-170815</wp:posOffset>
            </wp:positionV>
            <wp:extent cx="720090" cy="12890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0090" cy="12890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0033A0"/>
        </w:rPr>
        <w:t>APPENDIX A</w:t>
      </w:r>
    </w:p>
    <w:p>
      <w:pPr>
        <w:spacing w:after="0" w:line="283" w:lineRule="exact"/>
        <w:rPr>
          <w:sz w:val="20"/>
          <w:szCs w:val="20"/>
          <w:color w:val="auto"/>
        </w:rPr>
      </w:pPr>
    </w:p>
    <w:p>
      <w:pPr>
        <w:ind w:left="1060" w:hanging="316"/>
        <w:spacing w:after="0"/>
        <w:tabs>
          <w:tab w:leader="none" w:pos="1060" w:val="left"/>
        </w:tabs>
        <w:numPr>
          <w:ilvl w:val="0"/>
          <w:numId w:val="92"/>
        </w:numPr>
        <w:rPr>
          <w:rFonts w:ascii="Arial" w:cs="Arial" w:eastAsia="Arial" w:hAnsi="Arial"/>
          <w:sz w:val="18"/>
          <w:szCs w:val="18"/>
          <w:color w:val="0033A0"/>
        </w:rPr>
      </w:pPr>
      <w:r>
        <w:rPr>
          <w:rFonts w:ascii="Arial" w:cs="Arial" w:eastAsia="Arial" w:hAnsi="Arial"/>
          <w:sz w:val="18"/>
          <w:szCs w:val="18"/>
          <w:color w:val="auto"/>
        </w:rPr>
        <w:t>We incurred 2018 severance charges related to our acquisitions in Argentina, France, U.S. and Brazil of $5.0 million.</w:t>
      </w:r>
    </w:p>
    <w:p>
      <w:pPr>
        <w:spacing w:after="0" w:line="117" w:lineRule="exact"/>
        <w:rPr>
          <w:rFonts w:ascii="Arial" w:cs="Arial" w:eastAsia="Arial" w:hAnsi="Arial"/>
          <w:sz w:val="18"/>
          <w:szCs w:val="18"/>
          <w:color w:val="0033A0"/>
        </w:rPr>
      </w:pPr>
    </w:p>
    <w:p>
      <w:pPr>
        <w:ind w:left="1060" w:hanging="316"/>
        <w:spacing w:after="0"/>
        <w:tabs>
          <w:tab w:leader="none" w:pos="1060" w:val="left"/>
        </w:tabs>
        <w:numPr>
          <w:ilvl w:val="0"/>
          <w:numId w:val="92"/>
        </w:numPr>
        <w:rPr>
          <w:rFonts w:ascii="Arial" w:cs="Arial" w:eastAsia="Arial" w:hAnsi="Arial"/>
          <w:sz w:val="18"/>
          <w:szCs w:val="18"/>
          <w:color w:val="0033A0"/>
        </w:rPr>
      </w:pPr>
      <w:r>
        <w:rPr>
          <w:rFonts w:ascii="Arial" w:cs="Arial" w:eastAsia="Arial" w:hAnsi="Arial"/>
          <w:sz w:val="18"/>
          <w:szCs w:val="18"/>
          <w:color w:val="auto"/>
        </w:rPr>
        <w:t>Compensation expense related to the retention of key Dunbar employees was $4.1 million in 2018.</w:t>
      </w:r>
    </w:p>
    <w:p>
      <w:pPr>
        <w:spacing w:after="0" w:line="117" w:lineRule="exact"/>
        <w:rPr>
          <w:rFonts w:ascii="Arial" w:cs="Arial" w:eastAsia="Arial" w:hAnsi="Arial"/>
          <w:sz w:val="18"/>
          <w:szCs w:val="18"/>
          <w:color w:val="0033A0"/>
        </w:rPr>
      </w:pPr>
    </w:p>
    <w:p>
      <w:pPr>
        <w:ind w:left="200" w:right="800" w:firstLine="544"/>
        <w:spacing w:after="0" w:line="367" w:lineRule="auto"/>
        <w:tabs>
          <w:tab w:leader="none" w:pos="1064" w:val="left"/>
        </w:tabs>
        <w:numPr>
          <w:ilvl w:val="0"/>
          <w:numId w:val="92"/>
        </w:numPr>
        <w:rPr>
          <w:rFonts w:ascii="Arial" w:cs="Arial" w:eastAsia="Arial" w:hAnsi="Arial"/>
          <w:sz w:val="18"/>
          <w:szCs w:val="18"/>
          <w:color w:val="0033A0"/>
        </w:rPr>
      </w:pPr>
      <w:r>
        <w:rPr>
          <w:rFonts w:ascii="Arial" w:cs="Arial" w:eastAsia="Arial" w:hAnsi="Arial"/>
          <w:sz w:val="18"/>
          <w:szCs w:val="18"/>
          <w:color w:val="auto"/>
        </w:rPr>
        <w:t xml:space="preserve">We recognized a net gain in 2018 ($2.6 million, net of statutory employee benefit) on the sale of real estate in Mexico. </w:t>
      </w:r>
      <w:r>
        <w:rPr>
          <w:rFonts w:ascii="Arial" w:cs="Arial" w:eastAsia="Arial" w:hAnsi="Arial"/>
          <w:sz w:val="18"/>
          <w:szCs w:val="18"/>
          <w:i w:val="1"/>
          <w:iCs w:val="1"/>
          <w:color w:val="auto"/>
        </w:rPr>
        <w:t>2017 Acquisitions and Dispositions</w:t>
      </w:r>
    </w:p>
    <w:p>
      <w:pPr>
        <w:spacing w:after="0" w:line="1" w:lineRule="exact"/>
        <w:rPr>
          <w:rFonts w:ascii="Arial" w:cs="Arial" w:eastAsia="Arial" w:hAnsi="Arial"/>
          <w:sz w:val="18"/>
          <w:szCs w:val="18"/>
          <w:color w:val="0033A0"/>
        </w:rPr>
      </w:pPr>
    </w:p>
    <w:p>
      <w:pPr>
        <w:ind w:left="1060" w:hanging="316"/>
        <w:spacing w:after="0"/>
        <w:tabs>
          <w:tab w:leader="none" w:pos="1060" w:val="left"/>
        </w:tabs>
        <w:numPr>
          <w:ilvl w:val="0"/>
          <w:numId w:val="92"/>
        </w:numPr>
        <w:rPr>
          <w:rFonts w:ascii="Arial" w:cs="Arial" w:eastAsia="Arial" w:hAnsi="Arial"/>
          <w:sz w:val="18"/>
          <w:szCs w:val="18"/>
          <w:color w:val="0033A0"/>
        </w:rPr>
      </w:pPr>
      <w:r>
        <w:rPr>
          <w:rFonts w:ascii="Arial" w:cs="Arial" w:eastAsia="Arial" w:hAnsi="Arial"/>
          <w:sz w:val="18"/>
          <w:szCs w:val="18"/>
          <w:color w:val="auto"/>
        </w:rPr>
        <w:t>Amortization expense for acquisition-related intangible assets was $8.4 million in 2017.</w:t>
      </w:r>
    </w:p>
    <w:p>
      <w:pPr>
        <w:spacing w:after="0" w:line="117" w:lineRule="exact"/>
        <w:rPr>
          <w:rFonts w:ascii="Arial" w:cs="Arial" w:eastAsia="Arial" w:hAnsi="Arial"/>
          <w:sz w:val="18"/>
          <w:szCs w:val="18"/>
          <w:color w:val="0033A0"/>
        </w:rPr>
      </w:pPr>
    </w:p>
    <w:p>
      <w:pPr>
        <w:ind w:left="1060" w:hanging="316"/>
        <w:spacing w:after="0"/>
        <w:tabs>
          <w:tab w:leader="none" w:pos="1060" w:val="left"/>
        </w:tabs>
        <w:numPr>
          <w:ilvl w:val="0"/>
          <w:numId w:val="92"/>
        </w:numPr>
        <w:rPr>
          <w:rFonts w:ascii="Arial" w:cs="Arial" w:eastAsia="Arial" w:hAnsi="Arial"/>
          <w:sz w:val="18"/>
          <w:szCs w:val="18"/>
          <w:color w:val="0033A0"/>
        </w:rPr>
      </w:pPr>
      <w:r>
        <w:rPr>
          <w:rFonts w:ascii="Arial" w:cs="Arial" w:eastAsia="Arial" w:hAnsi="Arial"/>
          <w:sz w:val="18"/>
          <w:szCs w:val="18"/>
          <w:color w:val="auto"/>
        </w:rPr>
        <w:t>We recognized a net gain in 2017 related to the sale of real estate in Mexico ($7.8 million, net of statutory employee benefit).</w:t>
      </w:r>
    </w:p>
    <w:p>
      <w:pPr>
        <w:spacing w:after="0" w:line="117" w:lineRule="exact"/>
        <w:rPr>
          <w:rFonts w:ascii="Arial" w:cs="Arial" w:eastAsia="Arial" w:hAnsi="Arial"/>
          <w:sz w:val="18"/>
          <w:szCs w:val="18"/>
          <w:color w:val="0033A0"/>
        </w:rPr>
      </w:pPr>
    </w:p>
    <w:p>
      <w:pPr>
        <w:ind w:left="1060" w:hanging="316"/>
        <w:spacing w:after="0"/>
        <w:tabs>
          <w:tab w:leader="none" w:pos="1060" w:val="left"/>
        </w:tabs>
        <w:numPr>
          <w:ilvl w:val="0"/>
          <w:numId w:val="92"/>
        </w:numPr>
        <w:rPr>
          <w:rFonts w:ascii="Arial" w:cs="Arial" w:eastAsia="Arial" w:hAnsi="Arial"/>
          <w:sz w:val="18"/>
          <w:szCs w:val="18"/>
          <w:color w:val="0033A0"/>
        </w:rPr>
      </w:pPr>
      <w:r>
        <w:rPr>
          <w:rFonts w:ascii="Arial" w:cs="Arial" w:eastAsia="Arial" w:hAnsi="Arial"/>
          <w:sz w:val="18"/>
          <w:szCs w:val="18"/>
          <w:color w:val="auto"/>
        </w:rPr>
        <w:t>2017 severance costs were $4.0 million related to our recent acquisitions in Argentina and Brazil.</w:t>
      </w:r>
    </w:p>
    <w:p>
      <w:pPr>
        <w:spacing w:after="0" w:line="117" w:lineRule="exact"/>
        <w:rPr>
          <w:rFonts w:ascii="Arial" w:cs="Arial" w:eastAsia="Arial" w:hAnsi="Arial"/>
          <w:sz w:val="18"/>
          <w:szCs w:val="18"/>
          <w:color w:val="0033A0"/>
        </w:rPr>
      </w:pPr>
    </w:p>
    <w:p>
      <w:pPr>
        <w:ind w:left="1060" w:hanging="316"/>
        <w:spacing w:after="0"/>
        <w:tabs>
          <w:tab w:leader="none" w:pos="1060" w:val="left"/>
        </w:tabs>
        <w:numPr>
          <w:ilvl w:val="0"/>
          <w:numId w:val="92"/>
        </w:numPr>
        <w:rPr>
          <w:rFonts w:ascii="Arial" w:cs="Arial" w:eastAsia="Arial" w:hAnsi="Arial"/>
          <w:sz w:val="18"/>
          <w:szCs w:val="18"/>
          <w:color w:val="0033A0"/>
        </w:rPr>
      </w:pPr>
      <w:r>
        <w:rPr>
          <w:rFonts w:ascii="Arial" w:cs="Arial" w:eastAsia="Arial" w:hAnsi="Arial"/>
          <w:sz w:val="18"/>
          <w:szCs w:val="18"/>
          <w:color w:val="auto"/>
        </w:rPr>
        <w:t>Transaction costs were $2.6 million related to acquisitions of new businesses in 2017.</w:t>
      </w:r>
    </w:p>
    <w:p>
      <w:pPr>
        <w:spacing w:after="0" w:line="117" w:lineRule="exact"/>
        <w:rPr>
          <w:rFonts w:ascii="Arial" w:cs="Arial" w:eastAsia="Arial" w:hAnsi="Arial"/>
          <w:sz w:val="18"/>
          <w:szCs w:val="18"/>
          <w:color w:val="0033A0"/>
        </w:rPr>
      </w:pPr>
    </w:p>
    <w:p>
      <w:pPr>
        <w:ind w:left="1060" w:hanging="316"/>
        <w:spacing w:after="0"/>
        <w:tabs>
          <w:tab w:leader="none" w:pos="1060" w:val="left"/>
        </w:tabs>
        <w:numPr>
          <w:ilvl w:val="0"/>
          <w:numId w:val="92"/>
        </w:numPr>
        <w:rPr>
          <w:rFonts w:ascii="Arial" w:cs="Arial" w:eastAsia="Arial" w:hAnsi="Arial"/>
          <w:sz w:val="18"/>
          <w:szCs w:val="18"/>
          <w:color w:val="0033A0"/>
        </w:rPr>
      </w:pPr>
      <w:r>
        <w:rPr>
          <w:rFonts w:ascii="Arial" w:cs="Arial" w:eastAsia="Arial" w:hAnsi="Arial"/>
          <w:sz w:val="18"/>
          <w:szCs w:val="18"/>
          <w:color w:val="auto"/>
        </w:rPr>
        <w:t>Currency transaction gains of $1.8 million were recognized in 2017 related to acquisition activity.</w:t>
      </w:r>
    </w:p>
    <w:p>
      <w:pPr>
        <w:spacing w:after="0" w:line="190" w:lineRule="exact"/>
        <w:rPr>
          <w:sz w:val="20"/>
          <w:szCs w:val="20"/>
          <w:color w:val="auto"/>
        </w:rPr>
      </w:pPr>
    </w:p>
    <w:p>
      <w:pPr>
        <w:ind w:left="200"/>
        <w:spacing w:after="0" w:line="242" w:lineRule="auto"/>
        <w:rPr>
          <w:sz w:val="20"/>
          <w:szCs w:val="20"/>
          <w:color w:val="auto"/>
        </w:rPr>
      </w:pPr>
      <w:r>
        <w:rPr>
          <w:rFonts w:ascii="Arial" w:cs="Arial" w:eastAsia="Arial" w:hAnsi="Arial"/>
          <w:sz w:val="18"/>
          <w:szCs w:val="18"/>
          <w:b w:val="1"/>
          <w:bCs w:val="1"/>
          <w:color w:val="auto"/>
        </w:rPr>
        <w:t xml:space="preserve">Argentina highly inflationary impact </w:t>
      </w:r>
      <w:r>
        <w:rPr>
          <w:rFonts w:ascii="Arial" w:cs="Arial" w:eastAsia="Arial" w:hAnsi="Arial"/>
          <w:sz w:val="18"/>
          <w:szCs w:val="18"/>
          <w:color w:val="auto"/>
        </w:rPr>
        <w:t>Beginning in the third quarter of 2018, we designated Argentina’s economy as highly inflationary for</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purposes. As a result, Argentine peso-denominated monetary assets and liabilities are now remeasured at each balance sheet date to the currency exchange rate then in effect, with currency remeasurement gains and losses recognized in earnings. In addition, nonmonetary assets retain a higher historical basis when the currency is devalued. The higher historical basis results in incremental expense being recognized when the nonmonetary assets are consumed. In the second half of 2018, we recognized $8.0 million in pretax charges related to highly inflationary accounting, including currency remeasurement losses of $6.2 million.</w:t>
      </w:r>
    </w:p>
    <w:p>
      <w:pPr>
        <w:spacing w:after="0" w:line="179" w:lineRule="exact"/>
        <w:rPr>
          <w:sz w:val="20"/>
          <w:szCs w:val="20"/>
          <w:color w:val="auto"/>
        </w:rPr>
      </w:pPr>
    </w:p>
    <w:p>
      <w:pPr>
        <w:ind w:left="200" w:right="140"/>
        <w:spacing w:after="0" w:line="253" w:lineRule="auto"/>
        <w:rPr>
          <w:sz w:val="20"/>
          <w:szCs w:val="20"/>
          <w:color w:val="auto"/>
        </w:rPr>
      </w:pPr>
      <w:r>
        <w:rPr>
          <w:rFonts w:ascii="Arial" w:cs="Arial" w:eastAsia="Arial" w:hAnsi="Arial"/>
          <w:sz w:val="18"/>
          <w:szCs w:val="18"/>
          <w:b w:val="1"/>
          <w:bCs w:val="1"/>
          <w:color w:val="auto"/>
        </w:rPr>
        <w:t xml:space="preserve">Reporting compliance </w:t>
      </w:r>
      <w:r>
        <w:rPr>
          <w:rFonts w:ascii="Arial" w:cs="Arial" w:eastAsia="Arial" w:hAnsi="Arial"/>
          <w:sz w:val="18"/>
          <w:szCs w:val="18"/>
          <w:color w:val="auto"/>
        </w:rPr>
        <w:t>Certain third party costs incurred related to the implementation and adoption of ASU 2016-02, the new lease</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standard effective for us January 1, 2019 ($2.7 million), and the mitigation of material weaknesses ($1.8 million) are excluded from non-GAAP results.</w:t>
      </w:r>
    </w:p>
    <w:p>
      <w:pPr>
        <w:spacing w:after="0" w:line="125" w:lineRule="exact"/>
        <w:rPr>
          <w:sz w:val="20"/>
          <w:szCs w:val="20"/>
          <w:color w:val="auto"/>
        </w:rPr>
      </w:pPr>
    </w:p>
    <w:tbl>
      <w:tblPr>
        <w:tblLayout w:type="fixed"/>
        <w:tblInd w:w="8780" w:type="dxa"/>
        <w:tblCellMar>
          <w:top w:w="0" w:type="dxa"/>
          <w:left w:w="0" w:type="dxa"/>
          <w:bottom w:w="0" w:type="dxa"/>
          <w:right w:w="0" w:type="dxa"/>
        </w:tblCellMar>
      </w:tblPr>
      <w:tr>
        <w:trPr>
          <w:trHeight w:val="230"/>
        </w:trPr>
        <w:tc>
          <w:tcPr>
            <w:tcW w:w="1920" w:type="dxa"/>
            <w:vAlign w:val="bottom"/>
            <w:tcBorders>
              <w:right w:val="single" w:sz="8" w:color="0033A0"/>
            </w:tcBorders>
          </w:tcPr>
          <w:p>
            <w:pPr>
              <w:spacing w:after="0"/>
              <w:rPr>
                <w:sz w:val="20"/>
                <w:szCs w:val="20"/>
                <w:color w:val="auto"/>
              </w:rPr>
            </w:pPr>
            <w:r>
              <w:rPr>
                <w:rFonts w:ascii="Arial" w:cs="Arial" w:eastAsia="Arial" w:hAnsi="Arial"/>
                <w:sz w:val="18"/>
                <w:szCs w:val="18"/>
                <w:i w:val="1"/>
                <w:iCs w:val="1"/>
                <w:color w:val="auto"/>
              </w:rPr>
              <w:t>2019 Proxy Statement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A-</w:t>
            </w:r>
          </w:p>
        </w:tc>
      </w:tr>
      <w:tr>
        <w:trPr>
          <w:trHeight w:val="230"/>
        </w:trPr>
        <w:tc>
          <w:tcPr>
            <w:tcW w:w="1920" w:type="dxa"/>
            <w:vAlign w:val="bottom"/>
            <w:tcBorders>
              <w:right w:val="single" w:sz="8" w:color="0033A0"/>
            </w:tcBorders>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-273685</wp:posOffset>
            </wp:positionV>
            <wp:extent cx="720090" cy="12890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0090" cy="12890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bookmarkStart w:id="86" w:name="page87"/>
    <w:bookmarkEnd w:id="8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220345</wp:posOffset>
            </wp:positionV>
            <wp:extent cx="7031990" cy="909891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031990" cy="909891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87" w:name="page88"/>
    <w:bookmarkEnd w:id="8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220345</wp:posOffset>
            </wp:positionV>
            <wp:extent cx="7031990" cy="909891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031990" cy="9098915"/>
                    </a:xfrm>
                    <a:prstGeom prst="rect">
                      <a:avLst/>
                    </a:prstGeom>
                    <a:noFill/>
                  </pic:spPr>
                </pic:pic>
              </a:graphicData>
            </a:graphic>
          </wp:anchor>
        </w:drawing>
      </w:r>
    </w:p>
    <w:sectPr>
      <w:pgSz w:w="11900" w:h="16838" w:orient="portrait"/>
      <w:cols w:equalWidth="0" w:num="1">
        <w:col w:w="10219"/>
      </w:cols>
      <w:pgMar w:left="24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2289EC"/>
    <w:multiLevelType w:val="hybridMultilevel"/>
    <w:lvl w:ilvl="0">
      <w:lvlJc w:val="left"/>
      <w:lvlText w:val="☐"/>
      <w:numFmt w:val="bullet"/>
      <w:start w:val="1"/>
    </w:lvl>
  </w:abstractNum>
  <w:abstractNum w:abstractNumId="1">
    <w:nsid w:val="6DE91B18"/>
    <w:multiLevelType w:val="hybridMultilevel"/>
    <w:lvl w:ilvl="0">
      <w:lvlJc w:val="left"/>
      <w:lvlText w:val="☒"/>
      <w:numFmt w:val="bullet"/>
      <w:start w:val="1"/>
    </w:lvl>
  </w:abstractNum>
  <w:abstractNum w:abstractNumId="2">
    <w:nsid w:val="38437FDB"/>
    <w:multiLevelType w:val="hybridMultilevel"/>
    <w:lvl w:ilvl="0">
      <w:lvlJc w:val="left"/>
      <w:lvlText w:val="☐"/>
      <w:numFmt w:val="bullet"/>
      <w:start w:val="1"/>
    </w:lvl>
    <w:lvl w:ilvl="1">
      <w:lvlJc w:val="left"/>
      <w:lvlText w:val="(%2)"/>
      <w:numFmt w:val="decimal"/>
      <w:start w:val="1"/>
    </w:lvl>
  </w:abstractNum>
  <w:abstractNum w:abstractNumId="3">
    <w:nsid w:val="7644A45C"/>
    <w:multiLevelType w:val="hybridMultilevel"/>
    <w:lvl w:ilvl="0">
      <w:lvlJc w:val="left"/>
      <w:lvlText w:val="(%1)"/>
      <w:numFmt w:val="decimal"/>
      <w:start w:val="2"/>
    </w:lvl>
  </w:abstractNum>
  <w:abstractNum w:abstractNumId="4">
    <w:nsid w:val="32FFF902"/>
    <w:multiLevelType w:val="hybridMultilevel"/>
    <w:lvl w:ilvl="0">
      <w:lvlJc w:val="left"/>
      <w:lvlText w:val="(%1)"/>
      <w:numFmt w:val="decimal"/>
      <w:start w:val="3"/>
    </w:lvl>
  </w:abstractNum>
  <w:abstractNum w:abstractNumId="5">
    <w:nsid w:val="684A481A"/>
    <w:multiLevelType w:val="hybridMultilevel"/>
    <w:lvl w:ilvl="0">
      <w:lvlJc w:val="left"/>
      <w:lvlText w:val="*"/>
      <w:numFmt w:val="bullet"/>
      <w:start w:val="1"/>
    </w:lvl>
  </w:abstractNum>
  <w:abstractNum w:abstractNumId="6">
    <w:nsid w:val="579478FE"/>
    <w:multiLevelType w:val="hybridMultilevel"/>
    <w:lvl w:ilvl="0">
      <w:lvlJc w:val="left"/>
      <w:lvlText w:val="%1."/>
      <w:numFmt w:val="decimal"/>
      <w:start w:val="1"/>
    </w:lvl>
  </w:abstractNum>
  <w:abstractNum w:abstractNumId="7">
    <w:nsid w:val="749ABB43"/>
    <w:multiLevelType w:val="hybridMultilevel"/>
    <w:lvl w:ilvl="0">
      <w:lvlJc w:val="left"/>
      <w:lvlText w:val="6"/>
      <w:numFmt w:val="bullet"/>
      <w:start w:val="1"/>
    </w:lvl>
  </w:abstractNum>
  <w:abstractNum w:abstractNumId="8">
    <w:nsid w:val="3DC240FB"/>
    <w:multiLevelType w:val="hybridMultilevel"/>
    <w:lvl w:ilvl="0">
      <w:lvlJc w:val="left"/>
      <w:lvlText w:val="%1"/>
      <w:numFmt w:val="decimal"/>
      <w:start w:val="23"/>
    </w:lvl>
  </w:abstractNum>
  <w:abstractNum w:abstractNumId="9">
    <w:nsid w:val="1BA026FA"/>
    <w:multiLevelType w:val="hybridMultilevel"/>
    <w:lvl w:ilvl="0">
      <w:lvlJc w:val="left"/>
      <w:lvlText w:val="*"/>
      <w:numFmt w:val="bullet"/>
      <w:start w:val="1"/>
    </w:lvl>
  </w:abstractNum>
  <w:abstractNum w:abstractNumId="10">
    <w:nsid w:val="79A1DEAA"/>
    <w:multiLevelType w:val="hybridMultilevel"/>
    <w:lvl w:ilvl="0">
      <w:lvlJc w:val="left"/>
      <w:lvlText w:val="✓"/>
      <w:numFmt w:val="bullet"/>
      <w:start w:val="1"/>
    </w:lvl>
  </w:abstractNum>
  <w:abstractNum w:abstractNumId="11">
    <w:nsid w:val="75C6C33A"/>
    <w:multiLevelType w:val="hybridMultilevel"/>
    <w:lvl w:ilvl="0">
      <w:lvlJc w:val="left"/>
      <w:lvlText w:val="×"/>
      <w:numFmt w:val="bullet"/>
      <w:start w:val="1"/>
    </w:lvl>
  </w:abstractNum>
  <w:abstractNum w:abstractNumId="12">
    <w:nsid w:val="12E685FB"/>
    <w:multiLevelType w:val="hybridMultilevel"/>
    <w:lvl w:ilvl="0">
      <w:lvlJc w:val="left"/>
      <w:lvlText w:val="(%1)"/>
      <w:numFmt w:val="decimal"/>
      <w:start w:val="1"/>
    </w:lvl>
  </w:abstractNum>
  <w:abstractNum w:abstractNumId="13">
    <w:nsid w:val="70C6A529"/>
    <w:multiLevelType w:val="hybridMultilevel"/>
    <w:lvl w:ilvl="0">
      <w:lvlJc w:val="left"/>
      <w:lvlText w:val="(%1)"/>
      <w:numFmt w:val="decimal"/>
      <w:start w:val="3"/>
    </w:lvl>
  </w:abstractNum>
  <w:abstractNum w:abstractNumId="14">
    <w:nsid w:val="520EEDD1"/>
    <w:multiLevelType w:val="hybridMultilevel"/>
    <w:lvl w:ilvl="0">
      <w:lvlJc w:val="left"/>
      <w:lvlText w:val="%1."/>
      <w:numFmt w:val="decimal"/>
      <w:start w:val="2"/>
    </w:lvl>
  </w:abstractNum>
  <w:abstractNum w:abstractNumId="15">
    <w:nsid w:val="374A3FE6"/>
    <w:multiLevelType w:val="hybridMultilevel"/>
    <w:lvl w:ilvl="0">
      <w:lvlJc w:val="left"/>
      <w:lvlText w:val="•"/>
      <w:numFmt w:val="bullet"/>
      <w:start w:val="1"/>
    </w:lvl>
  </w:abstractNum>
  <w:abstractNum w:abstractNumId="16">
    <w:nsid w:val="4F4EF005"/>
    <w:multiLevelType w:val="hybridMultilevel"/>
    <w:lvl w:ilvl="0">
      <w:lvlJc w:val="left"/>
      <w:lvlText w:val="•"/>
      <w:numFmt w:val="bullet"/>
      <w:start w:val="1"/>
    </w:lvl>
  </w:abstractNum>
  <w:abstractNum w:abstractNumId="17">
    <w:nsid w:val="23F9C13C"/>
    <w:multiLevelType w:val="hybridMultilevel"/>
    <w:lvl w:ilvl="0">
      <w:lvlJc w:val="left"/>
      <w:lvlText w:val="•"/>
      <w:numFmt w:val="bullet"/>
      <w:start w:val="1"/>
    </w:lvl>
  </w:abstractNum>
  <w:abstractNum w:abstractNumId="18">
    <w:nsid w:val="649BB77C"/>
    <w:multiLevelType w:val="hybridMultilevel"/>
    <w:lvl w:ilvl="0">
      <w:lvlJc w:val="left"/>
      <w:lvlText w:val="%1."/>
      <w:numFmt w:val="decimal"/>
      <w:start w:val="1"/>
    </w:lvl>
  </w:abstractNum>
  <w:abstractNum w:abstractNumId="19">
    <w:nsid w:val="275AC794"/>
    <w:multiLevelType w:val="hybridMultilevel"/>
    <w:lvl w:ilvl="0">
      <w:lvlJc w:val="left"/>
      <w:lvlText w:val="%1."/>
      <w:numFmt w:val="decimal"/>
      <w:start w:val="3"/>
    </w:lvl>
  </w:abstractNum>
  <w:abstractNum w:abstractNumId="20">
    <w:nsid w:val="39386575"/>
    <w:multiLevelType w:val="hybridMultilevel"/>
    <w:lvl w:ilvl="0">
      <w:lvlJc w:val="left"/>
      <w:lvlText w:val="✓"/>
      <w:numFmt w:val="bullet"/>
      <w:start w:val="1"/>
    </w:lvl>
  </w:abstractNum>
  <w:abstractNum w:abstractNumId="21">
    <w:nsid w:val="1CF10FD8"/>
    <w:multiLevelType w:val="hybridMultilevel"/>
    <w:lvl w:ilvl="0">
      <w:lvlJc w:val="left"/>
      <w:lvlText w:val="*"/>
      <w:numFmt w:val="bullet"/>
      <w:start w:val="1"/>
    </w:lvl>
  </w:abstractNum>
  <w:abstractNum w:abstractNumId="22">
    <w:nsid w:val="180115BE"/>
    <w:multiLevelType w:val="hybridMultilevel"/>
    <w:lvl w:ilvl="0">
      <w:lvlJc w:val="left"/>
      <w:lvlText w:val="**"/>
      <w:numFmt w:val="bullet"/>
      <w:start w:val="1"/>
    </w:lvl>
  </w:abstractNum>
  <w:abstractNum w:abstractNumId="23">
    <w:nsid w:val="235BA861"/>
    <w:multiLevelType w:val="hybridMultilevel"/>
    <w:lvl w:ilvl="0">
      <w:lvlJc w:val="left"/>
      <w:lvlText w:val="•"/>
      <w:numFmt w:val="bullet"/>
      <w:start w:val="1"/>
    </w:lvl>
  </w:abstractNum>
  <w:abstractNum w:abstractNumId="24">
    <w:nsid w:val="47398C89"/>
    <w:multiLevelType w:val="hybridMultilevel"/>
    <w:lvl w:ilvl="0">
      <w:lvlJc w:val="left"/>
      <w:lvlText w:val="•"/>
      <w:numFmt w:val="bullet"/>
      <w:start w:val="1"/>
    </w:lvl>
  </w:abstractNum>
  <w:abstractNum w:abstractNumId="25">
    <w:nsid w:val="354FE9F9"/>
    <w:multiLevelType w:val="hybridMultilevel"/>
    <w:lvl w:ilvl="0">
      <w:lvlJc w:val="left"/>
      <w:lvlText w:val="•"/>
      <w:numFmt w:val="bullet"/>
      <w:start w:val="1"/>
    </w:lvl>
  </w:abstractNum>
  <w:abstractNum w:abstractNumId="26">
    <w:nsid w:val="15B5AF5C"/>
    <w:multiLevelType w:val="hybridMultilevel"/>
    <w:lvl w:ilvl="0">
      <w:lvlJc w:val="left"/>
      <w:lvlText w:val="•"/>
      <w:numFmt w:val="bullet"/>
      <w:start w:val="1"/>
    </w:lvl>
  </w:abstractNum>
  <w:abstractNum w:abstractNumId="27">
    <w:nsid w:val="741226BB"/>
    <w:multiLevelType w:val="hybridMultilevel"/>
    <w:lvl w:ilvl="0">
      <w:lvlJc w:val="left"/>
      <w:lvlText w:val="•"/>
      <w:numFmt w:val="bullet"/>
      <w:start w:val="1"/>
    </w:lvl>
  </w:abstractNum>
  <w:abstractNum w:abstractNumId="28">
    <w:nsid w:val="D34B6A8"/>
    <w:multiLevelType w:val="hybridMultilevel"/>
    <w:lvl w:ilvl="0">
      <w:lvlJc w:val="left"/>
      <w:lvlText w:val="•"/>
      <w:numFmt w:val="bullet"/>
      <w:start w:val="1"/>
    </w:lvl>
  </w:abstractNum>
  <w:abstractNum w:abstractNumId="29">
    <w:nsid w:val="10233C99"/>
    <w:multiLevelType w:val="hybridMultilevel"/>
    <w:lvl w:ilvl="0">
      <w:lvlJc w:val="left"/>
      <w:lvlText w:val="•"/>
      <w:numFmt w:val="bullet"/>
      <w:start w:val="1"/>
    </w:lvl>
  </w:abstractNum>
  <w:abstractNum w:abstractNumId="30">
    <w:nsid w:val="3F6AB60F"/>
    <w:multiLevelType w:val="hybridMultilevel"/>
    <w:lvl w:ilvl="0">
      <w:lvlJc w:val="left"/>
      <w:lvlText w:val="•"/>
      <w:numFmt w:val="bullet"/>
      <w:start w:val="1"/>
    </w:lvl>
  </w:abstractNum>
  <w:abstractNum w:abstractNumId="31">
    <w:nsid w:val="61574095"/>
    <w:multiLevelType w:val="hybridMultilevel"/>
    <w:lvl w:ilvl="0">
      <w:lvlJc w:val="left"/>
      <w:lvlText w:val="*"/>
      <w:numFmt w:val="bullet"/>
      <w:start w:val="1"/>
    </w:lvl>
  </w:abstractNum>
  <w:abstractNum w:abstractNumId="32">
    <w:nsid w:val="7E0C57B1"/>
    <w:multiLevelType w:val="hybridMultilevel"/>
    <w:lvl w:ilvl="0">
      <w:lvlJc w:val="left"/>
      <w:lvlText w:val="•"/>
      <w:numFmt w:val="bullet"/>
      <w:start w:val="1"/>
    </w:lvl>
  </w:abstractNum>
  <w:abstractNum w:abstractNumId="33">
    <w:nsid w:val="77AE35EB"/>
    <w:multiLevelType w:val="hybridMultilevel"/>
    <w:lvl w:ilvl="0">
      <w:lvlJc w:val="left"/>
      <w:lvlText w:val="•"/>
      <w:numFmt w:val="bullet"/>
      <w:start w:val="1"/>
    </w:lvl>
  </w:abstractNum>
  <w:abstractNum w:abstractNumId="34">
    <w:nsid w:val="579BE4F1"/>
    <w:multiLevelType w:val="hybridMultilevel"/>
    <w:lvl w:ilvl="0">
      <w:lvlJc w:val="left"/>
      <w:lvlText w:val="(%1)"/>
      <w:numFmt w:val="decimal"/>
      <w:start w:val="1"/>
    </w:lvl>
  </w:abstractNum>
  <w:abstractNum w:abstractNumId="35">
    <w:nsid w:val="310C50B3"/>
    <w:multiLevelType w:val="hybridMultilevel"/>
    <w:lvl w:ilvl="0">
      <w:lvlJc w:val="left"/>
      <w:lvlText w:val="(%1)"/>
      <w:numFmt w:val="decimal"/>
      <w:start w:val="1"/>
    </w:lvl>
  </w:abstractNum>
  <w:abstractNum w:abstractNumId="36">
    <w:nsid w:val="5FF87E05"/>
    <w:multiLevelType w:val="hybridMultilevel"/>
    <w:lvl w:ilvl="0">
      <w:lvlJc w:val="left"/>
      <w:lvlText w:val="*"/>
      <w:numFmt w:val="bullet"/>
      <w:start w:val="1"/>
    </w:lvl>
  </w:abstractNum>
  <w:abstractNum w:abstractNumId="37">
    <w:nsid w:val="2F305DEF"/>
    <w:multiLevelType w:val="hybridMultilevel"/>
    <w:lvl w:ilvl="0">
      <w:lvlJc w:val="left"/>
      <w:lvlText w:val="•"/>
      <w:numFmt w:val="bullet"/>
      <w:start w:val="1"/>
    </w:lvl>
  </w:abstractNum>
  <w:abstractNum w:abstractNumId="38">
    <w:nsid w:val="25A70BF7"/>
    <w:multiLevelType w:val="hybridMultilevel"/>
    <w:lvl w:ilvl="0">
      <w:lvlJc w:val="left"/>
      <w:lvlText w:val="•"/>
      <w:numFmt w:val="bullet"/>
      <w:start w:val="1"/>
    </w:lvl>
  </w:abstractNum>
  <w:abstractNum w:abstractNumId="39">
    <w:nsid w:val="1DBABF00"/>
    <w:multiLevelType w:val="hybridMultilevel"/>
    <w:lvl w:ilvl="0">
      <w:lvlJc w:val="left"/>
      <w:lvlText w:val="•"/>
      <w:numFmt w:val="bullet"/>
      <w:start w:val="1"/>
    </w:lvl>
  </w:abstractNum>
  <w:abstractNum w:abstractNumId="40">
    <w:nsid w:val="4AD084E9"/>
    <w:multiLevelType w:val="hybridMultilevel"/>
    <w:lvl w:ilvl="0">
      <w:lvlJc w:val="left"/>
      <w:lvlText w:val="(%1)"/>
      <w:numFmt w:val="decimal"/>
      <w:start w:val="1"/>
    </w:lvl>
  </w:abstractNum>
  <w:abstractNum w:abstractNumId="41">
    <w:nsid w:val="1F48EAA1"/>
    <w:multiLevelType w:val="hybridMultilevel"/>
    <w:lvl w:ilvl="0">
      <w:lvlJc w:val="left"/>
      <w:lvlText w:val="%1"/>
      <w:numFmt w:val="decimal"/>
      <w:start w:val="1"/>
    </w:lvl>
    <w:lvl w:ilvl="1">
      <w:lvlJc w:val="left"/>
      <w:lvlText w:val="(%2)"/>
      <w:numFmt w:val="lowerLetter"/>
      <w:start w:val="1"/>
    </w:lvl>
  </w:abstractNum>
  <w:abstractNum w:abstractNumId="42">
    <w:nsid w:val="1381823A"/>
    <w:multiLevelType w:val="hybridMultilevel"/>
    <w:lvl w:ilvl="0">
      <w:lvlJc w:val="left"/>
      <w:lvlText w:val="(%1)"/>
      <w:numFmt w:val="decimal"/>
      <w:start w:val="5"/>
    </w:lvl>
    <w:lvl w:ilvl="1">
      <w:lvlJc w:val="left"/>
      <w:lvlText w:val="%2"/>
      <w:numFmt w:val="lowerLetter"/>
      <w:start w:val="1"/>
    </w:lvl>
  </w:abstractNum>
  <w:abstractNum w:abstractNumId="43">
    <w:nsid w:val="5DB70AE5"/>
    <w:multiLevelType w:val="hybridMultilevel"/>
    <w:lvl w:ilvl="0">
      <w:lvlJc w:val="left"/>
      <w:lvlText w:val="(%1)"/>
      <w:numFmt w:val="decimal"/>
      <w:start w:val="6"/>
    </w:lvl>
    <w:lvl w:ilvl="1">
      <w:lvlJc w:val="left"/>
      <w:lvlText w:val="(%2)"/>
      <w:numFmt w:val="lowerLetter"/>
      <w:start w:val="1"/>
    </w:lvl>
  </w:abstractNum>
  <w:abstractNum w:abstractNumId="44">
    <w:nsid w:val="100F8FCA"/>
    <w:multiLevelType w:val="hybridMultilevel"/>
    <w:lvl w:ilvl="0">
      <w:lvlJc w:val="left"/>
      <w:lvlText w:val="(%1)"/>
      <w:numFmt w:val="lowerLetter"/>
      <w:start w:val="2"/>
    </w:lvl>
  </w:abstractNum>
  <w:abstractNum w:abstractNumId="45">
    <w:nsid w:val="6590700B"/>
    <w:multiLevelType w:val="hybridMultilevel"/>
    <w:lvl w:ilvl="0">
      <w:lvlJc w:val="left"/>
      <w:lvlText w:val="(%1)"/>
      <w:numFmt w:val="lowerRoman"/>
      <w:start w:val="1"/>
    </w:lvl>
  </w:abstractNum>
  <w:abstractNum w:abstractNumId="46">
    <w:nsid w:val="15014ACB"/>
    <w:multiLevelType w:val="hybridMultilevel"/>
    <w:lvl w:ilvl="0">
      <w:lvlJc w:val="left"/>
      <w:lvlText w:val="(%1)"/>
      <w:numFmt w:val="decimal"/>
      <w:start w:val="1"/>
    </w:lvl>
  </w:abstractNum>
  <w:abstractNum w:abstractNumId="47">
    <w:nsid w:val="5F5E7FD0"/>
    <w:multiLevelType w:val="hybridMultilevel"/>
    <w:lvl w:ilvl="0">
      <w:lvlJc w:val="left"/>
      <w:lvlText w:val="(%1)"/>
      <w:numFmt w:val="decimal"/>
      <w:start w:val="1"/>
    </w:lvl>
  </w:abstractNum>
  <w:abstractNum w:abstractNumId="48">
    <w:nsid w:val="98A3148"/>
    <w:multiLevelType w:val="hybridMultilevel"/>
    <w:lvl w:ilvl="0">
      <w:lvlJc w:val="left"/>
      <w:lvlText w:val="(%1)"/>
      <w:numFmt w:val="decimal"/>
      <w:start w:val="1"/>
    </w:lvl>
  </w:abstractNum>
  <w:abstractNum w:abstractNumId="49">
    <w:nsid w:val="799D0247"/>
    <w:multiLevelType w:val="hybridMultilevel"/>
    <w:lvl w:ilvl="0">
      <w:lvlJc w:val="left"/>
      <w:lvlText w:val="(%1)"/>
      <w:numFmt w:val="lowerLetter"/>
      <w:start w:val="3"/>
    </w:lvl>
  </w:abstractNum>
  <w:abstractNum w:abstractNumId="50">
    <w:nsid w:val="6B94764"/>
    <w:multiLevelType w:val="hybridMultilevel"/>
    <w:lvl w:ilvl="0">
      <w:lvlJc w:val="left"/>
      <w:lvlText w:val="•"/>
      <w:numFmt w:val="bullet"/>
      <w:start w:val="1"/>
    </w:lvl>
    <w:lvl w:ilvl="1">
      <w:lvlJc w:val="left"/>
      <w:lvlText w:val="•"/>
      <w:numFmt w:val="bullet"/>
      <w:start w:val="1"/>
    </w:lvl>
  </w:abstractNum>
  <w:abstractNum w:abstractNumId="51">
    <w:nsid w:val="42C296BD"/>
    <w:multiLevelType w:val="hybridMultilevel"/>
    <w:lvl w:ilvl="0">
      <w:lvlJc w:val="left"/>
      <w:lvlText w:val="•"/>
      <w:numFmt w:val="bullet"/>
      <w:start w:val="1"/>
    </w:lvl>
    <w:lvl w:ilvl="1">
      <w:lvlJc w:val="left"/>
      <w:lvlText w:val="•"/>
      <w:numFmt w:val="bullet"/>
      <w:start w:val="1"/>
    </w:lvl>
  </w:abstractNum>
  <w:abstractNum w:abstractNumId="52">
    <w:nsid w:val="168E121F"/>
    <w:multiLevelType w:val="hybridMultilevel"/>
    <w:lvl w:ilvl="0">
      <w:lvlJc w:val="left"/>
      <w:lvlText w:val="(%1)"/>
      <w:numFmt w:val="decimal"/>
      <w:start w:val="1"/>
    </w:lvl>
  </w:abstractNum>
  <w:abstractNum w:abstractNumId="53">
    <w:nsid w:val="1EBA5D23"/>
    <w:multiLevelType w:val="hybridMultilevel"/>
    <w:lvl w:ilvl="0">
      <w:lvlJc w:val="left"/>
      <w:lvlText w:val="%1"/>
      <w:numFmt w:val="decimal"/>
      <w:start w:val="1"/>
    </w:lvl>
    <w:lvl w:ilvl="1">
      <w:lvlJc w:val="left"/>
      <w:lvlText w:val="(%2)"/>
      <w:numFmt w:val="lowerLetter"/>
      <w:start w:val="1"/>
    </w:lvl>
  </w:abstractNum>
  <w:abstractNum w:abstractNumId="54">
    <w:nsid w:val="661E3F1E"/>
    <w:multiLevelType w:val="hybridMultilevel"/>
    <w:lvl w:ilvl="0">
      <w:lvlJc w:val="left"/>
      <w:lvlText w:val="(%1)"/>
      <w:numFmt w:val="decimal"/>
      <w:start w:val="2"/>
    </w:lvl>
    <w:lvl w:ilvl="1">
      <w:lvlJc w:val="left"/>
      <w:lvlText w:val="%2"/>
      <w:numFmt w:val="lowerLetter"/>
      <w:start w:val="1"/>
    </w:lvl>
  </w:abstractNum>
  <w:abstractNum w:abstractNumId="55">
    <w:nsid w:val="5DC79EA8"/>
    <w:multiLevelType w:val="hybridMultilevel"/>
    <w:lvl w:ilvl="0">
      <w:lvlJc w:val="left"/>
      <w:lvlText w:val="%1"/>
      <w:numFmt w:val="decimal"/>
      <w:start w:val="1"/>
    </w:lvl>
    <w:lvl w:ilvl="1">
      <w:lvlJc w:val="left"/>
      <w:lvlText w:val="(%2)"/>
      <w:numFmt w:val="lowerLetter"/>
      <w:start w:val="1"/>
    </w:lvl>
  </w:abstractNum>
  <w:abstractNum w:abstractNumId="56">
    <w:nsid w:val="540A471C"/>
    <w:multiLevelType w:val="hybridMultilevel"/>
    <w:lvl w:ilvl="0">
      <w:lvlJc w:val="left"/>
      <w:lvlText w:val="(%1)"/>
      <w:numFmt w:val="decimal"/>
      <w:start w:val="3"/>
    </w:lvl>
    <w:lvl w:ilvl="1">
      <w:lvlJc w:val="left"/>
      <w:lvlText w:val="%2"/>
      <w:numFmt w:val="lowerLetter"/>
      <w:start w:val="1"/>
    </w:lvl>
  </w:abstractNum>
  <w:abstractNum w:abstractNumId="57">
    <w:nsid w:val="7BD3EE7B"/>
    <w:multiLevelType w:val="hybridMultilevel"/>
    <w:lvl w:ilvl="0">
      <w:lvlJc w:val="left"/>
      <w:lvlText w:val="%1"/>
      <w:numFmt w:val="decimal"/>
      <w:start w:val="1"/>
    </w:lvl>
    <w:lvl w:ilvl="1">
      <w:lvlJc w:val="left"/>
      <w:lvlText w:val="(%2)"/>
      <w:numFmt w:val="lowerLetter"/>
      <w:start w:val="1"/>
    </w:lvl>
  </w:abstractNum>
  <w:abstractNum w:abstractNumId="58">
    <w:nsid w:val="51D9C564"/>
    <w:multiLevelType w:val="hybridMultilevel"/>
    <w:lvl w:ilvl="0">
      <w:lvlJc w:val="left"/>
      <w:lvlText w:val="(%1)"/>
      <w:numFmt w:val="decimal"/>
      <w:start w:val="4"/>
    </w:lvl>
    <w:lvl w:ilvl="1">
      <w:lvlJc w:val="left"/>
      <w:lvlText w:val="%2"/>
      <w:numFmt w:val="lowerLetter"/>
      <w:start w:val="1"/>
    </w:lvl>
  </w:abstractNum>
  <w:abstractNum w:abstractNumId="59">
    <w:nsid w:val="613EFDC5"/>
    <w:multiLevelType w:val="hybridMultilevel"/>
    <w:lvl w:ilvl="0">
      <w:lvlJc w:val="left"/>
      <w:lvlText w:val="(%1)"/>
      <w:numFmt w:val="lowerLetter"/>
      <w:start w:val="1"/>
    </w:lvl>
  </w:abstractNum>
  <w:abstractNum w:abstractNumId="60">
    <w:nsid w:val="BF72B14"/>
    <w:multiLevelType w:val="hybridMultilevel"/>
    <w:lvl w:ilvl="0">
      <w:lvlJc w:val="left"/>
      <w:lvlText w:val="•"/>
      <w:numFmt w:val="bullet"/>
      <w:start w:val="1"/>
    </w:lvl>
  </w:abstractNum>
  <w:abstractNum w:abstractNumId="61">
    <w:nsid w:val="11447B73"/>
    <w:multiLevelType w:val="hybridMultilevel"/>
    <w:lvl w:ilvl="0">
      <w:lvlJc w:val="left"/>
      <w:lvlText w:val="•"/>
      <w:numFmt w:val="bullet"/>
      <w:start w:val="1"/>
    </w:lvl>
  </w:abstractNum>
  <w:abstractNum w:abstractNumId="62">
    <w:nsid w:val="42963E5A"/>
    <w:multiLevelType w:val="hybridMultilevel"/>
    <w:lvl w:ilvl="0">
      <w:lvlJc w:val="left"/>
      <w:lvlText w:val="•"/>
      <w:numFmt w:val="bullet"/>
      <w:start w:val="1"/>
    </w:lvl>
  </w:abstractNum>
  <w:abstractNum w:abstractNumId="63">
    <w:nsid w:val="A0382C5"/>
    <w:multiLevelType w:val="hybridMultilevel"/>
    <w:lvl w:ilvl="0">
      <w:lvlJc w:val="left"/>
      <w:lvlText w:val="•"/>
      <w:numFmt w:val="bullet"/>
      <w:start w:val="1"/>
    </w:lvl>
  </w:abstractNum>
  <w:abstractNum w:abstractNumId="64">
    <w:nsid w:val="8F2B15E"/>
    <w:multiLevelType w:val="hybridMultilevel"/>
    <w:lvl w:ilvl="0">
      <w:lvlJc w:val="left"/>
      <w:lvlText w:val="•"/>
      <w:numFmt w:val="bullet"/>
      <w:start w:val="1"/>
    </w:lvl>
  </w:abstractNum>
  <w:abstractNum w:abstractNumId="65">
    <w:nsid w:val="1A32234B"/>
    <w:multiLevelType w:val="hybridMultilevel"/>
    <w:lvl w:ilvl="0">
      <w:lvlJc w:val="left"/>
      <w:lvlText w:val="•"/>
      <w:numFmt w:val="bullet"/>
      <w:start w:val="1"/>
    </w:lvl>
  </w:abstractNum>
  <w:abstractNum w:abstractNumId="66">
    <w:nsid w:val="3B0FD379"/>
    <w:multiLevelType w:val="hybridMultilevel"/>
    <w:lvl w:ilvl="0">
      <w:lvlJc w:val="left"/>
      <w:lvlText w:val="(%1)"/>
      <w:numFmt w:val="decimal"/>
      <w:start w:val="1"/>
    </w:lvl>
  </w:abstractNum>
  <w:abstractNum w:abstractNumId="67">
    <w:nsid w:val="68EB2F63"/>
    <w:multiLevelType w:val="hybridMultilevel"/>
    <w:lvl w:ilvl="0">
      <w:lvlJc w:val="left"/>
      <w:lvlText w:val="•"/>
      <w:numFmt w:val="bullet"/>
      <w:start w:val="1"/>
    </w:lvl>
    <w:lvl w:ilvl="1">
      <w:lvlJc w:val="left"/>
      <w:lvlText w:val="•"/>
      <w:numFmt w:val="bullet"/>
      <w:start w:val="1"/>
    </w:lvl>
  </w:abstractNum>
  <w:abstractNum w:abstractNumId="68">
    <w:nsid w:val="4962813B"/>
    <w:multiLevelType w:val="hybridMultilevel"/>
    <w:lvl w:ilvl="0">
      <w:lvlJc w:val="left"/>
      <w:lvlText w:val="•"/>
      <w:numFmt w:val="bullet"/>
      <w:start w:val="1"/>
    </w:lvl>
    <w:lvl w:ilvl="1">
      <w:lvlJc w:val="left"/>
      <w:lvlText w:val="•"/>
      <w:numFmt w:val="bullet"/>
      <w:start w:val="1"/>
    </w:lvl>
  </w:abstractNum>
  <w:abstractNum w:abstractNumId="69">
    <w:nsid w:val="60B6DF70"/>
    <w:multiLevelType w:val="hybridMultilevel"/>
    <w:lvl w:ilvl="0">
      <w:lvlJc w:val="left"/>
      <w:lvlText w:val="•"/>
      <w:numFmt w:val="bullet"/>
      <w:start w:val="1"/>
    </w:lvl>
  </w:abstractNum>
  <w:abstractNum w:abstractNumId="70">
    <w:nsid w:val="6A5EE64"/>
    <w:multiLevelType w:val="hybridMultilevel"/>
    <w:lvl w:ilvl="0">
      <w:lvlJc w:val="left"/>
      <w:lvlText w:val="•"/>
      <w:numFmt w:val="bullet"/>
      <w:start w:val="1"/>
    </w:lvl>
  </w:abstractNum>
  <w:abstractNum w:abstractNumId="71">
    <w:nsid w:val="14330624"/>
    <w:multiLevelType w:val="hybridMultilevel"/>
    <w:lvl w:ilvl="0">
      <w:lvlJc w:val="left"/>
      <w:lvlText w:val="•"/>
      <w:numFmt w:val="bullet"/>
      <w:start w:val="1"/>
    </w:lvl>
    <w:lvl w:ilvl="1">
      <w:lvlJc w:val="left"/>
      <w:lvlText w:val="•"/>
      <w:numFmt w:val="bullet"/>
      <w:start w:val="1"/>
    </w:lvl>
  </w:abstractNum>
  <w:abstractNum w:abstractNumId="72">
    <w:nsid w:val="7FFFCA11"/>
    <w:multiLevelType w:val="hybridMultilevel"/>
    <w:lvl w:ilvl="0">
      <w:lvlJc w:val="left"/>
      <w:lvlText w:val="(%1)"/>
      <w:numFmt w:val="decimal"/>
      <w:start w:val="2"/>
    </w:lvl>
  </w:abstractNum>
  <w:abstractNum w:abstractNumId="73">
    <w:nsid w:val="1A27709E"/>
    <w:multiLevelType w:val="hybridMultilevel"/>
    <w:lvl w:ilvl="0">
      <w:lvlJc w:val="left"/>
      <w:lvlText w:val="•"/>
      <w:numFmt w:val="bullet"/>
      <w:start w:val="1"/>
    </w:lvl>
  </w:abstractNum>
  <w:abstractNum w:abstractNumId="74">
    <w:nsid w:val="71EA1109"/>
    <w:multiLevelType w:val="hybridMultilevel"/>
    <w:lvl w:ilvl="0">
      <w:lvlJc w:val="left"/>
      <w:lvlText w:val="(%1)"/>
      <w:numFmt w:val="decimal"/>
      <w:start w:val="1"/>
    </w:lvl>
  </w:abstractNum>
  <w:abstractNum w:abstractNumId="75">
    <w:nsid w:val="100F59DC"/>
    <w:multiLevelType w:val="hybridMultilevel"/>
    <w:lvl w:ilvl="0">
      <w:lvlJc w:val="left"/>
      <w:lvlText w:val="•"/>
      <w:numFmt w:val="bullet"/>
      <w:start w:val="1"/>
    </w:lvl>
  </w:abstractNum>
  <w:abstractNum w:abstractNumId="76">
    <w:nsid w:val="7FB7E0AA"/>
    <w:multiLevelType w:val="hybridMultilevel"/>
    <w:lvl w:ilvl="0">
      <w:lvlJc w:val="left"/>
      <w:lvlText w:val="*"/>
      <w:numFmt w:val="bullet"/>
      <w:start w:val="1"/>
    </w:lvl>
  </w:abstractNum>
  <w:abstractNum w:abstractNumId="77">
    <w:nsid w:val="6EB5BD4"/>
    <w:multiLevelType w:val="hybridMultilevel"/>
    <w:lvl w:ilvl="0">
      <w:lvlJc w:val="left"/>
      <w:lvlText w:val="•"/>
      <w:numFmt w:val="bullet"/>
      <w:start w:val="1"/>
    </w:lvl>
  </w:abstractNum>
  <w:abstractNum w:abstractNumId="78">
    <w:nsid w:val="6F6DD9AC"/>
    <w:multiLevelType w:val="hybridMultilevel"/>
    <w:lvl w:ilvl="0">
      <w:lvlJc w:val="left"/>
      <w:lvlText w:val="(%1)"/>
      <w:numFmt w:val="decimal"/>
      <w:start w:val="1"/>
    </w:lvl>
  </w:abstractNum>
  <w:abstractNum w:abstractNumId="79">
    <w:nsid w:val="94211F2"/>
    <w:multiLevelType w:val="hybridMultilevel"/>
    <w:lvl w:ilvl="0">
      <w:lvlJc w:val="left"/>
      <w:lvlText w:val="%1"/>
      <w:numFmt w:val="decimal"/>
      <w:start w:val="1"/>
    </w:lvl>
    <w:lvl w:ilvl="1">
      <w:lvlJc w:val="left"/>
      <w:lvlText w:val="(%2)"/>
      <w:numFmt w:val="lowerLetter"/>
      <w:start w:val="1"/>
    </w:lvl>
  </w:abstractNum>
  <w:abstractNum w:abstractNumId="80">
    <w:nsid w:val="885E1B"/>
    <w:multiLevelType w:val="hybridMultilevel"/>
    <w:lvl w:ilvl="0">
      <w:lvlJc w:val="left"/>
      <w:lvlText w:val="(%1)"/>
      <w:numFmt w:val="decimal"/>
      <w:start w:val="3"/>
    </w:lvl>
    <w:lvl w:ilvl="1">
      <w:lvlJc w:val="left"/>
      <w:lvlText w:val="%2"/>
      <w:numFmt w:val="lowerLetter"/>
      <w:start w:val="1"/>
    </w:lvl>
  </w:abstractNum>
  <w:abstractNum w:abstractNumId="81">
    <w:nsid w:val="76272110"/>
    <w:multiLevelType w:val="hybridMultilevel"/>
    <w:lvl w:ilvl="0">
      <w:lvlJc w:val="left"/>
      <w:lvlText w:val="*"/>
      <w:numFmt w:val="bullet"/>
      <w:start w:val="1"/>
    </w:lvl>
  </w:abstractNum>
  <w:abstractNum w:abstractNumId="82">
    <w:nsid w:val="4C04A8AF"/>
    <w:multiLevelType w:val="hybridMultilevel"/>
    <w:lvl w:ilvl="0">
      <w:lvlJc w:val="left"/>
      <w:lvlText w:val="(%1)"/>
      <w:numFmt w:val="lowerLetter"/>
      <w:start w:val="1"/>
    </w:lvl>
  </w:abstractNum>
  <w:abstractNum w:abstractNumId="83">
    <w:nsid w:val="1716703B"/>
    <w:multiLevelType w:val="hybridMultilevel"/>
    <w:lvl w:ilvl="0">
      <w:lvlJc w:val="left"/>
      <w:lvlText w:val="(%1)"/>
      <w:numFmt w:val="lowerLetter"/>
      <w:start w:val="2"/>
    </w:lvl>
  </w:abstractNum>
  <w:abstractNum w:abstractNumId="84">
    <w:nsid w:val="14E17E33"/>
    <w:multiLevelType w:val="hybridMultilevel"/>
    <w:lvl w:ilvl="0">
      <w:lvlJc w:val="left"/>
      <w:lvlText w:val="(%1)"/>
      <w:numFmt w:val="lowerLetter"/>
      <w:start w:val="3"/>
    </w:lvl>
  </w:abstractNum>
  <w:abstractNum w:abstractNumId="85">
    <w:nsid w:val="3222E7CD"/>
    <w:multiLevelType w:val="hybridMultilevel"/>
    <w:lvl w:ilvl="0">
      <w:lvlJc w:val="left"/>
      <w:lvlText w:val="(%1)"/>
      <w:numFmt w:val="lowerLetter"/>
      <w:start w:val="4"/>
    </w:lvl>
  </w:abstractNum>
  <w:abstractNum w:abstractNumId="86">
    <w:nsid w:val="74DE0EE3"/>
    <w:multiLevelType w:val="hybridMultilevel"/>
    <w:lvl w:ilvl="0">
      <w:lvlJc w:val="left"/>
      <w:lvlText w:val="(%1)"/>
      <w:numFmt w:val="lowerLetter"/>
      <w:start w:val="1"/>
    </w:lvl>
  </w:abstractNum>
  <w:abstractNum w:abstractNumId="87">
    <w:nsid w:val="68EBC550"/>
    <w:multiLevelType w:val="hybridMultilevel"/>
    <w:lvl w:ilvl="0">
      <w:lvlJc w:val="left"/>
      <w:lvlText w:val="(%1)"/>
      <w:numFmt w:val="decimal"/>
      <w:start w:val="1"/>
    </w:lvl>
  </w:abstractNum>
  <w:abstractNum w:abstractNumId="88">
    <w:nsid w:val="2DF6D648"/>
    <w:multiLevelType w:val="hybridMultilevel"/>
    <w:lvl w:ilvl="0">
      <w:lvlJc w:val="left"/>
      <w:lvlText w:val="•"/>
      <w:numFmt w:val="bullet"/>
      <w:start w:val="1"/>
    </w:lvl>
  </w:abstractNum>
  <w:abstractNum w:abstractNumId="89">
    <w:nsid w:val="46B7D447"/>
    <w:multiLevelType w:val="hybridMultilevel"/>
    <w:lvl w:ilvl="0">
      <w:lvlJc w:val="left"/>
      <w:lvlText w:val="(%1)"/>
      <w:numFmt w:val="lowerLetter"/>
      <w:start w:val="1"/>
    </w:lvl>
  </w:abstractNum>
  <w:abstractNum w:abstractNumId="90">
    <w:nsid w:val="4A2AC315"/>
    <w:multiLevelType w:val="hybridMultilevel"/>
    <w:lvl w:ilvl="0">
      <w:lvlJc w:val="left"/>
      <w:lvlText w:val="•"/>
      <w:numFmt w:val="bullet"/>
      <w:start w:val="1"/>
    </w:lvl>
  </w:abstractNum>
  <w:abstractNum w:abstractNumId="91">
    <w:nsid w:val="39EE015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jpe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jpe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jpe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jpe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jpeg"/><Relationship Id="rId281" Type="http://schemas.openxmlformats.org/officeDocument/2006/relationships/image" Target="media/image274.png"/><Relationship Id="rId282" Type="http://schemas.openxmlformats.org/officeDocument/2006/relationships/image" Target="media/image275.jpe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jpeg"/><Relationship Id="rId286" Type="http://schemas.openxmlformats.org/officeDocument/2006/relationships/image" Target="media/image279.png"/><Relationship Id="rId287" Type="http://schemas.openxmlformats.org/officeDocument/2006/relationships/image" Target="media/image280.jpeg"/><Relationship Id="rId288" Type="http://schemas.openxmlformats.org/officeDocument/2006/relationships/image" Target="media/image281.jpe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jpeg"/><Relationship Id="rId292" Type="http://schemas.openxmlformats.org/officeDocument/2006/relationships/image" Target="media/image285.png"/><Relationship Id="rId293" Type="http://schemas.openxmlformats.org/officeDocument/2006/relationships/image" Target="media/image286.jpe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jpeg"/><Relationship Id="rId297" Type="http://schemas.openxmlformats.org/officeDocument/2006/relationships/image" Target="media/image290.jpe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jpe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jpe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jpe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jpe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jpe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jpe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jpeg"/><Relationship Id="rId326" Type="http://schemas.openxmlformats.org/officeDocument/2006/relationships/image" Target="media/image319.png"/><Relationship Id="rId327" Type="http://schemas.openxmlformats.org/officeDocument/2006/relationships/image" Target="media/image320.jpe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jpeg"/><Relationship Id="rId332" Type="http://schemas.openxmlformats.org/officeDocument/2006/relationships/image" Target="media/image325.png"/><Relationship Id="rId333" Type="http://schemas.openxmlformats.org/officeDocument/2006/relationships/image" Target="media/image326.jpe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jpe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jpe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jpe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jpeg"/><Relationship Id="rId348" Type="http://schemas.openxmlformats.org/officeDocument/2006/relationships/image" Target="media/image341.png"/><Relationship Id="rId349" Type="http://schemas.openxmlformats.org/officeDocument/2006/relationships/image" Target="media/image342.jpeg"/><Relationship Id="rId350" Type="http://schemas.openxmlformats.org/officeDocument/2006/relationships/image" Target="media/image343.png"/><Relationship Id="rId351" Type="http://schemas.openxmlformats.org/officeDocument/2006/relationships/image" Target="media/image344.jpeg"/><Relationship Id="rId352" Type="http://schemas.openxmlformats.org/officeDocument/2006/relationships/image" Target="media/image345.png"/><Relationship Id="rId353" Type="http://schemas.openxmlformats.org/officeDocument/2006/relationships/image" Target="media/image34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2020-01-09T17:26:48Z</dcterms:created>
  <dcterms:modified xsi:type="dcterms:W3CDTF">2020-01-09T17:26:48Z</dcterms:modified>
</cp:coreProperties>
</file>