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76466.xml.htm"/>
      <w:bookmarkStart w:id="1" w:name="kswkform4_17884764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BOYNTON PAUL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1801 BAYBERRY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18100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BRINKS CO</w:t>
              </w:r>
            </w:hyperlink>
            <w:r>
              <w:rPr/>
              <w:t xml:space="preserve"> [ </w:t>
            </w:r>
            <w:r>
              <w:rPr>
                <w:rFonts w:ascii="Times;serif" w:hAnsi="Times;serif"/>
                <w:color w:val="0000FF"/>
                <w:sz w:val="24"/>
                <w:shd w:fill="FFFFFF" w:val="clear"/>
              </w:rPr>
              <w:t>BCO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66"/>
        <w:gridCol w:w="276"/>
        <w:gridCol w:w="906"/>
        <w:gridCol w:w="801"/>
        <w:gridCol w:w="891"/>
        <w:gridCol w:w="741"/>
        <w:gridCol w:w="801"/>
        <w:gridCol w:w="966"/>
        <w:gridCol w:w="831"/>
        <w:gridCol w:w="846"/>
      </w:tblGrid>
      <w:tr>
        <w:trPr>
          <w:tblHeader w:val="true"/>
        </w:trPr>
        <w:tc>
          <w:tcPr>
            <w:tcW w:w="119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7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Plan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73.08</w:t>
            </w:r>
            <w:r>
              <w:rPr>
                <w:rFonts w:ascii="Times;serif" w:hAnsi="Times;serif"/>
                <w:color w:val="008000"/>
                <w:position w:val="7"/>
                <w:sz w:val="16"/>
                <w:sz w:val="20"/>
                <w:shd w:fill="FFFFFF" w:val="clear"/>
              </w:rPr>
              <w:t>(2)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7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73.08</w:t>
            </w: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110.02</w:t>
            </w:r>
            <w:r>
              <w:rPr>
                <w:rFonts w:ascii="Times;serif" w:hAnsi="Times;serif"/>
                <w:color w:val="008000"/>
                <w:position w:val="7"/>
                <w:sz w:val="16"/>
                <w:sz w:val="20"/>
                <w:shd w:fill="FFFFFF" w:val="clear"/>
              </w:rPr>
              <w:t>(3)</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11,071.62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DSAP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11.35</w:t>
            </w:r>
            <w:r>
              <w:rPr>
                <w:rFonts w:ascii="Times;serif" w:hAnsi="Times;serif"/>
                <w:color w:val="008000"/>
                <w:position w:val="7"/>
                <w:sz w:val="16"/>
                <w:sz w:val="20"/>
                <w:shd w:fill="FFFFFF" w:val="clear"/>
              </w:rPr>
              <w:t>(5)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7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11.35</w:t>
            </w: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110.02</w:t>
            </w:r>
            <w:r>
              <w:rPr>
                <w:rFonts w:ascii="Times;serif" w:hAnsi="Times;serif"/>
                <w:color w:val="008000"/>
                <w:position w:val="7"/>
                <w:sz w:val="16"/>
                <w:sz w:val="20"/>
                <w:shd w:fill="FFFFFF" w:val="clear"/>
              </w:rPr>
              <w:t>(6)</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4,906.03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Units (each of which is the economic equivalent of one share of The Brink's Company ("BCO") common stock) credited to the Reporting Person's equity account under the Plan for Deferral of Directors' Fees (the "Plan") will settle in BCO common stock on a one-for-one basis and shall be distributed in accordance with the Reporting Person's deferral election either (1) following the Reporting Person's termination of service from the Board of Directors or (2) on a future date selected by the Reporting Person at the time of his or her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Plan, Plan Units were credited to the Reporting Person's account as a result of a dividend payment with respect to BCO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Plan Units credited to the Reporting Person's account on the Transaction Date is based upon a share price of $110.02, which is the closing price of BCO common stock on September 1, 2026, calculated in accordance with the terms of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Under the terms of the Directors' Stock Accumulation Plan, as amended and restated (the "DSAP"), the Reporting Person will be entitled to receive a distribution in BCO common stock with respect to all units (each of which is the economic equivalent of one share of BCO common stock) ("DSAP Units") in the Reporting Person's account on a one-for-one basis following the Reporting Person's termination of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 accordance with the terms of the DSAP, DSAP Units were credited to the Reporting Person's account as a result of a dividend payment with respect to BCO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number of DSAP Units credited to the Reporting Person's account on the Transaction Date is based upon a share price of $110.02, which is the closing price of BCO common stock on September 1, 2026, in accordance with the terms of the DSAP.</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M. MacNally,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73985" TargetMode="External"/><Relationship Id="rId5" Type="http://schemas.openxmlformats.org/officeDocument/2006/relationships/hyperlink" Target="http://www.sec.gov/cgi-bin/browse-edgar?action=getcompany&amp;CIK=00000788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897</Words>
  <Characters>4685</Characters>
  <CharactersWithSpaces>5493</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