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9516.xml.htm"/>
      <w:bookmarkStart w:id="1" w:name="kswkform4_17909795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BOYNTON PAUL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1801 BAYBERRY COURT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18100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23226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BRINKS CO</w:t>
              </w:r>
            </w:hyperlink>
            <w:r>
              <w:rPr/>
              <w:t xml:space="preserve"> [ </w:t>
            </w:r>
            <w:r>
              <w:rPr>
                <w:rFonts w:ascii="Times;serif" w:hAnsi="Times;serif"/>
                <w:color w:val="0000FF"/>
                <w:sz w:val="24"/>
                <w:shd w:fill="FFFFFF" w:val="clear"/>
              </w:rPr>
              <w:t>BCO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708"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525"/>
        <w:gridCol w:w="276"/>
        <w:gridCol w:w="906"/>
        <w:gridCol w:w="801"/>
        <w:gridCol w:w="891"/>
        <w:gridCol w:w="636"/>
        <w:gridCol w:w="801"/>
        <w:gridCol w:w="966"/>
        <w:gridCol w:w="831"/>
        <w:gridCol w:w="846"/>
      </w:tblGrid>
      <w:tr>
        <w:trPr>
          <w:tblHeader w:val="true"/>
        </w:trPr>
        <w:tc>
          <w:tcPr>
            <w:tcW w:w="1170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5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Plan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147</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147</w:t>
            </w: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100.99</w:t>
            </w:r>
            <w:r>
              <w:rPr>
                <w:rFonts w:ascii="Times;serif" w:hAnsi="Times;serif"/>
                <w:color w:val="008000"/>
                <w:position w:val="7"/>
                <w:sz w:val="16"/>
                <w:sz w:val="20"/>
                <w:shd w:fill="FFFFFF" w:val="clear"/>
              </w:rPr>
              <w:t>(3)</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11,218.62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Units (each of which is the economic equivalent of one share of The Brink's Company ("BCO") common stock) credited to the Reporting Person's equity account under the Plan for Deferral of Directors' Fees (the "Plan") will settle in BCO common stock on a one-for-one basis and shall be distributed in accordance with the Reporting Person's deferral election either (1) following the Reporting Person's termination of service from the Board of Directors or (2) on a future date selected by the Reporting Person at the time of his or her deferral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has elected to receive shares of BCO common stock as part of his quarterly compensation for service on the Company's Board and Committees and has elected to defer those shares under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Units credited to the Reporting Person's equity account on the Transaction Date is based upon a share price of $100.99 which is the closing price of BCO common stock on the final trading day of the quarter, calculated in accordance with the terms of the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M. MacNally,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73985" TargetMode="External"/><Relationship Id="rId5" Type="http://schemas.openxmlformats.org/officeDocument/2006/relationships/hyperlink" Target="http://www.sec.gov/cgi-bin/browse-edgar?action=getcompany&amp;CIK=00000788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747</Words>
  <Characters>3959</Characters>
  <CharactersWithSpaces>4632</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