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77290.xml.htm"/>
      <w:bookmarkStart w:id="1" w:name="kswkform4_178587729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Button Adrian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DIVIDEND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BRINKS CO</w:t>
              </w:r>
            </w:hyperlink>
            <w:r>
              <w:rPr/>
              <w:t xml:space="preserve"> [ </w:t>
            </w:r>
            <w:r>
              <w:rPr>
                <w:rFonts w:ascii="Times;serif" w:hAnsi="Times;serif"/>
                <w:color w:val="0000FF"/>
                <w:sz w:val="24"/>
                <w:shd w:fill="FFFFFF" w:val="clear"/>
              </w:rPr>
              <w:t>BCO</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79" w:type="dxa"/>
        <w:jc w:val="left"/>
        <w:tblInd w:w="-7" w:type="dxa"/>
        <w:tblLayout w:type="fixed"/>
        <w:tblCellMar>
          <w:top w:w="60" w:type="dxa"/>
          <w:left w:w="60" w:type="dxa"/>
          <w:bottom w:w="60" w:type="dxa"/>
          <w:right w:w="60" w:type="dxa"/>
        </w:tblCellMar>
      </w:tblPr>
      <w:tblGrid>
        <w:gridCol w:w="83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18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Program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45.73</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118.45</w:t>
            </w: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Program Units (each of which is the economic equivalent of one share of The Brink's Company ("BCO") common stock) credited to the Reporting Person's stock incentive account under the terms of the Key Employees' Deferral Compensation Program (the "Program") will settle in BCO common stock on a one-for-one basis and shall be distributed in accordance with the Reporting Person's deferral election either (1) following the Reporting Person's termination of employment with BCO or (2) on a future date selected by the Reporting Person at the time of his or her deferral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Program, on the last business day of each month, compensation deferred by the Reporting Person during that month and/or any matching amounts are converted into Program Units and credited to the Reporting Person's stock incentive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Program Units credited to the Reporting Person's account on the transaction date is based upon a share price of $118.45, which is the closing price of BCO common stock on the final trading day of the month in which the deferred compensation would have been payable, calculated in accordance with the terms of the Program.</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M. MacNally,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9263" TargetMode="External"/><Relationship Id="rId5" Type="http://schemas.openxmlformats.org/officeDocument/2006/relationships/hyperlink" Target="http://www.sec.gov/cgi-bin/browse-edgar?action=getcompany&amp;CIK=00000788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761</Words>
  <Characters>4077</Characters>
  <CharactersWithSpaces>4764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