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6449.xml.htm"/>
      <w:bookmarkStart w:id="1" w:name="kswkform4_17884764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Kristen Williams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CLO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729</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107.47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9,964</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2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561"/>
        <w:gridCol w:w="276"/>
        <w:gridCol w:w="906"/>
        <w:gridCol w:w="801"/>
        <w:gridCol w:w="891"/>
        <w:gridCol w:w="636"/>
        <w:gridCol w:w="801"/>
        <w:gridCol w:w="936"/>
        <w:gridCol w:w="831"/>
        <w:gridCol w:w="846"/>
      </w:tblGrid>
      <w:tr>
        <w:trPr>
          <w:tblHeader w:val="true"/>
        </w:trPr>
        <w:tc>
          <w:tcPr>
            <w:tcW w:w="117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110.02</w:t>
            </w: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426.86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Company withheld shares of common stock to satisfy the tax withholding obligation for the Reporting Person's Restricted Stock Units ("RSUs") that vested on September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RSUs that have not yet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Program Units (each of which is the economic equivalent of one share of The Brink's Company ("BCO") common stock) credited to the Reporting Person's stock incentive account under the terms of the Key Employees' Deferred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accordance with the terms of the Program, Program Units were credited to the Reporting Person's account as a result of a dividend payment with respect to BCO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Program Units credited to the Reporting Person's account on the transaction date is based upon a share price of $110.02, which was the closing price of BCO common stock on September 1, 2026,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520"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783</Words>
  <Characters>4175</Characters>
  <CharactersWithSpaces>4874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