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Clough Ian D</w:t>
              </w:r>
            </w:hyperlink>
          </w:p>
        </w:tc>
        <w:tc>
          <w:tcPr>
            <w:tcW w:w="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BRINKS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1801 BAYBERRY COURT</w:t>
            </w:r>
          </w:p>
        </w:tc>
        <w:tc>
          <w:tcPr>
            <w:tcW w:w="14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P.O. BOX 18100</w:t>
            </w:r>
          </w:p>
        </w:tc>
        <w:tc>
          <w:tcPr>
            <w:tcW w:w="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23226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167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31,150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receive shares of The Brink's Company ("BCO" or the "Company") common stock as part of his quarterly compensation for service on the Company's Board and Committees.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3177"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2026-07-02T17:41:43Z</dcterms:created>
  <dcterms:modified xsi:type="dcterms:W3CDTF">2026-07-02T17:41:43Z</dcterms:modified>
</cp:coreProperties>
</file>