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84.xml.htm"/>
      <w:bookmarkStart w:id="1" w:name="kswkform4_17884764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Button Adrian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2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561"/>
        <w:gridCol w:w="276"/>
        <w:gridCol w:w="906"/>
        <w:gridCol w:w="801"/>
        <w:gridCol w:w="891"/>
        <w:gridCol w:w="636"/>
        <w:gridCol w:w="801"/>
        <w:gridCol w:w="936"/>
        <w:gridCol w:w="831"/>
        <w:gridCol w:w="846"/>
      </w:tblGrid>
      <w:tr>
        <w:trPr>
          <w:tblHeader w:val="true"/>
        </w:trPr>
        <w:tc>
          <w:tcPr>
            <w:tcW w:w="117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0.37</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Program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$110.02, which was the closing price of BCO common stock on September 1, 2026,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9263"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735</Words>
  <Characters>3929</Characters>
  <CharactersWithSpaces>4590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