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 xml:space="preserve">FORM 10-Q </w:t>
      </w:r>
    </w:p>
    <w:p>
      <w:pPr>
        <w:pStyle w:val="TextBody"/>
        <w:bidi w:val="0"/>
        <w:spacing w:lineRule="auto" w:line="288" w:before="0" w:after="0"/>
        <w:jc w:val="center"/>
        <w:rPr/>
      </w:pPr>
      <w:r>
        <w:rPr>
          <w:color w:val="000000"/>
        </w:rPr>
        <w:t xml:space="preserve">  ☒ </w:t>
      </w:r>
      <w:r>
        <w:rPr>
          <w:rFonts w:ascii="Times New Roman;serif" w:hAnsi="Times New Roman;serif"/>
          <w:b/>
          <w:color w:val="000000"/>
          <w:sz w:val="18"/>
        </w:rPr>
        <w:t>QUARTERLY REPORT PURSUANT TO SECTION 13 OR 15 (d)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For the quarterly period ended </w:t>
      </w:r>
      <w:r>
        <w:rPr>
          <w:rFonts w:ascii="Times New Roman;serif" w:hAnsi="Times New Roman;serif"/>
          <w:b w:val="false"/>
          <w:color w:val="000000"/>
          <w:sz w:val="18"/>
          <w:u w:val="single"/>
        </w:rPr>
        <w:t>June 30,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TRANSITION REPORT PURSUANT TO SECTION 13 OR 15 (d)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________ to ________</w:t>
      </w:r>
    </w:p>
    <w:p>
      <w:pPr>
        <w:pStyle w:val="TextBody"/>
        <w:bidi w:val="0"/>
        <w:spacing w:lineRule="auto" w:line="288" w:before="0" w:after="180"/>
        <w:jc w:val="center"/>
        <w:rPr/>
      </w:pPr>
      <w:r>
        <w:rPr>
          <w:rFonts w:ascii="Times New Roman;serif" w:hAnsi="Times New Roman;serif"/>
          <w:b w:val="false"/>
          <w:color w:val="000000"/>
          <w:sz w:val="18"/>
        </w:rPr>
        <w:t xml:space="preserve">Commission file number </w:t>
      </w:r>
      <w:r>
        <w:rPr>
          <w:rFonts w:ascii="Times New Roman;serif" w:hAnsi="Times New Roman;serif"/>
          <w:b w:val="false"/>
          <w:color w:val="000000"/>
          <w:sz w:val="18"/>
          <w:u w:val="single"/>
        </w:rPr>
        <w:t>001-09148</w:t>
      </w:r>
      <w:r>
        <w:rPr>
          <w:color w:val="000000"/>
        </w:rPr>
        <w:t xml:space="preserve"> </w:t>
      </w:r>
    </w:p>
    <w:tbl>
      <w:tblPr>
        <w:tblW w:w="4374" w:type="dxa"/>
        <w:jc w:val="left"/>
        <w:tblInd w:w="0" w:type="dxa"/>
        <w:tblLayout w:type="fixed"/>
        <w:tblCellMar>
          <w:top w:w="28" w:type="dxa"/>
          <w:left w:w="28" w:type="dxa"/>
          <w:bottom w:w="28" w:type="dxa"/>
          <w:right w:w="28" w:type="dxa"/>
        </w:tblCellMar>
      </w:tblPr>
      <w:tblGrid>
        <w:gridCol w:w="124"/>
        <w:gridCol w:w="109"/>
        <w:gridCol w:w="109"/>
        <w:gridCol w:w="1219"/>
        <w:gridCol w:w="1219"/>
        <w:gridCol w:w="12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THE BRINK’S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00" w:type="dxa"/>
        <w:jc w:val="center"/>
        <w:tblInd w:w="0" w:type="dxa"/>
        <w:tblLayout w:type="fixed"/>
        <w:tblCellMar>
          <w:top w:w="28" w:type="dxa"/>
          <w:left w:w="28" w:type="dxa"/>
          <w:bottom w:w="28" w:type="dxa"/>
          <w:right w:w="28" w:type="dxa"/>
        </w:tblCellMar>
      </w:tblPr>
      <w:tblGrid>
        <w:gridCol w:w="806"/>
        <w:gridCol w:w="709"/>
        <w:gridCol w:w="719"/>
        <w:gridCol w:w="109"/>
        <w:gridCol w:w="109"/>
        <w:gridCol w:w="109"/>
        <w:gridCol w:w="420"/>
        <w:gridCol w:w="420"/>
        <w:gridCol w:w="599"/>
      </w:tblGrid>
      <w:tr>
        <w:trPr/>
        <w:tc>
          <w:tcPr>
            <w:tcW w:w="8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54-1317776</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18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1801 Bayberry Court, Richmond, Virginia 23226-8100</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18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(804) 289-9600 </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708" w:type="dxa"/>
        <w:jc w:val="center"/>
        <w:tblInd w:w="0" w:type="dxa"/>
        <w:tblLayout w:type="fixed"/>
        <w:tblCellMar>
          <w:top w:w="28" w:type="dxa"/>
          <w:left w:w="28" w:type="dxa"/>
          <w:bottom w:w="28" w:type="dxa"/>
          <w:right w:w="28" w:type="dxa"/>
        </w:tblCellMar>
      </w:tblPr>
      <w:tblGrid>
        <w:gridCol w:w="1109"/>
        <w:gridCol w:w="968"/>
        <w:gridCol w:w="982"/>
        <w:gridCol w:w="474"/>
        <w:gridCol w:w="474"/>
        <w:gridCol w:w="476"/>
        <w:gridCol w:w="945"/>
        <w:gridCol w:w="945"/>
        <w:gridCol w:w="1335"/>
      </w:tblGrid>
      <w:tr>
        <w:trPr/>
        <w:tc>
          <w:tcPr>
            <w:tcW w:w="1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0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$1.00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BCO</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left"/>
        <w:rPr/>
      </w:pPr>
      <w:r>
        <w:rPr>
          <w:rFonts w:ascii="Times New Roman;serif" w:hAnsi="Times New Roman;serif"/>
          <w:b w:val="false"/>
          <w:color w:val="000000"/>
          <w:sz w:val="18"/>
        </w:rPr>
        <w:t>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lineRule="auto" w:line="288" w:before="0" w:after="180"/>
        <w:jc w:val="left"/>
        <w:rPr/>
      </w:pPr>
      <w:r>
        <w:rPr>
          <w:rFonts w:ascii="Times New Roman;serif" w:hAnsi="Times New Roman;serif"/>
          <w:b w:val="false"/>
          <w:color w:val="000000"/>
          <w:sz w:val="18"/>
        </w:rPr>
        <w:t>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80"/>
        <w:jc w:val="left"/>
        <w:rPr/>
      </w:pPr>
      <w:r>
        <w:rPr>
          <w:rFonts w:ascii="Times New Roman;serif" w:hAnsi="Times New Roman;serif"/>
          <w:b w:val="false"/>
          <w:color w:val="000000"/>
          <w:sz w:val="18"/>
        </w:rPr>
        <w:t>Large Accelerated Filer  </w:t>
      </w:r>
      <w:r>
        <w:rPr>
          <w:color w:val="000000"/>
        </w:rPr>
        <w:t>☒  </w:t>
      </w:r>
      <w:r>
        <w:rPr>
          <w:rFonts w:ascii="Times New Roman;serif" w:hAnsi="Times New Roman;serif"/>
          <w:b w:val="false"/>
          <w:color w:val="000000"/>
          <w:sz w:val="18"/>
        </w:rPr>
        <w:t>Accelerated Filer  </w:t>
      </w:r>
      <w:r>
        <w:rPr>
          <w:color w:val="000000"/>
        </w:rPr>
        <w:t>☐  </w:t>
      </w:r>
      <w:r>
        <w:rPr>
          <w:rFonts w:ascii="Times New Roman;serif" w:hAnsi="Times New Roman;serif"/>
          <w:b w:val="false"/>
          <w:color w:val="000000"/>
          <w:sz w:val="18"/>
        </w:rPr>
        <w:t>Non-Accelerated Filer  </w:t>
      </w:r>
      <w:r>
        <w:rPr>
          <w:color w:val="000000"/>
        </w:rPr>
        <w:t>☐  </w:t>
      </w:r>
      <w:r>
        <w:rPr>
          <w:rFonts w:ascii="Times New Roman;serif" w:hAnsi="Times New Roman;serif"/>
          <w:b w:val="false"/>
          <w:color w:val="000000"/>
          <w:sz w:val="18"/>
        </w:rPr>
        <w:t>Smaller Reporting Company  </w:t>
      </w:r>
      <w:r>
        <w:rPr>
          <w:color w:val="000000"/>
        </w:rPr>
        <w:t xml:space="preserve">☐ </w:t>
      </w: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18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p>
      <w:pPr>
        <w:pStyle w:val="TextBody"/>
        <w:bidi w:val="0"/>
        <w:spacing w:lineRule="auto" w:line="288" w:before="0" w:after="180"/>
        <w:jc w:val="left"/>
        <w:rPr/>
      </w:pPr>
      <w:r>
        <w:rPr>
          <w:rFonts w:ascii="Times New Roman;serif" w:hAnsi="Times New Roman;serif"/>
          <w:b w:val="false"/>
          <w:color w:val="000000"/>
          <w:sz w:val="18"/>
        </w:rPr>
        <w:t>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July 31, 2026, 41,189,634 shares of $1 par value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31445"/>
                <wp:effectExtent l="0" t="0" r="0" b="0"/>
                <wp:wrapNone/>
                <wp:docPr id="1" name="Frame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18"/>
        </w:rPr>
      </w:pPr>
      <w:r>
        <w:rPr>
          <w:rFonts w:ascii="Times New Roman;serif" w:hAnsi="Times New Roman;serif"/>
          <w:b/>
          <w:color w:val="000000"/>
          <w:sz w:val="18"/>
        </w:rPr>
        <w:t xml:space="preserve">THE BRINK’S COMPANY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Balance Sheets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60"/>
        <w:gridCol w:w="2299"/>
        <w:gridCol w:w="2319"/>
        <w:gridCol w:w="216"/>
        <w:gridCol w:w="762"/>
        <w:gridCol w:w="119"/>
        <w:gridCol w:w="109"/>
        <w:gridCol w:w="109"/>
        <w:gridCol w:w="109"/>
        <w:gridCol w:w="450"/>
        <w:gridCol w:w="434"/>
        <w:gridCol w:w="619"/>
      </w:tblGrid>
      <w:tr>
        <w:trPr/>
        <w:tc>
          <w:tcPr>
            <w:tcW w:w="2660"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except for per share amounts) </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7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1,725.9 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2026 - $20.3; 2025 - $20.6)</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766.0 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3,329.0 </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388.7 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and amortization: 2026 - $1,978.4; 2025 - $1,886.2)</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1,130.5 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1,515.3 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intangibles (net of accumulated amortization: 2026 - $371.8; 2025 - $368.3)</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7,339.2 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EQUITY</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1,180.2 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held for customers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2,197.9 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3,810.1 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pension costs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benefits other than pensions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6,931.9 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 (notes 4, 8 and 13)</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Brink's Company ("Brink's") shareholders: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$1 per share:</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authorized: 100.0</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issued and outstanding: 2026 - 41.2; 2025 - 41.1</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Brink’s shareholders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7,331.3 </w:t>
            </w:r>
          </w:p>
        </w:tc>
        <w:tc>
          <w:tcPr>
            <w:tcW w:w="1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7,339.2 </w:t>
            </w:r>
          </w:p>
        </w:tc>
        <w:tc>
          <w:tcPr>
            <w:tcW w:w="6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9974" w:type="dxa"/>
        <w:jc w:val="left"/>
        <w:tblInd w:w="0" w:type="dxa"/>
        <w:tblLayout w:type="fixed"/>
        <w:tblCellMar>
          <w:top w:w="28" w:type="dxa"/>
          <w:left w:w="28" w:type="dxa"/>
          <w:bottom w:w="28" w:type="dxa"/>
          <w:right w:w="28" w:type="dxa"/>
        </w:tblCellMar>
      </w:tblPr>
      <w:tblGrid>
        <w:gridCol w:w="1877"/>
        <w:gridCol w:w="1651"/>
        <w:gridCol w:w="1662"/>
        <w:gridCol w:w="196"/>
        <w:gridCol w:w="706"/>
        <w:gridCol w:w="109"/>
        <w:gridCol w:w="109"/>
        <w:gridCol w:w="109"/>
        <w:gridCol w:w="109"/>
        <w:gridCol w:w="353"/>
        <w:gridCol w:w="353"/>
        <w:gridCol w:w="156"/>
        <w:gridCol w:w="109"/>
        <w:gridCol w:w="109"/>
        <w:gridCol w:w="109"/>
        <w:gridCol w:w="196"/>
        <w:gridCol w:w="706"/>
        <w:gridCol w:w="109"/>
        <w:gridCol w:w="109"/>
        <w:gridCol w:w="109"/>
        <w:gridCol w:w="109"/>
        <w:gridCol w:w="353"/>
        <w:gridCol w:w="353"/>
        <w:gridCol w:w="213"/>
      </w:tblGrid>
      <w:tr>
        <w:trPr/>
        <w:tc>
          <w:tcPr>
            <w:tcW w:w="1877"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 share amounts)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1,300.5</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2,547.2</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253.0</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nonoperating income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tax</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101.5</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(0.2)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47.4</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101.3</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Brink’s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95.3</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Amounts attributable to Brink’s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Brink’s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95.3</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Income per share attributable to Brink’s common shareholders</w:t>
            </w:r>
            <w:r>
              <w:rPr>
                <w:rFonts w:ascii="Times New Roman;serif" w:hAnsi="Times New Roman;serif"/>
                <w:b/>
                <w:color w:val="000000"/>
                <w:sz w:val="12"/>
              </w:rPr>
              <w:t>(a)</w:t>
            </w:r>
            <w:r>
              <w:rPr>
                <w:rFonts w:ascii="Times New Roman;serif" w:hAnsi="Times New Roman;serif"/>
                <w:b/>
                <w:color w:val="000000"/>
                <w:sz w:val="18"/>
              </w:rPr>
              <w: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dividends paid per common share</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0.2550</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0.2550</w:t>
            </w:r>
            <w:r>
              <w:rPr>
                <w:color w:val="000000"/>
              </w:rPr>
              <w:t>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0.5100</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0.4975</w:t>
            </w:r>
            <w:r>
              <w:rPr>
                <w:color w:val="000000"/>
              </w:rPr>
              <w:t> </w:t>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rFonts w:ascii="Times New Roman;serif" w:hAnsi="Times New Roman;serif"/>
          <w:b w:val="false"/>
          <w:color w:val="000000"/>
          <w:sz w:val="14"/>
        </w:rPr>
      </w:pPr>
      <w:r>
        <w:rPr>
          <w:rFonts w:ascii="Times New Roman;serif" w:hAnsi="Times New Roman;serif"/>
          <w:b w:val="false"/>
          <w:color w:val="000000"/>
          <w:sz w:val="14"/>
        </w:rPr>
        <w:t>(a)   Amounts may not add due to rounding.</w:t>
      </w:r>
    </w:p>
    <w:p>
      <w:pPr>
        <w:pStyle w:val="TextBody"/>
        <w:bidi w:val="0"/>
        <w:spacing w:lineRule="auto" w:line="288" w:before="200" w:after="20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condensed consolidated financial statements.</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 (Loss)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9029" w:type="dxa"/>
        <w:jc w:val="left"/>
        <w:tblInd w:w="0" w:type="dxa"/>
        <w:tblLayout w:type="fixed"/>
        <w:tblCellMar>
          <w:top w:w="28" w:type="dxa"/>
          <w:left w:w="28" w:type="dxa"/>
          <w:bottom w:w="28" w:type="dxa"/>
          <w:right w:w="28" w:type="dxa"/>
        </w:tblCellMar>
      </w:tblPr>
      <w:tblGrid>
        <w:gridCol w:w="1747"/>
        <w:gridCol w:w="1539"/>
        <w:gridCol w:w="1543"/>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556"/>
        <w:gridCol w:w="154"/>
      </w:tblGrid>
      <w:tr>
        <w:trPr/>
        <w:tc>
          <w:tcPr>
            <w:tcW w:w="174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benefit plan adjustments: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benefit plan actuarial adjustment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benefit plan prior service adjustment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deferred profit sharing adjustment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benefit plan adjustments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foreign currency translation adjustment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on available-for-sale securities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on cash flow hedges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tax</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attributable to noncontrolling interests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Brink's</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condensed consolidated financial statements.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Equity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13"/>
        <w:gridCol w:w="586"/>
        <w:gridCol w:w="548"/>
        <w:gridCol w:w="233"/>
        <w:gridCol w:w="233"/>
        <w:gridCol w:w="186"/>
        <w:gridCol w:w="109"/>
        <w:gridCol w:w="109"/>
        <w:gridCol w:w="109"/>
        <w:gridCol w:w="196"/>
        <w:gridCol w:w="466"/>
        <w:gridCol w:w="109"/>
        <w:gridCol w:w="109"/>
        <w:gridCol w:w="109"/>
        <w:gridCol w:w="109"/>
        <w:gridCol w:w="491"/>
        <w:gridCol w:w="383"/>
        <w:gridCol w:w="385"/>
        <w:gridCol w:w="109"/>
        <w:gridCol w:w="109"/>
        <w:gridCol w:w="109"/>
        <w:gridCol w:w="278"/>
        <w:gridCol w:w="278"/>
        <w:gridCol w:w="241"/>
        <w:gridCol w:w="109"/>
        <w:gridCol w:w="109"/>
        <w:gridCol w:w="109"/>
        <w:gridCol w:w="295"/>
        <w:gridCol w:w="296"/>
        <w:gridCol w:w="181"/>
        <w:gridCol w:w="109"/>
        <w:gridCol w:w="109"/>
        <w:gridCol w:w="109"/>
        <w:gridCol w:w="390"/>
        <w:gridCol w:w="390"/>
        <w:gridCol w:w="391"/>
        <w:gridCol w:w="109"/>
        <w:gridCol w:w="109"/>
        <w:gridCol w:w="109"/>
        <w:gridCol w:w="278"/>
        <w:gridCol w:w="278"/>
        <w:gridCol w:w="218"/>
      </w:tblGrid>
      <w:tr>
        <w:trPr/>
        <w:tc>
          <w:tcPr>
            <w:tcW w:w="9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8"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2026</w:t>
            </w:r>
          </w:p>
        </w:tc>
      </w:tr>
      <w:tr>
        <w:trPr/>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 in 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632.1 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Shares repurchased</w:t>
            </w:r>
            <w:r>
              <w:rPr>
                <w:rFonts w:ascii="Times New Roman;serif" w:hAnsi="Times New Roman;serif"/>
                <w:b w:val="false"/>
                <w:color w:val="000000"/>
                <w:sz w:val="10"/>
              </w:rPr>
              <w:t>(a)</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Brink’s common shareholders ($0.2550 per share)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awards and options:</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Consideration from exercise of stock options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share-based benefit transactions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619.4 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Brink’s common shareholders ($0.2550 per share)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awards and options:</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share-based benefit transactions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627.5 </w:t>
            </w:r>
          </w:p>
        </w:tc>
        <w:tc>
          <w:tcPr>
            <w:tcW w:w="3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(657.6)</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131.9 </w:t>
            </w:r>
          </w:p>
        </w:tc>
        <w:tc>
          <w:tcPr>
            <w:tcW w:w="3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442.4 </w:t>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14"/>
        </w:rPr>
      </w:pPr>
      <w:r>
        <w:rPr>
          <w:rFonts w:ascii="Times New Roman;serif" w:hAnsi="Times New Roman;serif"/>
          <w:b w:val="false"/>
          <w:color w:val="000000"/>
          <w:sz w:val="14"/>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13"/>
        <w:gridCol w:w="586"/>
        <w:gridCol w:w="548"/>
        <w:gridCol w:w="233"/>
        <w:gridCol w:w="233"/>
        <w:gridCol w:w="186"/>
        <w:gridCol w:w="109"/>
        <w:gridCol w:w="109"/>
        <w:gridCol w:w="109"/>
        <w:gridCol w:w="196"/>
        <w:gridCol w:w="466"/>
        <w:gridCol w:w="109"/>
        <w:gridCol w:w="109"/>
        <w:gridCol w:w="109"/>
        <w:gridCol w:w="109"/>
        <w:gridCol w:w="491"/>
        <w:gridCol w:w="383"/>
        <w:gridCol w:w="385"/>
        <w:gridCol w:w="109"/>
        <w:gridCol w:w="109"/>
        <w:gridCol w:w="109"/>
        <w:gridCol w:w="278"/>
        <w:gridCol w:w="278"/>
        <w:gridCol w:w="241"/>
        <w:gridCol w:w="109"/>
        <w:gridCol w:w="109"/>
        <w:gridCol w:w="109"/>
        <w:gridCol w:w="295"/>
        <w:gridCol w:w="296"/>
        <w:gridCol w:w="181"/>
        <w:gridCol w:w="109"/>
        <w:gridCol w:w="109"/>
        <w:gridCol w:w="109"/>
        <w:gridCol w:w="390"/>
        <w:gridCol w:w="390"/>
        <w:gridCol w:w="391"/>
        <w:gridCol w:w="109"/>
        <w:gridCol w:w="109"/>
        <w:gridCol w:w="109"/>
        <w:gridCol w:w="278"/>
        <w:gridCol w:w="278"/>
        <w:gridCol w:w="218"/>
      </w:tblGrid>
      <w:tr>
        <w:trPr/>
        <w:tc>
          <w:tcPr>
            <w:tcW w:w="9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8"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 in 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660.7 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Shares repurchased</w:t>
            </w:r>
            <w:r>
              <w:rPr>
                <w:rFonts w:ascii="Times New Roman;serif" w:hAnsi="Times New Roman;serif"/>
                <w:b w:val="false"/>
                <w:color w:val="000000"/>
                <w:sz w:val="10"/>
              </w:rPr>
              <w:t>(a)</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Brink’s common shareholders ($0.2425 per share)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awards and options:</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share-based benefit transactions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Acquisitions of noncontrolling interests</w:t>
            </w:r>
            <w:r>
              <w:rPr>
                <w:rFonts w:ascii="Times New Roman;serif" w:hAnsi="Times New Roman;serif"/>
                <w:b w:val="false"/>
                <w:color w:val="000000"/>
                <w:sz w:val="10"/>
              </w:rPr>
              <w:t>(b)</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639.3 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Shares repurchased</w:t>
            </w:r>
            <w:r>
              <w:rPr>
                <w:rFonts w:ascii="Times New Roman;serif" w:hAnsi="Times New Roman;serif"/>
                <w:b w:val="false"/>
                <w:color w:val="000000"/>
                <w:sz w:val="10"/>
              </w:rPr>
              <w:t>(a)</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Brink’s common shareholders ($0.2550 per share)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awards and options:</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share-based benefit transactions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635.8 </w:t>
            </w:r>
          </w:p>
        </w:tc>
        <w:tc>
          <w:tcPr>
            <w:tcW w:w="3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(677.2)</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130.5 </w:t>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385.1 </w:t>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(a)Amounts do not agree to cash paid to repurchase shares in the condensed consolidated statements of cash flows or Note 11. The difference is due to the timing of the cash settlements for shares repurchased near the balance sheet dates plus the accrual of liabilities to pay excise taxes resulting from share repurchases.</w:t>
      </w:r>
    </w:p>
    <w:p>
      <w:pPr>
        <w:pStyle w:val="TextBody"/>
        <w:bidi w:val="0"/>
        <w:spacing w:lineRule="auto" w:line="26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(b)This amount represents the impact of transactions in which we acquired or disposed of noncontrolling ownership interests in certain companies where we had an existing controlling interest prior to and after the related acquisition or disposal transactions.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Accumulated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8675" w:type="dxa"/>
        <w:jc w:val="center"/>
        <w:tblInd w:w="0" w:type="dxa"/>
        <w:tblLayout w:type="fixed"/>
        <w:tblCellMar>
          <w:top w:w="28" w:type="dxa"/>
          <w:left w:w="28" w:type="dxa"/>
          <w:bottom w:w="28" w:type="dxa"/>
          <w:right w:w="28" w:type="dxa"/>
        </w:tblCellMar>
      </w:tblPr>
      <w:tblGrid>
        <w:gridCol w:w="2302"/>
        <w:gridCol w:w="2027"/>
        <w:gridCol w:w="2045"/>
        <w:gridCol w:w="196"/>
        <w:gridCol w:w="691"/>
        <w:gridCol w:w="109"/>
        <w:gridCol w:w="109"/>
        <w:gridCol w:w="109"/>
        <w:gridCol w:w="109"/>
        <w:gridCol w:w="380"/>
        <w:gridCol w:w="385"/>
        <w:gridCol w:w="213"/>
      </w:tblGrid>
      <w:tr>
        <w:trPr/>
        <w:tc>
          <w:tcPr>
            <w:tcW w:w="2302"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Six Months</w:t>
              <w:br/>
              <w:t>Ended June 30,</w:t>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7"/>
              </w:rPr>
            </w:pPr>
            <w:r>
              <w:rPr>
                <w:rFonts w:ascii="Times New Roman;serif" w:hAnsi="Times New Roman;serif"/>
                <w:b w:val="false"/>
                <w:i/>
                <w:color w:val="000000"/>
                <w:sz w:val="17"/>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7"/>
              </w:rPr>
            </w:pPr>
            <w:r>
              <w:rPr>
                <w:rFonts w:ascii="Times New Roman;serif" w:hAnsi="Times New Roman;serif"/>
                <w:b w:val="false"/>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7"/>
              </w:rPr>
            </w:pPr>
            <w:r>
              <w:rPr>
                <w:rFonts w:ascii="Times New Roman;serif" w:hAnsi="Times New Roman;serif"/>
                <w:b w:val="false"/>
                <w:color w:val="000000"/>
                <w:sz w:val="17"/>
              </w:rPr>
              <w:t>2025</w:t>
            </w:r>
          </w:p>
        </w:tc>
      </w:tr>
      <w:tr>
        <w:trPr/>
        <w:tc>
          <w:tcPr>
            <w:tcW w:w="6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(used in)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 net of tax</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130.5 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marketable securities, sale of property and equipment and derivatives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Impairment losses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Retirement benefit funding (more) less than expense:</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Pension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than pension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foreign currency (gains) losses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operating</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effects of acquisitions: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Increase in accounts receivable and income taxes receivable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Decrease in accounts payable, income taxes payable and accrued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(84.8)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restricted cash held for customers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Increase in customer obligations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Increase in prepaid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(110.7)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net of cash acquired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Cash proceeds from sale of property and equipment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Net change in loans held for investment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Net change in economic hedges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(157.6)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Borrowings (repayments) of debt:</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 xml:space="preserve">Long-term revolving credit facilities: </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(7,757.5)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Other long-term debt: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Repayments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(77.3)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noncontrolling interest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acquisition related settlements and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Debt financing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shares of Brink's common stock</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Dividends to:</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Shareholders of Brink’s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Noncontrolling interests in subsidiaries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Tax withholdings associated with share-based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113.6 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(Decrease) increase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Balance at beginning of period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1,840.4 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2,147.9 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1,902.1 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(Unaudited)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Note 1 -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Brink’s Company (along with its subsidiaries, “Brink’s”, the “Company”, “we”, “us” or “our”) has four operating segments: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North America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Latin America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Europe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Rest of World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unaudited interim condensed consolidated financial statements have been prepared in accordance with U.S. generally accepted accounting principles (“GAAP”) for interim financial reporting and applicable quarterly reporting regulations of the Securities and Exchange Commission (the “SEC”). Accordingly, the unaudited condensed consolidated financial statements do not include all of the information and notes required by GAAP for complete financial statements. In the opinion of management, all adjustments (consisting of normal recurring adjustments) considered necessary for a fair presentation have been included. Operating results for interim periods are not necessarily indicative of the results that may be expected for the full year. These unaudited condensed consolidated financial statements should be read in conjunction with the consolidated financial statements and notes in our Annual Report on Form 10-K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Use of Estimates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accordance with GAAP, we have made a number of estimates and assumptions relating to the reporting of assets and liabilities and the disclosure of contingent assets and liabilities to prepare these condensed consolidated financial statements. Actual results could differ materially from these estimates. The most significant estimates are related to goodwill, intangibles and other long-lived assets, pension and other retirement benefit assets and obligations, legal contingencies, allowance for doubtful accounts, deferred tax assets and purchase price allocations.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Consolidation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include our controlled subsidiaries. Control is determined based on ownership rights or, when applicable, based on whether we are considered to be the primary beneficiary of a variable interest entity. For controlled subsidiaries that are not wholly-owned, the noncontrolling interests are included in net income and in total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in businesses that we do not control, but for which we have the ability to exercise significant influence over operating and financial policies, are accounted for under the equity method and our proportionate share of income or loss is recorded in other operating income (expense). Investments in businesses for which we do not have the ability to exercise significant influence over operating and financial policies are accounted for at fair value, if readily determinable, with changes in fair value recognized in net income. For equity investments that do not have a readily determinable fair value, we measure these investments at cost minus impairment, if any, plus or minus changes from observable price changes. All intercompany accounts and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Foreign Currency Translation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condensed consolidated financial statements are reported in U.S. dollars. Our foreign subsidiaries maintain their records primarily in the currency of the country in which they operate. The method of translating local currency financial information into U.S. dollars depends on whether the economy in which our foreign subsidiary operates has been designated as highly inflationary or not. Economies with a three-year cumulative inflation rate of more than 100% are considered highly inflationary.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Assets and liabilities of foreign subsidiaries in non-highly inflationary economies are translated into U.S. dollars using rates of exchange at the balance sheet date. Translation adjustments are recorded in other comprehensive income (loss). Revenues and expenses are translated at rates of exchange in effect during the year. Transaction gains and losses are recorded in net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subsidiaries that operate in highly inflationary countries use the U.S. dollar as their functional currency. Local currency monetary assets and liabilities are remeasured into U.S. dollars using rates of exchange as of each balance sheet date, with remeasurement adjustments and other transaction gains and losses recognized in earnings. Other than nonmonetary equity securities and available-for-sale debt securities, nonmonetary assets and liabilities do not fluctuate with changes in local currency exchange rates to the dollar. For nonmonetary equity securities traded in highly inflationary economies, the fair market values of the equity securities are remeasured at the current exchange rates to determine gain or loss to be recorded in net income. For nonmonetary available-for-sale debt securities traded in highly inflationary economies, the fair market values of these debt securities are remeasured at the current exchange rates, with changes recorded in the gains (losses) on available-for-sale securities component of accumulated other comprehensive income (loss). We reclassify amounts from accumulated other comprehensive income (loss) into earnings when these debt securities are sold. Revenues and expenses are translated at rates of exchange in effect during the 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Argentina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operate in Argentina through wholly owned subsidiaries and a smaller controlled subsidiary (together, "Brink's Argentina"). Revenues from Brink's Argentina represented approximately 3% of our consolidated revenues for the first six months of 2026 and 4% of our consolidated revenues for the first six months of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operating environment in Argentina has presented business challenges in recent years driven by significant inflation and devaluation of the Argentine peso, despite modest appreciation of the currency during the first quarter of 2026. In the first six months of 2026 and 2025, the Argentine peso declined approximately 2% (from 1,451.6 to 1,483.0 pesos to the U.S. dollar) and 14% (from 1,031.0 to 1,203.6 pesos to the U.S. dollar), respectively. For the year ended December 31, 2025, the Argentine peso declined approximately 29% (from 1,031.0 to 1,451.6 pesos to the U.S. dollar).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Beginning July 1, 2018, we designated Argentina's economy as highly inflationary for accounting purposes. As a result, we consolidated Brink's Argentina using our accounting policy for subsidiaries operating in highly inflationary economies beginning with the third quarter of 2018. Argentine peso-denominated monetary assets and liabilities are remeasured at each balance sheet date using the currency exchange rate then in effect, with currency remeasurement gains and losses recognized in earnings. In the first six months of 2026, we recognized a $0.8 million pretax remeasurement loss. In the first six months of 2025, we recognized a $14.1 million pretax remeasurement loss. Argentine peso-denominated nonmonetary assets and liabilities are recorded at historical cost based on the currency exchange rate at the time the asset or liability was acquired.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 Argentina's economy remained highly inflationary for accounting purposes. At June 30, 2026, we had net monetary assets denominated in Argentine pesos of $30.7 million (including cash of $28.9 million). At June 30, 2026, we had net nonmonetary assets of $133.5 million (including $102.5 million of goodwill and $3.9 million in debt securities denominated in Argentine pesos).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At December 31, 2025, we had net monetary assets denominated in Argentine pesos of $23.4 million (including cash of $24.9 million) and net nonmonetary assets of $140.7 million (including $102.5 million of goodwill and $7.7 million in debt securities denominated in Argentine pesos).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Goodwill</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Goodwill is recognized for the excess of the purchase price over the fair value of tangible and identifiable intangible net assets of businesses acquired. We review goodwill for impairment annually, as of October 1, and whenever events or circumstances in interim periods indicate that it is more-likely-than-not that an impairment may have occurred. Impairment indicators were reviewed as of June 30, 2026 and we concluded that there were no indicators that would more-likely-than-not reduce the fair value of a reporting unit below its carrying amount. We will continue to monitor results in future periods to determine whether any indicators of impairment exist that would cause us to perform an impairment review.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Acquisition of NCR Atleos Corporation ("NCR Atleos")</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February 26, 2026, we entered into a definitive agreement to acquire NCR Atleos. The estimated purchase price consideration, on a GAAP basis, is approximately $4 billion. The transaction is expected to close in the first quarter of 2027, subject to regulatory approval and other customary closing conditions. The purchase price consideration at closing will be based primarily on the outstanding shares of NCR Atleos common stock and the market price of Brink’s common stock at the time of closing. As of June 30, 2026, we have incurred $29.2 million of transaction costs, including fees to attorneys, accountants and other professional advisors, related to the future acquisition of NCR Atleos.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New Accounting Standards</w:t>
      </w:r>
    </w:p>
    <w:p>
      <w:pPr>
        <w:pStyle w:val="TextBody"/>
        <w:bidi w:val="0"/>
        <w:spacing w:lineRule="auto" w:line="288" w:before="0" w:after="0"/>
        <w:jc w:val="left"/>
        <w:rPr/>
      </w:pPr>
      <w:r>
        <w:rPr>
          <w:rFonts w:ascii="Times New Roman;serif" w:hAnsi="Times New Roman;serif"/>
          <w:b w:val="false"/>
          <w:color w:val="000000"/>
          <w:sz w:val="18"/>
        </w:rPr>
        <w:t xml:space="preserve">In November 2024, the FASB issued ASU 2024-03, </w:t>
      </w:r>
      <w:r>
        <w:rPr>
          <w:rFonts w:ascii="Times New Roman;serif" w:hAnsi="Times New Roman;serif"/>
          <w:b w:val="false"/>
          <w:i/>
          <w:color w:val="000000"/>
          <w:sz w:val="18"/>
        </w:rPr>
        <w:t>Disaggregation of Income Statement Expenses (DISE)</w:t>
      </w:r>
      <w:r>
        <w:rPr>
          <w:rFonts w:ascii="Times New Roman;serif" w:hAnsi="Times New Roman;serif"/>
          <w:b w:val="false"/>
          <w:color w:val="000000"/>
          <w:sz w:val="18"/>
        </w:rPr>
        <w:t>, which requires disclosures about specific types of expenses included in the expense captions presented on the face of the income statement as well as disclosures about selling expenses. This ASU will be effective for annual reporting periods beginning after December 15, 2026, and interim reporting periods beginning after December 15, 2027. We are currently evaluating the impact that the adoption of this standard will have on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Note 2 - Revenue from Contracts with Customers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Performance Obligations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provide various services to meet the needs of our customers and we group these service offerings into two broad categories: (1) cash and valuables management ("CVM"); and (2) digital retail solutions ("DRS") and ATM managed services ("AMS").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Cash and Valuables Management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CVM services are provided to customers throughout the world. Cash-in-transit services include the secure transportation of cash, securities and other valuables between businesses, financial institutions and central banks. Basic ATM management services include cash replenishment, treasury management and first line maintenance. Our global services business provides secure transport of high-value commodities including diamonds, jewelry, precious metals, luxury goods, securities, banknotes, currency, high-tech devices, electronics and pharmaceuticals. Additional global services include pick-up, packaging, customs clearance, secure vault storage and inventory management. We also offer a variety of cash management services including money processing (e.g., counting, sorting, wrapping, checking condition of bills, etc.), check imaging and other cash management services (e.g., cashier balancing, counterfeit detection, account consolidation and electronic reporting). Our vaulting services combine cash-in-transit services, cash management services, vaulting and electronic reporting technologies to help banks expand into new markets while minimizing investment in vaults and branch facilities. In addition to providing secure storage, we process deposits, provide check imaging and reconciliation services, perform currency inventory management, process ATM replenishment orders and electronically transmit banking transactions. We provide other services to some of our customers, such as guarding, commercial security and payment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Digital Retail Solutions and ATM Managed Services</w:t>
      </w:r>
    </w:p>
    <w:p>
      <w:pPr>
        <w:pStyle w:val="TextBody"/>
        <w:bidi w:val="0"/>
        <w:spacing w:lineRule="auto" w:line="288" w:before="0" w:after="0"/>
        <w:jc w:val="left"/>
        <w:rPr/>
      </w:pPr>
      <w:r>
        <w:rPr>
          <w:rFonts w:ascii="Times New Roman;serif" w:hAnsi="Times New Roman;serif"/>
          <w:b w:val="false"/>
          <w:color w:val="000000"/>
          <w:sz w:val="18"/>
        </w:rPr>
        <w:t>DRS and AMS are technology enabled services provided to customers throughout the world. DRS includes services that leverage Brink’s tech-enabled sales and software platforms to simplify cash acceptance, enables merchants to access their cash without visiting a bank and provides customers with enhanced analytics and visibility. DRS includes our patented Brink’s Complete</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18"/>
        </w:rPr>
        <w:t xml:space="preserve">and CompuSafe® services. AMS provides comprehensive services beyond basic ATM services including cash forecasting, cash optimization, ATM remote monitoring, service call dispatching, transaction processing, and installation services. These services allow financial institutions, retailers and independent ATM owners to outsource day-to-day operation of ATMs. For certain customers, we take ownership of ATM devices as part of our managed services offering.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For performance obligations related to the services described above, we generally satisfy our obligations as each action to provide the service to the customer occurs. Because the customers simultaneously receive and consume the benefits from our services, these performance obligations are deemed to be satisfied over time. We use an output method, units of service provided, to recognize revenue because that is the best method to represent the transfer of our services to the customer at the agreed upon rate for each 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Although not as significant as our service offerings, we also sell goods to customers from time to time, such as safe devices. In those transactions, we satisfy our performance obligation at a point in time. We recognize revenue when the goods are delivered to the customer as that is the point in time that best represents when control has transferred to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contracts with customers describe the services we can provide along with the fees for each action to provide the service. We typically send invoices to customers for all of the services we have provided within a monthly period and payments are generally due within 30 to 60 days of the invoice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Although our customer contracts specify the fees for each action to provide service, the majority of the services stated in our contracts do not have a defined quantity over the contract term. Accordingly, the transaction price is considered variable as there is an unknown volume of services that will be rendered over the course of the contract. We recognize revenue for these services in the period in which they are provided to the customer based on the contractual rate at which we have the right to invoice the customer for each 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Some of our contracts with customers contain clauses that define the level of service that the customer will receive. The service level agreements (“SLA”) within those contracts contain specific calculations to determine whether the appropriate level of service has been met within a specific period, which is typically a month. We estimate SLA penalties and recognize the amounts as a reduction to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Taxes collected from customers and remitted to governmental authorities are not included in revenues in the condensed consolidated statements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Revenue Disaggregated by Reportable Segment and Type of Service</w:t>
      </w:r>
    </w:p>
    <w:tbl>
      <w:tblPr>
        <w:tblW w:w="7872" w:type="dxa"/>
        <w:jc w:val="center"/>
        <w:tblInd w:w="0" w:type="dxa"/>
        <w:tblLayout w:type="fixed"/>
        <w:tblCellMar>
          <w:top w:w="28" w:type="dxa"/>
          <w:left w:w="28" w:type="dxa"/>
          <w:bottom w:w="28" w:type="dxa"/>
          <w:right w:w="28" w:type="dxa"/>
        </w:tblCellMar>
      </w:tblPr>
      <w:tblGrid>
        <w:gridCol w:w="950"/>
        <w:gridCol w:w="835"/>
        <w:gridCol w:w="840"/>
        <w:gridCol w:w="485"/>
        <w:gridCol w:w="1716"/>
        <w:gridCol w:w="274"/>
        <w:gridCol w:w="109"/>
        <w:gridCol w:w="109"/>
        <w:gridCol w:w="109"/>
        <w:gridCol w:w="404"/>
        <w:gridCol w:w="404"/>
        <w:gridCol w:w="406"/>
        <w:gridCol w:w="109"/>
        <w:gridCol w:w="109"/>
        <w:gridCol w:w="109"/>
        <w:gridCol w:w="345"/>
        <w:gridCol w:w="346"/>
        <w:gridCol w:w="213"/>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Cash and Valuables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DRS and 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Three months ended June 30, 2026</w:t>
            </w:r>
          </w:p>
        </w:tc>
        <w:tc>
          <w:tcPr>
            <w:tcW w:w="2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Reportable Segments:</w:t>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972.2 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Three months ended June 30, 2025</w:t>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Reportable Segments:</w:t>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Six months ended June 30, 2026</w:t>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Reportable Segments:</w:t>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1,954.8 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812.6 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Six months ended June 30, 2025</w:t>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Reportable Segments:</w:t>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4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1,864.2 </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683.0 </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2,547.2 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Certain of our services involve the leasing of assets, such as safes, to our customers along with the regular servicing of those safe devices. Revenues related to the leasing of these assets are recognized in accordance with applicable lease guidance, but are included in the above table as the amounts are a small percentage of overall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Contract Balances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Contract Assets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Although payment terms and conditions can vary, for the majority of our customer contracts, we invoice for all of the services provided to the customer within a monthly period. For certain customer contracts, the timing of our performance may precede our right to invoice the customer for the total transaction price. For example, Brink's affiliates in certain countries, primarily in Latin America, negotiate annual price adjustments with certain customers and, once the price increases are finalized, the pricing changes are made retroactive to services provided in earlier periods. These retroactive pricing adjustments are estimated and recognized as revenue with a corresponding contract asset in the same period in which the related services are performed. As the estimate of the ultimate transaction price changes, we recognize a cumulative catch-up adjustment for the change in estimate. In our Rest of World segment, certain Brink's affiliates provide services to specific customers and, per contract, a portion of the consideration is retained by the customers until the contract is completed. The retention amounts are reported as contract assets until we have the right to bill the customer for these amounts. Certain Brink's affiliates make upfront consideration payments in order to gain customer contracts. The upfront payment amounts are reported as contract assets and are amortized as a reduction to revenues over the duration of the contracts. Contract assets expected to be billed or amortized within one year ($10.7 million at June 30, 2026) are included in prepaid expenses and other on the condensed consolidated balance sheet. Amounts not expected to be billed or amortized within one year ($15.8 million at June 30, 2026) are reported in other assets on the condensed consolidated balance sheet.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Contract Liabilities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other customer contracts, we may obtain the right to payment or receive customer payments prior to performing the related services under the contract. When the right to customer payments or receipt of payments precedes our performance, we recognize a contract liability, which is included in accrued liabilities on the condensed consolidated balance sheet.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opening and closing balances of receivables, contract assets and contract liabilities related to contracts with customers are as follows:</w:t>
      </w:r>
    </w:p>
    <w:tbl>
      <w:tblPr>
        <w:tblW w:w="6353" w:type="dxa"/>
        <w:jc w:val="center"/>
        <w:tblInd w:w="0" w:type="dxa"/>
        <w:tblLayout w:type="fixed"/>
        <w:tblCellMar>
          <w:top w:w="28" w:type="dxa"/>
          <w:left w:w="28" w:type="dxa"/>
          <w:bottom w:w="28" w:type="dxa"/>
          <w:right w:w="28" w:type="dxa"/>
        </w:tblCellMar>
      </w:tblPr>
      <w:tblGrid>
        <w:gridCol w:w="738"/>
        <w:gridCol w:w="649"/>
        <w:gridCol w:w="653"/>
        <w:gridCol w:w="215"/>
        <w:gridCol w:w="610"/>
        <w:gridCol w:w="121"/>
        <w:gridCol w:w="109"/>
        <w:gridCol w:w="109"/>
        <w:gridCol w:w="109"/>
        <w:gridCol w:w="409"/>
        <w:gridCol w:w="409"/>
        <w:gridCol w:w="411"/>
        <w:gridCol w:w="109"/>
        <w:gridCol w:w="109"/>
        <w:gridCol w:w="109"/>
        <w:gridCol w:w="434"/>
        <w:gridCol w:w="434"/>
        <w:gridCol w:w="616"/>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Contract Liabilities</w:t>
            </w:r>
          </w:p>
        </w:tc>
      </w:tr>
      <w:tr>
        <w:trPr/>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Opening (January 1, 2026)</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Closing (June 30, 2026)</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Increase (decrease)</w:t>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amount of revenue recognized in the six months ended June 30, 2026 that was included in the January 1, 2026 contract liabilities balance was $11.6 million. This revenue consists of services provided to customers who had prepaid for those services prior to the current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 recognized in the six months ended June 30, 2026 from performance obligations satisfied in the prior year was not significant. This revenue is a result of changes in the transaction price of our contracts with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Contract Costs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Sales commissions directly related to obtaining new contracts with customers are capitalized when incurred and are then amortized to expense ratably over the term of the contracts. At June 30, 2026, the net capitalized costs to obtain contracts was included in other assets on the condensed consolidated balance sheet. The capitalized amounts at June 30, 2026 and December 31, 2025 were $15.1 million and $14.3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Practical Expedients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majority of our contracts with customers, we invoice a fixed amount for each unit of service we have provided. These contracts provide us with the right to invoice for an amount or rate that corresponds to the value we have delivered to our customers. The volume of services that will be provided to customers over the term is not known at inception of these contracts. Therefore, while the rate per unit of service is known, the transaction price itself is variable. For this reason, we recognize revenue from these contracts equal to the amount for which we have the contractual right to invoice the customers. Because we are not required to estimate variable consideration related to the transaction price in order to recognize revenue, we are also not required to estimate the variable consideration to provide certain disclosures. As a result, we have elected to use the optional exemption related to the disclosure of transaction prices, amounts allocated to remaining performance obligations and the future periods in which revenue will be recognized, sometimes referred to as backlog.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also elected to use the practical expedient for financing components related to our contract liabilities. We do not recognize interest expense on contracts for which the period between our receipt of customer payments and our service to the customer is one year or less.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Note 3 - Segment information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We identify our operating segments based on how our</w:t>
      </w:r>
      <w:r>
        <w:rPr>
          <w:color w:val="000000"/>
        </w:rPr>
        <w:t> </w:t>
      </w:r>
      <w:r>
        <w:rPr>
          <w:rFonts w:ascii="Times New Roman;serif" w:hAnsi="Times New Roman;serif"/>
          <w:b w:val="false"/>
          <w:color w:val="000000"/>
          <w:sz w:val="18"/>
        </w:rPr>
        <w:t>chief operating decision maker (“CODM”) allocates resources, assesses performance and makes decisions. Our CODM is our President and Chief Executive Officer. Our CODM evaluates performance and allocates resources to each operating segment based on a profit or loss measure which, at the reportable segment level, excludes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Corporate expenses - include costs to manage the global business and perform activities required by public companies as well as other items that are considered part of the Company's operations and revenue generating activities but are not considered when the CODM evaluates segment results. Examples include corporate staff compensation, corporate headquarters costs, regional management costs, share-based compensation, and currency transaction gains and losses.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Other items not allocated to segments - include income and expenses that are not necessary to operate our business in the ordinary course and are not considered when the CODM evaluates segment results. These include non-recurring as well as certain recurring costs and gains which are not considered to be part of the Company's operations and revenue generating activities. As such, they have not been allocated to segment or Corporate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CODM uses segment operating profit to evaluate the performance of each of our reportable segments, comparing profitability to expected results as well as to the other segments, ultimately guiding resource allocation decisions including investment, capital allocation and staffing to optimize overall company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currently serve customers in more than 100 countries, including 51 countries where we operate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manage our business in the following four segments: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North America – operations in the U.S. and Canada, including the Brink’s Global Services ("BGS")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Latin America – operations in Latin American countries where we have an ownership interest, including the BGS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Europe – predominantly operations in European countries that primarily provide services outside of the BGS line of business,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Rest of World – operations in the Middle East, Africa and Asia. This segment also includes total operations in European countries that primarily provide BGS services and BGS activity in Latin American countries where we do not have an ownership interest.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Operations in certain geographies were moved from the Rest of World segment to the Europe segment, effective December 31, 2025 in order to align with management reporting. We have recast all prior periods presented to provide consistent comparability.</w:t>
      </w:r>
    </w:p>
    <w:tbl>
      <w:tblPr>
        <w:tblW w:w="9286" w:type="dxa"/>
        <w:jc w:val="left"/>
        <w:tblInd w:w="0" w:type="dxa"/>
        <w:tblLayout w:type="fixed"/>
        <w:tblCellMar>
          <w:top w:w="28" w:type="dxa"/>
          <w:left w:w="28" w:type="dxa"/>
          <w:bottom w:w="28" w:type="dxa"/>
          <w:right w:w="28" w:type="dxa"/>
        </w:tblCellMar>
      </w:tblPr>
      <w:tblGrid>
        <w:gridCol w:w="1057"/>
        <w:gridCol w:w="932"/>
        <w:gridCol w:w="935"/>
        <w:gridCol w:w="266"/>
        <w:gridCol w:w="756"/>
        <w:gridCol w:w="148"/>
        <w:gridCol w:w="109"/>
        <w:gridCol w:w="109"/>
        <w:gridCol w:w="109"/>
        <w:gridCol w:w="369"/>
        <w:gridCol w:w="369"/>
        <w:gridCol w:w="371"/>
        <w:gridCol w:w="109"/>
        <w:gridCol w:w="109"/>
        <w:gridCol w:w="109"/>
        <w:gridCol w:w="278"/>
        <w:gridCol w:w="278"/>
        <w:gridCol w:w="206"/>
        <w:gridCol w:w="109"/>
        <w:gridCol w:w="109"/>
        <w:gridCol w:w="109"/>
        <w:gridCol w:w="369"/>
        <w:gridCol w:w="369"/>
        <w:gridCol w:w="371"/>
        <w:gridCol w:w="109"/>
        <w:gridCol w:w="109"/>
        <w:gridCol w:w="109"/>
        <w:gridCol w:w="345"/>
        <w:gridCol w:w="346"/>
        <w:gridCol w:w="213"/>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2" w:type="dxa"/>
            <w:gridSpan w:val="27"/>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1,392.3 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Labor and fringe benefit costs</w:t>
            </w:r>
            <w:r>
              <w:rPr>
                <w:rFonts w:ascii="Times New Roman;serif" w:hAnsi="Times New Roman;serif"/>
                <w:b w:val="false"/>
                <w:color w:val="000000"/>
                <w:sz w:val="12"/>
              </w:rPr>
              <w:t>(a)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Other cost of revenues segment items</w:t>
            </w:r>
            <w:r>
              <w:rPr>
                <w:rFonts w:ascii="Times New Roman;serif" w:hAnsi="Times New Roman;serif"/>
                <w:b w:val="false"/>
                <w:color w:val="000000"/>
                <w:sz w:val="12"/>
              </w:rPr>
              <w:t>(b)</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Total cost of revenues</w:t>
            </w:r>
            <w:r>
              <w:rPr>
                <w:rFonts w:ascii="Times New Roman;serif" w:hAnsi="Times New Roman;serif"/>
                <w:b w:val="false"/>
                <w:color w:val="000000"/>
                <w:sz w:val="12"/>
              </w:rPr>
              <w:t>(a)</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322.7 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257.8 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283.2 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Selling, general, and administrative</w:t>
            </w:r>
            <w:r>
              <w:rPr>
                <w:rFonts w:ascii="Times New Roman;serif" w:hAnsi="Times New Roman;serif"/>
                <w:b w:val="false"/>
                <w:color w:val="000000"/>
                <w:sz w:val="12"/>
              </w:rPr>
              <w:t>(a)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9286" w:type="dxa"/>
        <w:jc w:val="left"/>
        <w:tblInd w:w="0" w:type="dxa"/>
        <w:tblLayout w:type="fixed"/>
        <w:tblCellMar>
          <w:top w:w="28" w:type="dxa"/>
          <w:left w:w="28" w:type="dxa"/>
          <w:bottom w:w="28" w:type="dxa"/>
          <w:right w:w="28" w:type="dxa"/>
        </w:tblCellMar>
      </w:tblPr>
      <w:tblGrid>
        <w:gridCol w:w="1057"/>
        <w:gridCol w:w="932"/>
        <w:gridCol w:w="935"/>
        <w:gridCol w:w="266"/>
        <w:gridCol w:w="756"/>
        <w:gridCol w:w="148"/>
        <w:gridCol w:w="109"/>
        <w:gridCol w:w="109"/>
        <w:gridCol w:w="109"/>
        <w:gridCol w:w="369"/>
        <w:gridCol w:w="369"/>
        <w:gridCol w:w="371"/>
        <w:gridCol w:w="109"/>
        <w:gridCol w:w="109"/>
        <w:gridCol w:w="109"/>
        <w:gridCol w:w="278"/>
        <w:gridCol w:w="278"/>
        <w:gridCol w:w="206"/>
        <w:gridCol w:w="109"/>
        <w:gridCol w:w="109"/>
        <w:gridCol w:w="109"/>
        <w:gridCol w:w="369"/>
        <w:gridCol w:w="369"/>
        <w:gridCol w:w="371"/>
        <w:gridCol w:w="109"/>
        <w:gridCol w:w="109"/>
        <w:gridCol w:w="109"/>
        <w:gridCol w:w="345"/>
        <w:gridCol w:w="346"/>
        <w:gridCol w:w="213"/>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2" w:type="dxa"/>
            <w:gridSpan w:val="27"/>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2025</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1,300.5 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Labor and fringe benefit costs</w:t>
            </w:r>
            <w:r>
              <w:rPr>
                <w:rFonts w:ascii="Times New Roman;serif" w:hAnsi="Times New Roman;serif"/>
                <w:b w:val="false"/>
                <w:color w:val="000000"/>
                <w:sz w:val="12"/>
              </w:rPr>
              <w:t>(a)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Other cost of revenues segment items</w:t>
            </w:r>
            <w:r>
              <w:rPr>
                <w:rFonts w:ascii="Times New Roman;serif" w:hAnsi="Times New Roman;serif"/>
                <w:b w:val="false"/>
                <w:color w:val="000000"/>
                <w:sz w:val="12"/>
              </w:rPr>
              <w:t>(b)</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Total cost of revenues</w:t>
            </w:r>
            <w:r>
              <w:rPr>
                <w:rFonts w:ascii="Times New Roman;serif" w:hAnsi="Times New Roman;serif"/>
                <w:b w:val="false"/>
                <w:color w:val="000000"/>
                <w:sz w:val="12"/>
              </w:rPr>
              <w:t>(a)</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315.0 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234.0 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Selling, general, and administrative</w:t>
            </w:r>
            <w:r>
              <w:rPr>
                <w:rFonts w:ascii="Times New Roman;serif" w:hAnsi="Times New Roman;serif"/>
                <w:b w:val="false"/>
                <w:color w:val="000000"/>
                <w:sz w:val="12"/>
              </w:rPr>
              <w:t>(a)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left"/>
        <w:rPr/>
      </w:pPr>
      <w:r>
        <w:rPr/>
      </w:r>
    </w:p>
    <w:tbl>
      <w:tblPr>
        <w:tblW w:w="9286" w:type="dxa"/>
        <w:jc w:val="left"/>
        <w:tblInd w:w="0" w:type="dxa"/>
        <w:tblLayout w:type="fixed"/>
        <w:tblCellMar>
          <w:top w:w="28" w:type="dxa"/>
          <w:left w:w="28" w:type="dxa"/>
          <w:bottom w:w="28" w:type="dxa"/>
          <w:right w:w="28" w:type="dxa"/>
        </w:tblCellMar>
      </w:tblPr>
      <w:tblGrid>
        <w:gridCol w:w="1057"/>
        <w:gridCol w:w="932"/>
        <w:gridCol w:w="935"/>
        <w:gridCol w:w="266"/>
        <w:gridCol w:w="756"/>
        <w:gridCol w:w="148"/>
        <w:gridCol w:w="109"/>
        <w:gridCol w:w="109"/>
        <w:gridCol w:w="109"/>
        <w:gridCol w:w="369"/>
        <w:gridCol w:w="369"/>
        <w:gridCol w:w="371"/>
        <w:gridCol w:w="109"/>
        <w:gridCol w:w="109"/>
        <w:gridCol w:w="109"/>
        <w:gridCol w:w="278"/>
        <w:gridCol w:w="278"/>
        <w:gridCol w:w="206"/>
        <w:gridCol w:w="109"/>
        <w:gridCol w:w="109"/>
        <w:gridCol w:w="109"/>
        <w:gridCol w:w="369"/>
        <w:gridCol w:w="369"/>
        <w:gridCol w:w="371"/>
        <w:gridCol w:w="109"/>
        <w:gridCol w:w="109"/>
        <w:gridCol w:w="109"/>
        <w:gridCol w:w="345"/>
        <w:gridCol w:w="346"/>
        <w:gridCol w:w="213"/>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2" w:type="dxa"/>
            <w:gridSpan w:val="27"/>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2,767.4 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Labor and fringe benefit costs</w:t>
            </w:r>
            <w:r>
              <w:rPr>
                <w:rFonts w:ascii="Times New Roman;serif" w:hAnsi="Times New Roman;serif"/>
                <w:b w:val="false"/>
                <w:color w:val="000000"/>
                <w:sz w:val="12"/>
              </w:rPr>
              <w:t>(a)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293.9 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313.0 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Other cost of revenues segment items</w:t>
            </w:r>
            <w:r>
              <w:rPr>
                <w:rFonts w:ascii="Times New Roman;serif" w:hAnsi="Times New Roman;serif"/>
                <w:b w:val="false"/>
                <w:color w:val="000000"/>
                <w:sz w:val="12"/>
              </w:rPr>
              <w:t>(b)</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Total cost of revenues</w:t>
            </w:r>
            <w:r>
              <w:rPr>
                <w:rFonts w:ascii="Times New Roman;serif" w:hAnsi="Times New Roman;serif"/>
                <w:b w:val="false"/>
                <w:color w:val="000000"/>
                <w:sz w:val="12"/>
              </w:rPr>
              <w:t>(a)</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640.7 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511.5 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567.2 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298.4 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Selling, general, and administrative</w:t>
            </w:r>
            <w:r>
              <w:rPr>
                <w:rFonts w:ascii="Times New Roman;serif" w:hAnsi="Times New Roman;serif"/>
                <w:b w:val="false"/>
                <w:color w:val="000000"/>
                <w:sz w:val="12"/>
              </w:rPr>
              <w:t>(a)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117.9 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446.8 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286" w:type="dxa"/>
        <w:jc w:val="left"/>
        <w:tblInd w:w="0" w:type="dxa"/>
        <w:tblLayout w:type="fixed"/>
        <w:tblCellMar>
          <w:top w:w="28" w:type="dxa"/>
          <w:left w:w="28" w:type="dxa"/>
          <w:bottom w:w="28" w:type="dxa"/>
          <w:right w:w="28" w:type="dxa"/>
        </w:tblCellMar>
      </w:tblPr>
      <w:tblGrid>
        <w:gridCol w:w="1057"/>
        <w:gridCol w:w="932"/>
        <w:gridCol w:w="935"/>
        <w:gridCol w:w="266"/>
        <w:gridCol w:w="756"/>
        <w:gridCol w:w="148"/>
        <w:gridCol w:w="109"/>
        <w:gridCol w:w="109"/>
        <w:gridCol w:w="109"/>
        <w:gridCol w:w="369"/>
        <w:gridCol w:w="369"/>
        <w:gridCol w:w="371"/>
        <w:gridCol w:w="109"/>
        <w:gridCol w:w="109"/>
        <w:gridCol w:w="109"/>
        <w:gridCol w:w="278"/>
        <w:gridCol w:w="278"/>
        <w:gridCol w:w="206"/>
        <w:gridCol w:w="109"/>
        <w:gridCol w:w="109"/>
        <w:gridCol w:w="109"/>
        <w:gridCol w:w="369"/>
        <w:gridCol w:w="369"/>
        <w:gridCol w:w="371"/>
        <w:gridCol w:w="109"/>
        <w:gridCol w:w="109"/>
        <w:gridCol w:w="109"/>
        <w:gridCol w:w="345"/>
        <w:gridCol w:w="346"/>
        <w:gridCol w:w="213"/>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2" w:type="dxa"/>
            <w:gridSpan w:val="27"/>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2,547.2 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Labor and fringe benefit costs</w:t>
            </w:r>
            <w:r>
              <w:rPr>
                <w:rFonts w:ascii="Times New Roman;serif" w:hAnsi="Times New Roman;serif"/>
                <w:b w:val="false"/>
                <w:color w:val="000000"/>
                <w:sz w:val="12"/>
              </w:rPr>
              <w:t>(a)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307.6 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Other cost of revenues segment items</w:t>
            </w:r>
            <w:r>
              <w:rPr>
                <w:rFonts w:ascii="Times New Roman;serif" w:hAnsi="Times New Roman;serif"/>
                <w:b w:val="false"/>
                <w:color w:val="000000"/>
                <w:sz w:val="12"/>
              </w:rPr>
              <w:t>(b)</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171.7 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Total cost of revenues</w:t>
            </w:r>
            <w:r>
              <w:rPr>
                <w:rFonts w:ascii="Times New Roman;serif" w:hAnsi="Times New Roman;serif"/>
                <w:b w:val="false"/>
                <w:color w:val="000000"/>
                <w:sz w:val="12"/>
              </w:rPr>
              <w:t>(a)</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624.9 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457.9 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528.6 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18"/>
              </w:rPr>
              <w:t>Selling, general, and administrative</w:t>
            </w:r>
            <w:r>
              <w:rPr>
                <w:rFonts w:ascii="Times New Roman;serif" w:hAnsi="Times New Roman;serif"/>
                <w:b w:val="false"/>
                <w:color w:val="000000"/>
                <w:sz w:val="12"/>
              </w:rPr>
              <w:t>(a)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380.3 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(a)The significant expense categories and amounts align with the segment-level information that is regularly provided to the CODM. Selling, general and administrative expenses include insignificant amounts reported within other operating income (expense) in the condensed consolidated statements of operations.</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(b)Other cost of revenues segment items for each reportable segment include primarily vehicle expenses, freight, equipment costs, building expense, and office and administrative expenses.</w:t>
      </w:r>
    </w:p>
    <w:p>
      <w:pPr>
        <w:pStyle w:val="TextBody"/>
        <w:bidi w:val="0"/>
        <w:spacing w:before="0" w:after="0"/>
        <w:jc w:val="left"/>
        <w:rPr/>
      </w:pPr>
      <w:r>
        <w:rPr/>
      </w:r>
    </w:p>
    <w:tbl>
      <w:tblPr>
        <w:tblW w:w="9106" w:type="dxa"/>
        <w:jc w:val="left"/>
        <w:tblInd w:w="0" w:type="dxa"/>
        <w:tblLayout w:type="fixed"/>
        <w:tblCellMar>
          <w:top w:w="28" w:type="dxa"/>
          <w:left w:w="28" w:type="dxa"/>
          <w:bottom w:w="28" w:type="dxa"/>
          <w:right w:w="28" w:type="dxa"/>
        </w:tblCellMar>
      </w:tblPr>
      <w:tblGrid>
        <w:gridCol w:w="1417"/>
        <w:gridCol w:w="1246"/>
        <w:gridCol w:w="1251"/>
        <w:gridCol w:w="291"/>
        <w:gridCol w:w="826"/>
        <w:gridCol w:w="161"/>
        <w:gridCol w:w="161"/>
        <w:gridCol w:w="161"/>
        <w:gridCol w:w="161"/>
        <w:gridCol w:w="278"/>
        <w:gridCol w:w="278"/>
        <w:gridCol w:w="161"/>
        <w:gridCol w:w="109"/>
        <w:gridCol w:w="109"/>
        <w:gridCol w:w="109"/>
        <w:gridCol w:w="267"/>
        <w:gridCol w:w="759"/>
        <w:gridCol w:w="148"/>
        <w:gridCol w:w="148"/>
        <w:gridCol w:w="148"/>
        <w:gridCol w:w="148"/>
        <w:gridCol w:w="278"/>
        <w:gridCol w:w="278"/>
        <w:gridCol w:w="213"/>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380.3 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Reconciling Items:</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expenses: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 expenses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(89.5)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gains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items not allocated to segments:</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Reorganization and restructuring</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Acquisitions and dispositions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Argentina highly inflationary impact</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NCR Atleos acquisition and transformation initiatives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Non-routine legal matters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DOJ/FinCEN investigations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Chile antitrust matter</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243.5 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Other Items not Allocated to Segments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Reorganization and restructuring </w:t>
      </w:r>
      <w:r>
        <w:rPr>
          <w:rFonts w:ascii="Times New Roman;serif" w:hAnsi="Times New Roman;serif"/>
          <w:b w:val="false"/>
          <w:color w:val="000000"/>
          <w:sz w:val="18"/>
        </w:rPr>
        <w:t xml:space="preserve">Costs associated with certain reorganization and restructuring actions were excluded from reported non-GAAP results. These items included primarily severance charges and asset impairment losses. These costs related to global restructuring initiatives, completed in prior years.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i/>
          <w:color w:val="000000"/>
          <w:sz w:val="18"/>
        </w:rPr>
        <w:t xml:space="preserve">Acquisitions and dispositions </w:t>
      </w:r>
      <w:r>
        <w:rPr>
          <w:rFonts w:ascii="Times New Roman;serif" w:hAnsi="Times New Roman;serif"/>
          <w:b w:val="false"/>
          <w:color w:val="000000"/>
          <w:sz w:val="18"/>
        </w:rPr>
        <w:t xml:space="preserve">These items include non-cash amortization expense for acquisition-related intangible assets, as well as integration, transaction, restructuring and certain compensation costs.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Argentina highly inflationary impact </w:t>
      </w:r>
      <w:r>
        <w:rPr>
          <w:rFonts w:ascii="Times New Roman;serif" w:hAnsi="Times New Roman;serif"/>
          <w:b w:val="false"/>
          <w:color w:val="000000"/>
          <w:sz w:val="18"/>
        </w:rPr>
        <w:t>Beginning in the third quarter of 2018, we designated Argentina's economy as highly inflationary for accounting purposes. As a result, Argentine peso-denominated monetary assets and liabilities are now remeasured at each balance sheet date to the currency exchange rate then in effect, with currency remeasurement gains and losses recognized in earnings. In addition, nonmonetary assets retain a higher historical basis when the currency is devalued. The higher historical basis results in incremental expense being recognized when the nonmonetary assets are consumed.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i/>
          <w:color w:val="000000"/>
          <w:sz w:val="18"/>
        </w:rPr>
        <w:t xml:space="preserve">NCR Atleos acquisition and transformation initiatives </w:t>
      </w:r>
      <w:r>
        <w:rPr>
          <w:rFonts w:ascii="Times New Roman;serif" w:hAnsi="Times New Roman;serif"/>
          <w:b w:val="false"/>
          <w:color w:val="000000"/>
          <w:sz w:val="18"/>
        </w:rPr>
        <w:t xml:space="preserve">On February 26, 2026, we entered into a definitive agreement to acquire NCR Atleos. The transaction is expected to close in the first quarter of 2027, subject to regulatory approval and other customary closing conditions. This acquisition represents a significant strategic step for Brink’s, expanding the scale of the combined company and supporting continued growth in our AMS and DRS offerings, which reflect an increasing portion of our business mix.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During 2023, we initiated a multi-year program intended to accelerate growth and drive margin expansion through transformation of our business model. The program is designed to help us standardize and streamline our commercial and operational systems and processes, as well as back-office functions, including finance and information technology. The efforts will drive continuous improvement and achieve operational excellence. These costs relate to discrete initiatives.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i/>
          <w:color w:val="000000"/>
          <w:sz w:val="18"/>
        </w:rPr>
        <w:t xml:space="preserve">Non-routine legal matters </w:t>
      </w:r>
      <w:r>
        <w:rPr>
          <w:rFonts w:ascii="Times New Roman;serif" w:hAnsi="Times New Roman;serif"/>
          <w:b w:val="false"/>
          <w:color w:val="000000"/>
          <w:sz w:val="18"/>
        </w:rPr>
        <w:t>In the first six months of 2026, we recognized $2.9 million of probable losses and related legal costs in connection with non-routine legal matters. These costs relate to fact-specific matters that management does not believe are indicative of the Company's underlying operational performance for the period.</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t>
      </w:r>
    </w:p>
    <w:p>
      <w:pPr>
        <w:pStyle w:val="TextBody"/>
        <w:bidi w:val="0"/>
        <w:spacing w:lineRule="auto" w:line="288" w:before="0" w:after="0"/>
        <w:jc w:val="left"/>
        <w:rPr/>
      </w:pPr>
      <w:r>
        <w:rPr>
          <w:rFonts w:ascii="Times New Roman;serif" w:hAnsi="Times New Roman;serif"/>
          <w:b/>
          <w:i/>
          <w:color w:val="000000"/>
          <w:sz w:val="18"/>
        </w:rPr>
        <w:t xml:space="preserve">DOJ/FinCEN investigations </w:t>
      </w:r>
      <w:r>
        <w:rPr>
          <w:rFonts w:ascii="Times New Roman;serif" w:hAnsi="Times New Roman;serif"/>
          <w:b w:val="false"/>
          <w:color w:val="000000"/>
          <w:sz w:val="18"/>
        </w:rPr>
        <w:t xml:space="preserve">In 2024, we recorded a charge for a probable loss in connection with U.S. Department of Justice ("DOJ") and U.S. Department of the Treasury's Financial Crimes Enforcement Network ("FinCEN") investigations. Additionally, we have incurred third-party costs, primarily legal costs associated with these matters, including upfront expenses that are directly attributable to establishing compliance programs. In the first quarter of 2025, we reached resolutions with both the DOJ and FinCEN.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Chile antitrust matter</w:t>
      </w:r>
      <w:r>
        <w:rPr>
          <w:color w:val="000000"/>
        </w:rPr>
        <w:t xml:space="preserve"> </w:t>
      </w:r>
      <w:r>
        <w:rPr>
          <w:rFonts w:ascii="Times New Roman;serif" w:hAnsi="Times New Roman;serif"/>
          <w:b w:val="false"/>
          <w:color w:val="000000"/>
          <w:sz w:val="18"/>
        </w:rPr>
        <w:t>We have recorded charges for a contingent loss associated with an investigation initiated by the Chilean Fiscalía Nacional Económica or "FNE" (the Chilean antitrust agency). The investigation is related to potential anti-competitive practices among competitors in the cash logistics industry in Chile. Additionally, we have incurred third-party costs, primarily legal costs, associated with this matter. See Note 13 for details.</w:t>
      </w:r>
    </w:p>
    <w:p>
      <w:pPr>
        <w:pStyle w:val="TextBody"/>
        <w:bidi w:val="0"/>
        <w:spacing w:before="0" w:after="0"/>
        <w:jc w:val="left"/>
        <w:rPr/>
      </w:pPr>
      <w:r>
        <w:rPr/>
      </w:r>
    </w:p>
    <w:tbl>
      <w:tblPr>
        <w:tblW w:w="5985" w:type="dxa"/>
        <w:jc w:val="left"/>
        <w:tblInd w:w="0" w:type="dxa"/>
        <w:tblLayout w:type="fixed"/>
        <w:tblCellMar>
          <w:top w:w="28" w:type="dxa"/>
          <w:left w:w="28" w:type="dxa"/>
          <w:bottom w:w="28" w:type="dxa"/>
          <w:right w:w="28" w:type="dxa"/>
        </w:tblCellMar>
      </w:tblPr>
      <w:tblGrid>
        <w:gridCol w:w="1307"/>
        <w:gridCol w:w="1151"/>
        <w:gridCol w:w="1157"/>
        <w:gridCol w:w="284"/>
        <w:gridCol w:w="675"/>
        <w:gridCol w:w="158"/>
        <w:gridCol w:w="158"/>
        <w:gridCol w:w="158"/>
        <w:gridCol w:w="158"/>
        <w:gridCol w:w="278"/>
        <w:gridCol w:w="278"/>
        <w:gridCol w:w="223"/>
      </w:tblGrid>
      <w:tr>
        <w:trPr/>
        <w:tc>
          <w:tcPr>
            <w:tcW w:w="130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 by Reportable Segment</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items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left"/>
        <w:rPr/>
      </w:pPr>
      <w:r>
        <w:rPr/>
      </w:r>
    </w:p>
    <w:tbl>
      <w:tblPr>
        <w:tblW w:w="9509" w:type="dxa"/>
        <w:jc w:val="left"/>
        <w:tblInd w:w="0" w:type="dxa"/>
        <w:tblLayout w:type="fixed"/>
        <w:tblCellMar>
          <w:top w:w="28" w:type="dxa"/>
          <w:left w:w="28" w:type="dxa"/>
          <w:bottom w:w="28" w:type="dxa"/>
          <w:right w:w="28" w:type="dxa"/>
        </w:tblCellMar>
      </w:tblPr>
      <w:tblGrid>
        <w:gridCol w:w="1571"/>
        <w:gridCol w:w="1384"/>
        <w:gridCol w:w="1395"/>
        <w:gridCol w:w="309"/>
        <w:gridCol w:w="736"/>
        <w:gridCol w:w="172"/>
        <w:gridCol w:w="172"/>
        <w:gridCol w:w="172"/>
        <w:gridCol w:w="172"/>
        <w:gridCol w:w="269"/>
        <w:gridCol w:w="271"/>
        <w:gridCol w:w="172"/>
        <w:gridCol w:w="109"/>
        <w:gridCol w:w="109"/>
        <w:gridCol w:w="109"/>
        <w:gridCol w:w="267"/>
        <w:gridCol w:w="759"/>
        <w:gridCol w:w="148"/>
        <w:gridCol w:w="148"/>
        <w:gridCol w:w="148"/>
        <w:gridCol w:w="148"/>
        <w:gridCol w:w="278"/>
        <w:gridCol w:w="278"/>
        <w:gridCol w:w="213"/>
      </w:tblGrid>
      <w:tr>
        <w:trPr/>
        <w:tc>
          <w:tcPr>
            <w:tcW w:w="157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4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 by Reportable Segment</w:t>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items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Argentina highly inflationary impact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 of intangible assets</w:t>
            </w:r>
            <w:r>
              <w:rPr>
                <w:rFonts w:ascii="Times New Roman;serif" w:hAnsi="Times New Roman;serif"/>
                <w:b w:val="false"/>
                <w:color w:val="000000"/>
                <w:sz w:val="12"/>
              </w:rPr>
              <w:t>(a)</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(a)Amortization of acquisition-related intangible assets has been excluded from reportable segment amounts.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815" w:type="dxa"/>
        <w:jc w:val="left"/>
        <w:tblInd w:w="0" w:type="dxa"/>
        <w:tblLayout w:type="fixed"/>
        <w:tblCellMar>
          <w:top w:w="28" w:type="dxa"/>
          <w:left w:w="28" w:type="dxa"/>
          <w:bottom w:w="28" w:type="dxa"/>
          <w:right w:w="28" w:type="dxa"/>
        </w:tblCellMar>
      </w:tblPr>
      <w:tblGrid>
        <w:gridCol w:w="1026"/>
        <w:gridCol w:w="902"/>
        <w:gridCol w:w="907"/>
        <w:gridCol w:w="218"/>
        <w:gridCol w:w="770"/>
        <w:gridCol w:w="121"/>
        <w:gridCol w:w="109"/>
        <w:gridCol w:w="109"/>
        <w:gridCol w:w="109"/>
        <w:gridCol w:w="452"/>
        <w:gridCol w:w="452"/>
        <w:gridCol w:w="640"/>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 held by Reportable Segment</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6,908.1 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items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7,331.3 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7,339.2 </w:t>
            </w:r>
          </w:p>
        </w:tc>
        <w:tc>
          <w:tcPr>
            <w:tcW w:w="6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Note 4 - Retirement benefits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rPr>
        <w:t>Defined-benefit</w:t>
      </w:r>
      <w:r>
        <w:rPr>
          <w:color w:val="000000"/>
        </w:rPr>
        <w:t xml:space="preserve"> </w:t>
      </w:r>
      <w:r>
        <w:rPr>
          <w:rFonts w:ascii="Times New Roman;serif" w:hAnsi="Times New Roman;serif"/>
          <w:b/>
          <w:i/>
          <w:color w:val="000000"/>
          <w:sz w:val="18"/>
        </w:rPr>
        <w:t>Pension Plans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various defined-benefit pension plans covering eligible current and former employees. Benefits under most plans are based on salary and years of service. There are limits to the amount of benefits which can be paid to participants from a U.S. qualified pension plan. We maintain a nonqualified U.S. plan to pay benefits for those eligible current and former employees in the U.S. whose benefits exceed the regulatory limits. Pension benefits provided to eligible U.S. employees were frozen on December 31, 2005.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components of net periodic pension cost (credit) for our pension plans were as follows:</w:t>
      </w:r>
    </w:p>
    <w:tbl>
      <w:tblPr>
        <w:tblW w:w="8972" w:type="dxa"/>
        <w:jc w:val="left"/>
        <w:tblInd w:w="0" w:type="dxa"/>
        <w:tblLayout w:type="fixed"/>
        <w:tblCellMar>
          <w:top w:w="28" w:type="dxa"/>
          <w:left w:w="28" w:type="dxa"/>
          <w:bottom w:w="28" w:type="dxa"/>
          <w:right w:w="28" w:type="dxa"/>
        </w:tblCellMar>
      </w:tblPr>
      <w:tblGrid>
        <w:gridCol w:w="1145"/>
        <w:gridCol w:w="1008"/>
        <w:gridCol w:w="1012"/>
        <w:gridCol w:w="196"/>
        <w:gridCol w:w="406"/>
        <w:gridCol w:w="109"/>
        <w:gridCol w:w="109"/>
        <w:gridCol w:w="109"/>
        <w:gridCol w:w="109"/>
        <w:gridCol w:w="269"/>
        <w:gridCol w:w="271"/>
        <w:gridCol w:w="156"/>
        <w:gridCol w:w="109"/>
        <w:gridCol w:w="109"/>
        <w:gridCol w:w="109"/>
        <w:gridCol w:w="241"/>
        <w:gridCol w:w="226"/>
        <w:gridCol w:w="156"/>
        <w:gridCol w:w="138"/>
        <w:gridCol w:w="138"/>
        <w:gridCol w:w="138"/>
        <w:gridCol w:w="224"/>
        <w:gridCol w:w="226"/>
        <w:gridCol w:w="156"/>
        <w:gridCol w:w="109"/>
        <w:gridCol w:w="109"/>
        <w:gridCol w:w="109"/>
        <w:gridCol w:w="269"/>
        <w:gridCol w:w="271"/>
        <w:gridCol w:w="156"/>
        <w:gridCol w:w="109"/>
        <w:gridCol w:w="109"/>
        <w:gridCol w:w="109"/>
        <w:gridCol w:w="269"/>
        <w:gridCol w:w="271"/>
        <w:gridCol w:w="213"/>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Three months ended June 30,</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 on projected benefit obligation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assets – expected</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losses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loss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periodic pension cost (credit)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Six months ended June 30,</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 on projected benefit obligation</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assets – expected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losses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cost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loss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periodic pension cost (credit)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components of net periodic pension cost (credit) other than the service cost component are included in interest and other nonoperating income (expense)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did not make cash contributions to the primary U.S. pension plan in 2025 or the first six months of 2026. Based on current assumptions described in our Annual Report on Form 10-K for the year ended December 31, 2025, we do not expect to make contributions to the primary U.S. pension plan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Retirement benefits other than pensions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provide retirement healthcare benefits for eligible current and former U.S., Canadian, and Brazilian employees. Retirement benefits related to our former U.S. coal operations include medical benefits provided by the Pittston Coal Group Companies Employee Benefit Plan for United Mine Workers of America Represented Employees (the “UMWA plans”) as well as obligations for paying lifetime black lung benefits to miners and their dependents for claims under the Federal Black Lung Benefits Act of 1972.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components of net periodic postretirement cost (credit) related to retirement benefits other than pensions were as follows:</w:t>
      </w:r>
    </w:p>
    <w:tbl>
      <w:tblPr>
        <w:tblW w:w="10205" w:type="dxa"/>
        <w:jc w:val="left"/>
        <w:tblInd w:w="0" w:type="dxa"/>
        <w:tblLayout w:type="fixed"/>
        <w:tblCellMar>
          <w:top w:w="28" w:type="dxa"/>
          <w:left w:w="28" w:type="dxa"/>
          <w:bottom w:w="28" w:type="dxa"/>
          <w:right w:w="28" w:type="dxa"/>
        </w:tblCellMar>
      </w:tblPr>
      <w:tblGrid>
        <w:gridCol w:w="1553"/>
        <w:gridCol w:w="1335"/>
        <w:gridCol w:w="1341"/>
        <w:gridCol w:w="196"/>
        <w:gridCol w:w="447"/>
        <w:gridCol w:w="109"/>
        <w:gridCol w:w="109"/>
        <w:gridCol w:w="109"/>
        <w:gridCol w:w="109"/>
        <w:gridCol w:w="223"/>
        <w:gridCol w:w="223"/>
        <w:gridCol w:w="156"/>
        <w:gridCol w:w="109"/>
        <w:gridCol w:w="109"/>
        <w:gridCol w:w="109"/>
        <w:gridCol w:w="235"/>
        <w:gridCol w:w="229"/>
        <w:gridCol w:w="224"/>
        <w:gridCol w:w="224"/>
        <w:gridCol w:w="224"/>
        <w:gridCol w:w="224"/>
        <w:gridCol w:w="235"/>
        <w:gridCol w:w="229"/>
        <w:gridCol w:w="224"/>
        <w:gridCol w:w="109"/>
        <w:gridCol w:w="109"/>
        <w:gridCol w:w="109"/>
        <w:gridCol w:w="223"/>
        <w:gridCol w:w="223"/>
        <w:gridCol w:w="156"/>
        <w:gridCol w:w="109"/>
        <w:gridCol w:w="109"/>
        <w:gridCol w:w="109"/>
        <w:gridCol w:w="221"/>
        <w:gridCol w:w="223"/>
        <w:gridCol w:w="220"/>
      </w:tblGrid>
      <w:tr>
        <w:trPr/>
        <w:tc>
          <w:tcPr>
            <w:tcW w:w="155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UMWA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Black Lung and Other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Three months ended June 30,</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 on accumulated postretirement benefit obligations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assets – expected</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losses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cost (credit)</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periodic postretirement cost (credit)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Six months ended June 30,</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 on accumulated postretirement benefit obligations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assets – expected</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losses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cost (credit)</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periodic postretirement cost (credit)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The components of net periodic postretirement cost (credit) other than the service cost component are included in interest and other nonoperating income (expense) in the condensed consolidated statements of operations.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Note 5 - Income taxes </w:t>
      </w:r>
    </w:p>
    <w:tbl>
      <w:tblPr>
        <w:tblW w:w="8099" w:type="dxa"/>
        <w:jc w:val="left"/>
        <w:tblInd w:w="0" w:type="dxa"/>
        <w:tblLayout w:type="fixed"/>
        <w:tblCellMar>
          <w:top w:w="28" w:type="dxa"/>
          <w:left w:w="28" w:type="dxa"/>
          <w:bottom w:w="28" w:type="dxa"/>
          <w:right w:w="28" w:type="dxa"/>
        </w:tblCellMar>
      </w:tblPr>
      <w:tblGrid>
        <w:gridCol w:w="1090"/>
        <w:gridCol w:w="958"/>
        <w:gridCol w:w="967"/>
        <w:gridCol w:w="256"/>
        <w:gridCol w:w="610"/>
        <w:gridCol w:w="335"/>
        <w:gridCol w:w="142"/>
        <w:gridCol w:w="142"/>
        <w:gridCol w:w="142"/>
        <w:gridCol w:w="233"/>
        <w:gridCol w:w="233"/>
        <w:gridCol w:w="335"/>
        <w:gridCol w:w="109"/>
        <w:gridCol w:w="109"/>
        <w:gridCol w:w="109"/>
        <w:gridCol w:w="236"/>
        <w:gridCol w:w="562"/>
        <w:gridCol w:w="309"/>
        <w:gridCol w:w="131"/>
        <w:gridCol w:w="131"/>
        <w:gridCol w:w="131"/>
        <w:gridCol w:w="233"/>
        <w:gridCol w:w="233"/>
        <w:gridCol w:w="363"/>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except for effective tax rate) </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Continuing operations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33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33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30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36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2026 Effective Income Tax Rate Compared to U.S. Statutory Rate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effective income tax rate on continuing operations in the first six months of 2026 was greater than the 21% U.S. statutory rate due to the geographical mix of earnings, the seasonality of book losses for which no tax benefit can be recorded, nondeductible expenses in Mexico, taxes on cross border payments and U.S. taxable income and credit limitations.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2025 Effective Income Tax Rate Compared to U.S. Statutory Rate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effective income tax rate on continuing operations in the first six months of 2025 was greater than the 21% U.S. statutory rate due to the geographical mix of earnings, the seasonality of book losses for which no tax benefit can be recorded, nondeductible expenses in Mexico, taxes on cross border payments and U.S. taxable income and credit limitations.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Note 6 - Accumulated other comprehensive income (loss)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including the amounts reclassified from accumulated other comprehensive income (loss) into earnings, was as follows:</w:t>
      </w:r>
    </w:p>
    <w:tbl>
      <w:tblPr>
        <w:tblW w:w="9511" w:type="dxa"/>
        <w:jc w:val="left"/>
        <w:tblInd w:w="0" w:type="dxa"/>
        <w:tblLayout w:type="fixed"/>
        <w:tblCellMar>
          <w:top w:w="28" w:type="dxa"/>
          <w:left w:w="28" w:type="dxa"/>
          <w:bottom w:w="28" w:type="dxa"/>
          <w:right w:w="28" w:type="dxa"/>
        </w:tblCellMar>
      </w:tblPr>
      <w:tblGrid>
        <w:gridCol w:w="1280"/>
        <w:gridCol w:w="1127"/>
        <w:gridCol w:w="1132"/>
        <w:gridCol w:w="262"/>
        <w:gridCol w:w="623"/>
        <w:gridCol w:w="145"/>
        <w:gridCol w:w="145"/>
        <w:gridCol w:w="145"/>
        <w:gridCol w:w="145"/>
        <w:gridCol w:w="225"/>
        <w:gridCol w:w="225"/>
        <w:gridCol w:w="211"/>
        <w:gridCol w:w="109"/>
        <w:gridCol w:w="109"/>
        <w:gridCol w:w="109"/>
        <w:gridCol w:w="225"/>
        <w:gridCol w:w="225"/>
        <w:gridCol w:w="205"/>
        <w:gridCol w:w="205"/>
        <w:gridCol w:w="205"/>
        <w:gridCol w:w="205"/>
        <w:gridCol w:w="225"/>
        <w:gridCol w:w="225"/>
        <w:gridCol w:w="211"/>
        <w:gridCol w:w="109"/>
        <w:gridCol w:w="109"/>
        <w:gridCol w:w="109"/>
        <w:gridCol w:w="369"/>
        <w:gridCol w:w="369"/>
        <w:gridCol w:w="523"/>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Arising During</w:t>
              <w:br/>
              <w:t>the Current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Reclassified to</w:t>
              <w:b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Pretax</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Income</w:t>
              <w:b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Pretax</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Income</w:t>
              <w:b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Other</w:t>
              <w:br/>
              <w:t>Comprehensive</w:t>
              <w:br/>
              <w:t>Income (Loss)</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Three months ended June 30, 2026</w:t>
            </w:r>
          </w:p>
        </w:tc>
        <w:tc>
          <w:tcPr>
            <w:tcW w:w="1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Brink's:</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available-for-sale securities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cash flow hedges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noncontrolling interests:</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Benefit plan adjustments</w:t>
            </w:r>
            <w:r>
              <w:rPr>
                <w:rFonts w:ascii="Times New Roman;serif" w:hAnsi="Times New Roman;serif"/>
                <w:b w:val="false"/>
                <w:color w:val="000000"/>
                <w:sz w:val="12"/>
              </w:rPr>
              <w:t>(a)</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available-for-sale securities</w:t>
            </w:r>
            <w:r>
              <w:rPr>
                <w:rFonts w:ascii="Times New Roman;serif" w:hAnsi="Times New Roman;serif"/>
                <w:b w:val="false"/>
                <w:color w:val="000000"/>
                <w:sz w:val="12"/>
              </w:rPr>
              <w:t>(c)</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cash flow hedges</w:t>
            </w:r>
            <w:r>
              <w:rPr>
                <w:rFonts w:ascii="Times New Roman;serif" w:hAnsi="Times New Roman;serif"/>
                <w:b w:val="false"/>
                <w:color w:val="000000"/>
                <w:sz w:val="12"/>
              </w:rPr>
              <w:t>(d)</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Three months ended June 30, 2025</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Brink's:</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available-for-sale securities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cash flow hedges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noncontrolling interests:</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Benefit plan adjustments</w:t>
            </w:r>
            <w:r>
              <w:rPr>
                <w:rFonts w:ascii="Times New Roman;serif" w:hAnsi="Times New Roman;serif"/>
                <w:b w:val="false"/>
                <w:color w:val="000000"/>
                <w:sz w:val="12"/>
              </w:rPr>
              <w:t>(a)</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available-for-sale securities</w:t>
            </w:r>
            <w:r>
              <w:rPr>
                <w:rFonts w:ascii="Times New Roman;serif" w:hAnsi="Times New Roman;serif"/>
                <w:b w:val="false"/>
                <w:color w:val="000000"/>
                <w:sz w:val="12"/>
              </w:rPr>
              <w:t>(c)</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cash flow hedges</w:t>
            </w:r>
            <w:r>
              <w:rPr>
                <w:rFonts w:ascii="Times New Roman;serif" w:hAnsi="Times New Roman;serif"/>
                <w:b w:val="false"/>
                <w:color w:val="000000"/>
                <w:sz w:val="12"/>
              </w:rPr>
              <w:t>(d)</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5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left"/>
        <w:rPr/>
      </w:pPr>
      <w:r>
        <w:rPr/>
      </w:r>
    </w:p>
    <w:tbl>
      <w:tblPr>
        <w:tblW w:w="9555" w:type="dxa"/>
        <w:jc w:val="center"/>
        <w:tblInd w:w="0" w:type="dxa"/>
        <w:tblLayout w:type="fixed"/>
        <w:tblCellMar>
          <w:top w:w="28" w:type="dxa"/>
          <w:left w:w="28" w:type="dxa"/>
          <w:bottom w:w="28" w:type="dxa"/>
          <w:right w:w="28" w:type="dxa"/>
        </w:tblCellMar>
      </w:tblPr>
      <w:tblGrid>
        <w:gridCol w:w="1280"/>
        <w:gridCol w:w="1128"/>
        <w:gridCol w:w="1131"/>
        <w:gridCol w:w="246"/>
        <w:gridCol w:w="699"/>
        <w:gridCol w:w="137"/>
        <w:gridCol w:w="137"/>
        <w:gridCol w:w="137"/>
        <w:gridCol w:w="137"/>
        <w:gridCol w:w="233"/>
        <w:gridCol w:w="233"/>
        <w:gridCol w:w="211"/>
        <w:gridCol w:w="109"/>
        <w:gridCol w:w="109"/>
        <w:gridCol w:w="109"/>
        <w:gridCol w:w="225"/>
        <w:gridCol w:w="225"/>
        <w:gridCol w:w="205"/>
        <w:gridCol w:w="205"/>
        <w:gridCol w:w="205"/>
        <w:gridCol w:w="205"/>
        <w:gridCol w:w="225"/>
        <w:gridCol w:w="225"/>
        <w:gridCol w:w="211"/>
        <w:gridCol w:w="109"/>
        <w:gridCol w:w="109"/>
        <w:gridCol w:w="109"/>
        <w:gridCol w:w="369"/>
        <w:gridCol w:w="369"/>
        <w:gridCol w:w="523"/>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Arising During</w:t>
              <w:br/>
              <w:t>the Current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Reclassified to</w:t>
              <w:b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Pretax</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Income</w:t>
              <w:b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Pretax</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Income</w:t>
              <w:b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Other</w:t>
              <w:br/>
              <w:t>Comprehensive</w:t>
              <w:br/>
              <w:t>Income (Loss)</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Six months ended June 30, 2026</w:t>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Brink's: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available-for-sale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cash flow hedges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noncontrolling interests: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Benefit plan adjustments</w:t>
            </w:r>
            <w:r>
              <w:rPr>
                <w:rFonts w:ascii="Times New Roman;serif" w:hAnsi="Times New Roman;serif"/>
                <w:b w:val="false"/>
                <w:color w:val="000000"/>
                <w:sz w:val="12"/>
              </w:rPr>
              <w:t>(a)</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available-for-sale securities</w:t>
            </w:r>
            <w:r>
              <w:rPr>
                <w:rFonts w:ascii="Times New Roman;serif" w:hAnsi="Times New Roman;serif"/>
                <w:b w:val="false"/>
                <w:color w:val="000000"/>
                <w:sz w:val="12"/>
              </w:rPr>
              <w:t>(c)</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cash flow hedges</w:t>
            </w:r>
            <w:r>
              <w:rPr>
                <w:rFonts w:ascii="Times New Roman;serif" w:hAnsi="Times New Roman;serif"/>
                <w:b w:val="false"/>
                <w:color w:val="000000"/>
                <w:sz w:val="12"/>
              </w:rPr>
              <w:t>(d)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Six months ended June 30, 2025</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Brink's: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available-for-sale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cash flow hedges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noncontrolling interests: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Benefit plan adjustments</w:t>
            </w:r>
            <w:r>
              <w:rPr>
                <w:rFonts w:ascii="Times New Roman;serif" w:hAnsi="Times New Roman;serif"/>
                <w:b w:val="false"/>
                <w:color w:val="000000"/>
                <w:sz w:val="12"/>
              </w:rPr>
              <w:t>(a)</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available-for-sale securities</w:t>
            </w:r>
            <w:r>
              <w:rPr>
                <w:rFonts w:ascii="Times New Roman;serif" w:hAnsi="Times New Roman;serif"/>
                <w:b w:val="false"/>
                <w:color w:val="000000"/>
                <w:sz w:val="12"/>
              </w:rPr>
              <w:t>(c)</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cash flow hedges</w:t>
            </w:r>
            <w:r>
              <w:rPr>
                <w:rFonts w:ascii="Times New Roman;serif" w:hAnsi="Times New Roman;serif"/>
                <w:b w:val="false"/>
                <w:color w:val="000000"/>
                <w:sz w:val="12"/>
              </w:rPr>
              <w:t>(d)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5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(a)The amortization of actuarial losses and prior service cost is part of total net periodic retirement benefit cost when reclassified to net income. Net periodic retirement benefit cost also includes service cost, interest cost, expected return on assets, and settlements. Total service cost is allocated between cost of revenues and selling, general and administrative expenses on a plan-by-plan basis and the remaining net periodic retirement benefit cost items are allocated to interest and other nonoperating expense:</w:t>
      </w:r>
    </w:p>
    <w:tbl>
      <w:tblPr>
        <w:tblW w:w="7075" w:type="dxa"/>
        <w:jc w:val="left"/>
        <w:tblInd w:w="0" w:type="dxa"/>
        <w:tblLayout w:type="fixed"/>
        <w:tblCellMar>
          <w:top w:w="28" w:type="dxa"/>
          <w:left w:w="28" w:type="dxa"/>
          <w:bottom w:w="28" w:type="dxa"/>
          <w:right w:w="28" w:type="dxa"/>
        </w:tblCellMar>
      </w:tblPr>
      <w:tblGrid>
        <w:gridCol w:w="1152"/>
        <w:gridCol w:w="1015"/>
        <w:gridCol w:w="1027"/>
        <w:gridCol w:w="258"/>
        <w:gridCol w:w="451"/>
        <w:gridCol w:w="155"/>
        <w:gridCol w:w="155"/>
        <w:gridCol w:w="155"/>
        <w:gridCol w:w="155"/>
        <w:gridCol w:w="164"/>
        <w:gridCol w:w="155"/>
        <w:gridCol w:w="155"/>
        <w:gridCol w:w="109"/>
        <w:gridCol w:w="109"/>
        <w:gridCol w:w="109"/>
        <w:gridCol w:w="239"/>
        <w:gridCol w:w="417"/>
        <w:gridCol w:w="144"/>
        <w:gridCol w:w="144"/>
        <w:gridCol w:w="144"/>
        <w:gridCol w:w="144"/>
        <w:gridCol w:w="158"/>
        <w:gridCol w:w="158"/>
        <w:gridCol w:w="203"/>
      </w:tblGrid>
      <w:tr>
        <w:trPr/>
        <w:tc>
          <w:tcPr>
            <w:tcW w:w="115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 June 30,</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w:t>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r>
      <w:tr>
        <w:trPr/>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net periodic retirement benefit cost included in:</w:t>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revenues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 expenses</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and other nonoperating expense</w:t>
            </w:r>
          </w:p>
        </w:tc>
        <w:tc>
          <w:tcPr>
            <w:tcW w:w="70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2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(b)Foreign currency translation adjustment amounts arising during the three months ended June 30, 2026 reflect primarily the appreciation of the Mexican peso and the Colombian peso, partially offset by the devaluation of the euro. Foreign currency translation adjustment amounts arising during the six months ended </w:t>
      </w:r>
      <w:r>
        <w:rPr>
          <w:rFonts w:ascii="Times New Roman;serif" w:hAnsi="Times New Roman;serif"/>
          <w:b w:val="false"/>
          <w:color w:val="000000"/>
          <w:sz w:val="14"/>
          <w:shd w:fill="FFFFFF" w:val="clear"/>
        </w:rPr>
        <w:t xml:space="preserve">June 30, 2026 reflect primarily the appreciation of the Brazilian real, the Mexican peso, and the Colombian peso, partially offset by the devaluation of the euro. Foreign currency translation adjustment amounts arising during the three and </w:t>
      </w:r>
      <w:r>
        <w:rPr>
          <w:rFonts w:ascii="Times New Roman;serif" w:hAnsi="Times New Roman;serif"/>
          <w:b w:val="false"/>
          <w:color w:val="000000"/>
          <w:sz w:val="14"/>
        </w:rPr>
        <w:t>six</w:t>
      </w:r>
      <w:r>
        <w:rPr>
          <w:color w:val="000000"/>
          <w:shd w:fill="FFFFFF" w:val="clear"/>
        </w:rPr>
        <w:t xml:space="preserve"> </w:t>
      </w:r>
      <w:r>
        <w:rPr>
          <w:rFonts w:ascii="Times New Roman;serif" w:hAnsi="Times New Roman;serif"/>
          <w:b w:val="false"/>
          <w:color w:val="000000"/>
          <w:sz w:val="14"/>
          <w:shd w:fill="FFFFFF" w:val="clear"/>
        </w:rPr>
        <w:t xml:space="preserve">months ended </w:t>
      </w:r>
      <w:r>
        <w:rPr>
          <w:rFonts w:ascii="Times New Roman;serif" w:hAnsi="Times New Roman;serif"/>
          <w:b w:val="false"/>
          <w:color w:val="000000"/>
          <w:sz w:val="14"/>
        </w:rPr>
        <w:t>June 30, 2025 reflect primarily the appreciation of the euro, the Mexican peso, the Brazilian real, the Malaysian ringgit and the Romanian leu.</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(c)Unrealized gains and losses on available-for-sale debt securities are initially recognized in accumulated other comprehensive income (loss). When sold, gains and losses are then realized and reclassified to the condensed consolidated statements of operations in the same period. Pretax amounts are classified in the condensed consolidated statements of operations as interest and other income (expense). </w:t>
      </w:r>
    </w:p>
    <w:p>
      <w:pPr>
        <w:pStyle w:val="TextBody"/>
        <w:bidi w:val="0"/>
        <w:spacing w:lineRule="auto" w:line="288" w:before="0" w:after="0"/>
        <w:ind w:left="0" w:right="0" w:hanging="360"/>
        <w:jc w:val="left"/>
        <w:rPr/>
      </w:pPr>
      <w:r>
        <w:rPr>
          <w:rFonts w:ascii="Times New Roman;serif" w:hAnsi="Times New Roman;serif"/>
          <w:b w:val="false"/>
          <w:color w:val="000000"/>
          <w:sz w:val="14"/>
        </w:rPr>
        <w:t>(d)Pretax gains and losses on cash flow hedges are classified in the condensed consolidated statements of operations as in</w:t>
      </w:r>
      <w:r>
        <w:rPr>
          <w:rFonts w:ascii="Times New Roman;serif" w:hAnsi="Times New Roman;serif"/>
          <w:b w:val="false"/>
          <w:color w:val="000000"/>
          <w:sz w:val="14"/>
          <w:shd w:fill="FFFFFF" w:val="clear"/>
        </w:rPr>
        <w:t>terest expense (</w:t>
      </w:r>
      <w:r>
        <w:rPr>
          <w:rFonts w:ascii="Times New Roman;serif" w:hAnsi="Times New Roman;serif"/>
          <w:b w:val="false"/>
          <w:color w:val="000000"/>
          <w:sz w:val="14"/>
        </w:rPr>
        <w:t xml:space="preserve">$1.0 million </w:t>
      </w:r>
      <w:r>
        <w:rPr>
          <w:rFonts w:ascii="Times New Roman;serif" w:hAnsi="Times New Roman;serif"/>
          <w:b w:val="false"/>
          <w:color w:val="000000"/>
          <w:sz w:val="14"/>
          <w:shd w:fill="FFFFFF" w:val="clear"/>
        </w:rPr>
        <w:t xml:space="preserve">reduction to expense in the three months ended June 30, 2026 and $2.1 million reduction to expense in the three months ended June 30, 2025; as well as </w:t>
      </w:r>
      <w:r>
        <w:rPr>
          <w:rFonts w:ascii="Times New Roman;serif" w:hAnsi="Times New Roman;serif"/>
          <w:b w:val="false"/>
          <w:color w:val="000000"/>
          <w:sz w:val="14"/>
        </w:rPr>
        <w:t>$2.1 million</w:t>
      </w:r>
      <w:r>
        <w:rPr>
          <w:color w:val="000000"/>
          <w:shd w:fill="FFFFFF" w:val="clear"/>
        </w:rPr>
        <w:t xml:space="preserve"> </w:t>
      </w:r>
      <w:r>
        <w:rPr>
          <w:rFonts w:ascii="Times New Roman;serif" w:hAnsi="Times New Roman;serif"/>
          <w:b w:val="false"/>
          <w:color w:val="000000"/>
          <w:sz w:val="14"/>
          <w:shd w:fill="FFFFFF" w:val="clear"/>
        </w:rPr>
        <w:t xml:space="preserve">reduction to expense in the </w:t>
      </w:r>
      <w:r>
        <w:rPr>
          <w:rFonts w:ascii="Times New Roman;serif" w:hAnsi="Times New Roman;serif"/>
          <w:b w:val="false"/>
          <w:color w:val="000000"/>
          <w:sz w:val="14"/>
        </w:rPr>
        <w:t>six</w:t>
      </w:r>
      <w:r>
        <w:rPr>
          <w:color w:val="000000"/>
          <w:shd w:fill="FFFFFF" w:val="clear"/>
        </w:rPr>
        <w:t xml:space="preserve"> </w:t>
      </w:r>
      <w:r>
        <w:rPr>
          <w:rFonts w:ascii="Times New Roman;serif" w:hAnsi="Times New Roman;serif"/>
          <w:b w:val="false"/>
          <w:color w:val="000000"/>
          <w:sz w:val="14"/>
          <w:shd w:fill="FFFFFF" w:val="clear"/>
        </w:rPr>
        <w:t xml:space="preserve">months ended June 30, 2026 and </w:t>
      </w:r>
      <w:r>
        <w:rPr>
          <w:rFonts w:ascii="Times New Roman;serif" w:hAnsi="Times New Roman;serif"/>
          <w:b w:val="false"/>
          <w:color w:val="000000"/>
          <w:sz w:val="14"/>
        </w:rPr>
        <w:t>$4.6 million</w:t>
      </w:r>
      <w:r>
        <w:rPr>
          <w:color w:val="000000"/>
          <w:shd w:fill="FFFFFF" w:val="clear"/>
        </w:rPr>
        <w:t xml:space="preserve"> </w:t>
      </w:r>
      <w:r>
        <w:rPr>
          <w:rFonts w:ascii="Times New Roman;serif" w:hAnsi="Times New Roman;serif"/>
          <w:b w:val="false"/>
          <w:color w:val="000000"/>
          <w:sz w:val="14"/>
          <w:shd w:fill="FFFFFF" w:val="clear"/>
        </w:rPr>
        <w:t xml:space="preserve">reduction to expense in the </w:t>
      </w:r>
      <w:r>
        <w:rPr>
          <w:rFonts w:ascii="Times New Roman;serif" w:hAnsi="Times New Roman;serif"/>
          <w:b w:val="false"/>
          <w:color w:val="000000"/>
          <w:sz w:val="14"/>
        </w:rPr>
        <w:t>six</w:t>
      </w:r>
      <w:r>
        <w:rPr>
          <w:color w:val="000000"/>
          <w:shd w:fill="FFFFFF" w:val="clear"/>
        </w:rPr>
        <w:t xml:space="preserve"> </w:t>
      </w:r>
      <w:r>
        <w:rPr>
          <w:rFonts w:ascii="Times New Roman;serif" w:hAnsi="Times New Roman;serif"/>
          <w:b w:val="false"/>
          <w:color w:val="000000"/>
          <w:sz w:val="14"/>
          <w:shd w:fill="FFFFFF" w:val="clear"/>
        </w:rPr>
        <w:t>months ended June 30, 2025).</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changes in accumulated other comprehensive loss attributable to Brink’s are as follows:</w:t>
      </w:r>
    </w:p>
    <w:tbl>
      <w:tblPr>
        <w:tblW w:w="10205" w:type="dxa"/>
        <w:jc w:val="left"/>
        <w:tblInd w:w="0" w:type="dxa"/>
        <w:tblLayout w:type="fixed"/>
        <w:tblCellMar>
          <w:top w:w="28" w:type="dxa"/>
          <w:left w:w="28" w:type="dxa"/>
          <w:bottom w:w="28" w:type="dxa"/>
          <w:right w:w="28" w:type="dxa"/>
        </w:tblCellMar>
      </w:tblPr>
      <w:tblGrid>
        <w:gridCol w:w="1025"/>
        <w:gridCol w:w="629"/>
        <w:gridCol w:w="631"/>
        <w:gridCol w:w="272"/>
        <w:gridCol w:w="792"/>
        <w:gridCol w:w="152"/>
        <w:gridCol w:w="109"/>
        <w:gridCol w:w="109"/>
        <w:gridCol w:w="109"/>
        <w:gridCol w:w="499"/>
        <w:gridCol w:w="499"/>
        <w:gridCol w:w="501"/>
        <w:gridCol w:w="109"/>
        <w:gridCol w:w="109"/>
        <w:gridCol w:w="109"/>
        <w:gridCol w:w="629"/>
        <w:gridCol w:w="629"/>
        <w:gridCol w:w="631"/>
        <w:gridCol w:w="109"/>
        <w:gridCol w:w="109"/>
        <w:gridCol w:w="109"/>
        <w:gridCol w:w="401"/>
        <w:gridCol w:w="401"/>
        <w:gridCol w:w="402"/>
        <w:gridCol w:w="109"/>
        <w:gridCol w:w="109"/>
        <w:gridCol w:w="109"/>
        <w:gridCol w:w="291"/>
        <w:gridCol w:w="292"/>
        <w:gridCol w:w="221"/>
      </w:tblGrid>
      <w:tr>
        <w:trPr/>
        <w:tc>
          <w:tcPr>
            <w:tcW w:w="10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Gains (Losses) on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 to net income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 attributable to Brink's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228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228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4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w:t>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Note 7 - Fair value of financial instruments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Investments in Marketable Securities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investments in mutual funds, equity securities and available-for-sale debt securities that are carried at fair value in the condensed financial statements and are included in other assets on the condensed consolidated balance sheet. For these investments, fair value was based on quoted market prices, which we have categorized as a Level 1 valuation.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Fixed-Rate Debt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 and carrying value of our material fixed-rate debt, excluding any unamortized debt issuance costs, are as follows:</w:t>
      </w:r>
    </w:p>
    <w:tbl>
      <w:tblPr>
        <w:tblW w:w="5245" w:type="dxa"/>
        <w:jc w:val="left"/>
        <w:tblInd w:w="0" w:type="dxa"/>
        <w:tblLayout w:type="fixed"/>
        <w:tblCellMar>
          <w:top w:w="28" w:type="dxa"/>
          <w:left w:w="28" w:type="dxa"/>
          <w:bottom w:w="28" w:type="dxa"/>
          <w:right w:w="28" w:type="dxa"/>
        </w:tblCellMar>
      </w:tblPr>
      <w:tblGrid>
        <w:gridCol w:w="820"/>
        <w:gridCol w:w="720"/>
        <w:gridCol w:w="725"/>
        <w:gridCol w:w="252"/>
        <w:gridCol w:w="717"/>
        <w:gridCol w:w="140"/>
        <w:gridCol w:w="109"/>
        <w:gridCol w:w="109"/>
        <w:gridCol w:w="109"/>
        <w:gridCol w:w="452"/>
        <w:gridCol w:w="452"/>
        <w:gridCol w:w="640"/>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265"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2027 Senior Unsecured Notes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2029 Senior Unsecured Notes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2032 Senior Unsecured Notes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96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416.0 </w:t>
            </w:r>
          </w:p>
        </w:tc>
        <w:tc>
          <w:tcPr>
            <w:tcW w:w="6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Pricing inputs for nonpublic debt are often not observable. The fair value estimates of our senior notes reflect unobservable estimates and assumptions, which we have categorized as a Level 3 valuation. Our fair value estimates were based on the present value of future cash flows, discounted at rates for public debt at the measurement date. The rates for public debt were additionally adjusted for a factor which represented the change in the interest spreads between the inception rates and the public debt rates at the measurement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Forward and Swap Contracts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values of our forward and swap contracts are based on the present value of net future cash payments and receipts, as well as inputs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related to forward interest rates and forward currency rates that are derived principally from, or corroborated by, observable market data,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which we have categorized as a Level 2 valuation.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Economic Hedges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outstanding foreign currency forward and swap contracts to hedge transactional risks associated with foreign currencies. At June 30, 2026, the notional value of our outstanding foreign currency forward and swap contracts was $664 million, with average maturities of approximately one month. These foreign currency forward and swap contracts primarily offset exposures in the euro, the British pound, and the Mexican peso and are not designated as hedges for accounting purposes. Accordingly, changes in their fair value are recorded immediately in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related to economic hedges are reported in the condensed consolidated statements of cash flows based on the nature of the underlying items being hedged. For the periods presented, such cash flows are reported in operating activities or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 of these contracts were recognized in the condensed consolidated balance sheet as follows:</w:t>
      </w:r>
    </w:p>
    <w:tbl>
      <w:tblPr>
        <w:tblW w:w="5035" w:type="dxa"/>
        <w:jc w:val="left"/>
        <w:tblInd w:w="0" w:type="dxa"/>
        <w:tblLayout w:type="fixed"/>
        <w:tblCellMar>
          <w:top w:w="28" w:type="dxa"/>
          <w:left w:w="28" w:type="dxa"/>
          <w:bottom w:w="28" w:type="dxa"/>
          <w:right w:w="28" w:type="dxa"/>
        </w:tblCellMar>
      </w:tblPr>
      <w:tblGrid>
        <w:gridCol w:w="744"/>
        <w:gridCol w:w="654"/>
        <w:gridCol w:w="657"/>
        <w:gridCol w:w="319"/>
        <w:gridCol w:w="613"/>
        <w:gridCol w:w="177"/>
        <w:gridCol w:w="109"/>
        <w:gridCol w:w="109"/>
        <w:gridCol w:w="109"/>
        <w:gridCol w:w="452"/>
        <w:gridCol w:w="452"/>
        <w:gridCol w:w="640"/>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asset (liability) </w:t>
            </w:r>
          </w:p>
        </w:tc>
        <w:tc>
          <w:tcPr>
            <w:tcW w:w="3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6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Amounts under these contracts were recognized in other operating income (expense) as follows:</w:t>
      </w:r>
    </w:p>
    <w:tbl>
      <w:tblPr>
        <w:tblW w:w="9926" w:type="dxa"/>
        <w:jc w:val="left"/>
        <w:tblInd w:w="0" w:type="dxa"/>
        <w:tblLayout w:type="fixed"/>
        <w:tblCellMar>
          <w:top w:w="28" w:type="dxa"/>
          <w:left w:w="28" w:type="dxa"/>
          <w:bottom w:w="28" w:type="dxa"/>
          <w:right w:w="28" w:type="dxa"/>
        </w:tblCellMar>
      </w:tblPr>
      <w:tblGrid>
        <w:gridCol w:w="2188"/>
        <w:gridCol w:w="1925"/>
        <w:gridCol w:w="1931"/>
        <w:gridCol w:w="196"/>
        <w:gridCol w:w="376"/>
        <w:gridCol w:w="109"/>
        <w:gridCol w:w="109"/>
        <w:gridCol w:w="109"/>
        <w:gridCol w:w="109"/>
        <w:gridCol w:w="269"/>
        <w:gridCol w:w="271"/>
        <w:gridCol w:w="156"/>
        <w:gridCol w:w="109"/>
        <w:gridCol w:w="109"/>
        <w:gridCol w:w="109"/>
        <w:gridCol w:w="196"/>
        <w:gridCol w:w="466"/>
        <w:gridCol w:w="109"/>
        <w:gridCol w:w="109"/>
        <w:gridCol w:w="109"/>
        <w:gridCol w:w="109"/>
        <w:gridCol w:w="269"/>
        <w:gridCol w:w="271"/>
        <w:gridCol w:w="213"/>
      </w:tblGrid>
      <w:tr>
        <w:trPr/>
        <w:tc>
          <w:tcPr>
            <w:tcW w:w="218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 gains (losses) included in other operating income (expense)</w:t>
            </w:r>
            <w:r>
              <w:rPr>
                <w:rFonts w:ascii="Times New Roman;serif" w:hAnsi="Times New Roman;serif"/>
                <w:b w:val="false"/>
                <w:color w:val="000000"/>
                <w:sz w:val="12"/>
              </w:rPr>
              <w:t>(a)</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(a)Derivative instrument gains in the three months and six months ended June 30, 2026, were primarily driven by the impact of hedging currency exposures on intercompany loans denominated in the euro, the British pound, and the Mexican peso. Derivative instrument losses in the three month and six month ended June 30, 2025, were primarily driven by the impact of hedging currency exposures on intercompany loans denominated in the euro and the British pound.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Net Investment Hedges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entered into cross currency swaps and foreign exchange forward swap contracts to hedge a portion of our net investments in certain of our subsidiaries with euro and other functional currencies. We elected to use the spot method to assess effectiveness for these derivatives that are designated as net investment hedges for accounting purposes. Accordingly, changes in fair value attributable to changes in the undiscounted spot rates are recorded in the foreign currency translation adjustments component of accumulated other comprehensive income (loss) and will remain there until the hedged net investments are sold or substantially liquidated. We have elected to exclude the spot-forward difference from the assessment of hedge effectiveness and are amortizing this amount separately on a straight-line basis over the term of the cross currency swaps.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the second quarter of 2026, we terminated a zero-cost foreign exchange collar contract with $215 million notional amount and restructured $215 million notional euro cross-currency swaps, extending their maturity from May, 2026 to April, 2027. Upon execution, we de-designated the then-existing swaps and re-designated the new swaps as a net investment hedge. The swaps had a non-zero fair value at re-designation, representing an off-market component that is being amortized into earnings through April,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 of these contracts were recognized in the condensed consolidated balance sheet as follows:</w:t>
      </w:r>
    </w:p>
    <w:tbl>
      <w:tblPr>
        <w:tblW w:w="5935" w:type="dxa"/>
        <w:jc w:val="left"/>
        <w:tblInd w:w="0" w:type="dxa"/>
        <w:tblLayout w:type="fixed"/>
        <w:tblCellMar>
          <w:top w:w="28" w:type="dxa"/>
          <w:left w:w="28" w:type="dxa"/>
          <w:bottom w:w="28" w:type="dxa"/>
          <w:right w:w="28" w:type="dxa"/>
        </w:tblCellMar>
      </w:tblPr>
      <w:tblGrid>
        <w:gridCol w:w="1069"/>
        <w:gridCol w:w="940"/>
        <w:gridCol w:w="945"/>
        <w:gridCol w:w="257"/>
        <w:gridCol w:w="710"/>
        <w:gridCol w:w="143"/>
        <w:gridCol w:w="109"/>
        <w:gridCol w:w="109"/>
        <w:gridCol w:w="109"/>
        <w:gridCol w:w="452"/>
        <w:gridCol w:w="452"/>
        <w:gridCol w:w="640"/>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954"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Euro net investment hedge</w:t>
            </w:r>
            <w:r>
              <w:rPr>
                <w:rFonts w:ascii="Times New Roman;serif" w:hAnsi="Times New Roman;serif"/>
                <w:b w:val="false"/>
                <w:i/>
                <w:color w:val="000000"/>
                <w:sz w:val="12"/>
              </w:rPr>
              <w:t>(a)</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Zero cost collar</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Other currency net investment hedges</w:t>
            </w:r>
            <w:r>
              <w:rPr>
                <w:rFonts w:ascii="Times New Roman;serif" w:hAnsi="Times New Roman;serif"/>
                <w:b w:val="false"/>
                <w:i/>
                <w:color w:val="000000"/>
                <w:sz w:val="12"/>
              </w:rPr>
              <w:t>(b)</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 (liability)</w:t>
            </w:r>
          </w:p>
        </w:tc>
        <w:tc>
          <w:tcPr>
            <w:tcW w:w="2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4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6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(a)At June 30, 2026, swaps with a total notional value of $215 million will terminate in April 2027 and have a weighted average maturity of 0.8 years. Swaps with a total notional value of $185 million will terminate in April 2031 and have a weighted average maturity of 4.3 years.</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(b)At June 30, 2026, the total notional value was $145 million with a weighted average maturity of 1.0 years. These contracts hedge portions of our net investments in subsidiaries with functional currencies of Hong Kong dollar; Singapore dollar; Japanese yen; Israeli shekel; Swiss franc; and Canadian dollar.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effect of the amortization of the spot-forward difference on the net investment hedges cross currency swaps and foreign exchange forward swap contract is included as a benefit in interest expense as follows:</w:t>
      </w:r>
    </w:p>
    <w:tbl>
      <w:tblPr>
        <w:tblW w:w="8051" w:type="dxa"/>
        <w:jc w:val="left"/>
        <w:tblInd w:w="0" w:type="dxa"/>
        <w:tblLayout w:type="fixed"/>
        <w:tblCellMar>
          <w:top w:w="28" w:type="dxa"/>
          <w:left w:w="28" w:type="dxa"/>
          <w:bottom w:w="28" w:type="dxa"/>
          <w:right w:w="28" w:type="dxa"/>
        </w:tblCellMar>
      </w:tblPr>
      <w:tblGrid>
        <w:gridCol w:w="1551"/>
        <w:gridCol w:w="1367"/>
        <w:gridCol w:w="1371"/>
        <w:gridCol w:w="196"/>
        <w:gridCol w:w="451"/>
        <w:gridCol w:w="109"/>
        <w:gridCol w:w="109"/>
        <w:gridCol w:w="109"/>
        <w:gridCol w:w="109"/>
        <w:gridCol w:w="224"/>
        <w:gridCol w:w="226"/>
        <w:gridCol w:w="156"/>
        <w:gridCol w:w="109"/>
        <w:gridCol w:w="109"/>
        <w:gridCol w:w="109"/>
        <w:gridCol w:w="196"/>
        <w:gridCol w:w="451"/>
        <w:gridCol w:w="109"/>
        <w:gridCol w:w="109"/>
        <w:gridCol w:w="109"/>
        <w:gridCol w:w="109"/>
        <w:gridCol w:w="224"/>
        <w:gridCol w:w="226"/>
        <w:gridCol w:w="213"/>
      </w:tblGrid>
      <w:tr>
        <w:trPr/>
        <w:tc>
          <w:tcPr>
            <w:tcW w:w="155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Cross currency swaps designated as net investment hedges</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related to the amortization of the off-market component of net investment hedges, as well as cash flows from the termination and final settlement of such hedges, are generally classified as investing activities. Due to the presence of a more-than-insignificant financing element at the restructuring date, all cash flows related to the restructured $215 million notional euro cross-currency swaps, including periodic interest receipts and payments and any settlement at maturity, are classified as financing activities. Other cash flows associated with net investment hedges are classified as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Interest Rate Swaps - Cash Flow Hedges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periodically entered into interest rate swaps to hedge cash flow risk associated with changes in variable interest rates and we have designated the interest rate swaps as cash flow hedges for accounting purposes. Accordingly, changes in the fair value of these cash flow hedges are initially recorded in the gains (losses) on cash flow hedges component of accumulated other comprehensive income (loss). We reclassify amounts from accumulated other comprehensive income (loss) into earnings in the same periods that the hedged debt affects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the first and third quarters of 2025, we entered into interest rate swaps totaling $150 million in notional value, all maturing in June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values of our interest rate swaps were recognized in the condensed consolidated balance sheet as follows:</w:t>
      </w:r>
    </w:p>
    <w:tbl>
      <w:tblPr>
        <w:tblW w:w="6355" w:type="dxa"/>
        <w:jc w:val="left"/>
        <w:tblInd w:w="0" w:type="dxa"/>
        <w:tblLayout w:type="fixed"/>
        <w:tblCellMar>
          <w:top w:w="28" w:type="dxa"/>
          <w:left w:w="28" w:type="dxa"/>
          <w:bottom w:w="28" w:type="dxa"/>
          <w:right w:w="28" w:type="dxa"/>
        </w:tblCellMar>
      </w:tblPr>
      <w:tblGrid>
        <w:gridCol w:w="1220"/>
        <w:gridCol w:w="1076"/>
        <w:gridCol w:w="1079"/>
        <w:gridCol w:w="319"/>
        <w:gridCol w:w="613"/>
        <w:gridCol w:w="177"/>
        <w:gridCol w:w="109"/>
        <w:gridCol w:w="109"/>
        <w:gridCol w:w="109"/>
        <w:gridCol w:w="452"/>
        <w:gridCol w:w="452"/>
        <w:gridCol w:w="640"/>
      </w:tblGrid>
      <w:tr>
        <w:trPr/>
        <w:tc>
          <w:tcPr>
            <w:tcW w:w="122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$100 million notional - June 2027 maturity </w:t>
            </w:r>
            <w:r>
              <w:rPr>
                <w:rFonts w:ascii="Times New Roman;serif" w:hAnsi="Times New Roman;serif"/>
                <w:b w:val="false"/>
                <w:i/>
                <w:color w:val="000000"/>
                <w:sz w:val="12"/>
              </w:rPr>
              <w:t>(a)</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$50 million notional - June 2027 maturity</w:t>
            </w:r>
            <w:r>
              <w:rPr>
                <w:color w:val="000000"/>
              </w:rPr>
              <w:t xml:space="preserve"> </w:t>
            </w:r>
            <w:r>
              <w:rPr>
                <w:rFonts w:ascii="Times New Roman;serif" w:hAnsi="Times New Roman;serif"/>
                <w:b w:val="false"/>
                <w:i/>
                <w:color w:val="000000"/>
                <w:sz w:val="12"/>
              </w:rPr>
              <w:t>(a)</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 (liability)</w:t>
            </w:r>
          </w:p>
        </w:tc>
        <w:tc>
          <w:tcPr>
            <w:tcW w:w="3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6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(a)At June 30, 2026, swaps with a total notional value of $150 million will terminate in June 2027 and have a weighted average maturity of 0.5 years.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Amounts under our interest rate swap contracts were recognized in interest expense as follows:</w:t>
      </w:r>
    </w:p>
    <w:tbl>
      <w:tblPr>
        <w:tblW w:w="6792" w:type="dxa"/>
        <w:jc w:val="left"/>
        <w:tblInd w:w="0" w:type="dxa"/>
        <w:tblLayout w:type="fixed"/>
        <w:tblCellMar>
          <w:top w:w="28" w:type="dxa"/>
          <w:left w:w="28" w:type="dxa"/>
          <w:bottom w:w="28" w:type="dxa"/>
          <w:right w:w="28" w:type="dxa"/>
        </w:tblCellMar>
      </w:tblPr>
      <w:tblGrid>
        <w:gridCol w:w="1095"/>
        <w:gridCol w:w="966"/>
        <w:gridCol w:w="969"/>
        <w:gridCol w:w="196"/>
        <w:gridCol w:w="451"/>
        <w:gridCol w:w="109"/>
        <w:gridCol w:w="109"/>
        <w:gridCol w:w="109"/>
        <w:gridCol w:w="109"/>
        <w:gridCol w:w="224"/>
        <w:gridCol w:w="226"/>
        <w:gridCol w:w="156"/>
        <w:gridCol w:w="109"/>
        <w:gridCol w:w="109"/>
        <w:gridCol w:w="109"/>
        <w:gridCol w:w="196"/>
        <w:gridCol w:w="451"/>
        <w:gridCol w:w="109"/>
        <w:gridCol w:w="109"/>
        <w:gridCol w:w="109"/>
        <w:gridCol w:w="109"/>
        <w:gridCol w:w="224"/>
        <w:gridCol w:w="226"/>
        <w:gridCol w:w="213"/>
      </w:tblGrid>
      <w:tr>
        <w:trPr/>
        <w:tc>
          <w:tcPr>
            <w:tcW w:w="10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030"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Impact to interest expense - (benefit) cost</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related to interest rate swaps are reported as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Contingent Consideration </w:t>
      </w:r>
    </w:p>
    <w:p>
      <w:pPr>
        <w:pStyle w:val="TextBody"/>
        <w:bidi w:val="0"/>
        <w:spacing w:lineRule="auto" w:line="288" w:before="0" w:after="0"/>
        <w:jc w:val="left"/>
        <w:rPr/>
      </w:pPr>
      <w:r>
        <w:rPr>
          <w:rFonts w:ascii="Times New Roman;serif" w:hAnsi="Times New Roman;serif"/>
          <w:b w:val="false"/>
          <w:color w:val="000000"/>
          <w:sz w:val="18"/>
        </w:rPr>
        <w:t>In the second quarter of 2020, we acquired cash management operations in Malaysia from U.K.-based G4S Plc ("G4S") and have recorded a payable for contingent consideration. The contingent consideration will be paid when minimum</w:t>
      </w:r>
      <w:r>
        <w:rPr>
          <w:color w:val="000000"/>
        </w:rPr>
        <w:t xml:space="preserve"> </w:t>
      </w:r>
      <w:r>
        <w:rPr>
          <w:rFonts w:ascii="Times New Roman;serif" w:hAnsi="Times New Roman;serif"/>
          <w:b w:val="false"/>
          <w:color w:val="000000"/>
          <w:sz w:val="18"/>
        </w:rPr>
        <w:t>dividend distributions are received by Brink's relating to cash on the balance sheets of the Malaysia subsidiaries as of the acquisition date. We used a probability-weighted approach to estimate the fair value of the contingent consideration. As of June 30, 2026, we reported the full $24 million payable for the contingent consideration because, as of that date, we believed it unlikely that payments would be reduced. See also Note 14 for more details about Malaysia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Other Financial Instruments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financial instruments include cash and cash equivalents, accounts receivable, floating rate debt, accounts payable and accrued liabilities. The financial statement carrying amounts of these items approximate the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were no transfers in or out of any of the levels of the valuation hierarchy in the first six months of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Note 8 - Debt</w:t>
      </w:r>
    </w:p>
    <w:tbl>
      <w:tblPr>
        <w:tblW w:w="4633" w:type="dxa"/>
        <w:jc w:val="center"/>
        <w:tblInd w:w="0" w:type="dxa"/>
        <w:tblLayout w:type="fixed"/>
        <w:tblCellMar>
          <w:top w:w="28" w:type="dxa"/>
          <w:left w:w="28" w:type="dxa"/>
          <w:bottom w:w="28" w:type="dxa"/>
          <w:right w:w="28" w:type="dxa"/>
        </w:tblCellMar>
      </w:tblPr>
      <w:tblGrid>
        <w:gridCol w:w="770"/>
        <w:gridCol w:w="679"/>
        <w:gridCol w:w="681"/>
        <w:gridCol w:w="196"/>
        <w:gridCol w:w="691"/>
        <w:gridCol w:w="109"/>
        <w:gridCol w:w="109"/>
        <w:gridCol w:w="109"/>
        <w:gridCol w:w="109"/>
        <w:gridCol w:w="374"/>
        <w:gridCol w:w="334"/>
        <w:gridCol w:w="472"/>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borrowings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credit facilities: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Term loans</w:t>
            </w:r>
            <w:r>
              <w:rPr>
                <w:rFonts w:ascii="Times New Roman;serif" w:hAnsi="Times New Roman;serif"/>
                <w:b w:val="false"/>
                <w:color w:val="000000"/>
                <w:sz w:val="12"/>
              </w:rPr>
              <w:t>(a)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Senior unsecured notes</w:t>
            </w:r>
            <w:r>
              <w:rPr>
                <w:rFonts w:ascii="Times New Roman;serif" w:hAnsi="Times New Roman;serif"/>
                <w:b w:val="false"/>
                <w:color w:val="000000"/>
                <w:sz w:val="12"/>
              </w:rPr>
              <w:t>(b)</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facilities</w:t>
            </w:r>
            <w:r>
              <w:rPr>
                <w:rFonts w:ascii="Times New Roman;serif" w:hAnsi="Times New Roman;serif"/>
                <w:b w:val="false"/>
                <w:color w:val="000000"/>
                <w:sz w:val="12"/>
              </w:rPr>
              <w:t>(c)</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3,973.2 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4,214.3 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4,214.3 </w:t>
            </w:r>
          </w:p>
        </w:tc>
        <w:tc>
          <w:tcPr>
            <w:tcW w:w="4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(a)Amounts outstanding are net of unamortized debt costs of $6.5 million as of June 30, 2026 and $1.7 million as of December 31, 2025.</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(b)Amounts outstanding are net of unamortized debt costs of $8.3 million as of June 30, 2026 and $9.6 million as of December 31, 2025.</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(c)Includes Other Revolving Credit Facilities of $502 million at June 30, 2026 and $557 million at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Senior Secured Credit Facility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March 2026, we amended our senior secured credit facility (the “Senior Secured Credit Facility”) with Bank of America, N.A., as administrative agent. After the amendment, the Senior Secured Credit Facility consisted of a $1 billion revolving credit facility (the "Revolving Credit Facility") and $1.2 billion of term loans (the "Term Loans"). The amendment also provides for $1.0 billion in a senior secured delayed draw term loan commitment (the "Delayed Draw Term Loan Facility") and up to $600 million of additional revolving commitments ("Upsized Revolver"). The proceeds under the Delayed Draw Term Loan Facility and the Upsized Revolver are intended to be used in the NCR Atleos transaction and are not available for use until the future acquisition date.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All loans under the Revolving Credit Facility and the Term Loans mature on March 31, 2031. There are no Term Loan principal payments due in the first four quarters. Thereafter, principal payments for the Term Loans are due quarterly in an amount equal to 0.625% of the initial loan amount for the first eight quarterly installment payments and 1.25% for subsequent payments with a final lump sum payment due on March 31, 2031. Interest rates for the Senior Secured Credit Facility are based on the Secured Overnight Financing Rate ("SOFR") plus a margin or an alternate base rate plus a margin. The Revolving Credit Facility allows us to borrow money or issue letters of credit (or otherwise satisfy credit needs) on a revolving basis over the term of the facility. As of June 30, 2026, $500 million was available under the Revolving Credit Facility. The obligations under the Senior Secured Credit Facility are secured by a first-priority lien on all or substantially all of the assets of the Company and certain of its domestic subsidiaries, including a first-priority lien on equity interests of certain of the Company’s direct and indirect subsidiaries. The Company and certain of its domestic subsidiaries also guarantee the obligations under the Senior Secured Credit Facility.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margin on both SOFR and alternate base rate borrowings under the Senior Secured Credit Facility is based on the Company’s total net debt leverage ratio. The margin on SOFR borrowings, which can range from 1.25% to 1.75%, was 1.50% at June 30, 2026. The margin on alternate base rate borrowings, which can range from 0.25% to 0.75%, was 0.50% as of June 30, 2026. We also pay an annual commitment fee on the unused portion of the Revolving Credit Facility based on the Company’s total net leverage ratio. The commitment fee, which can range from 0.15% to 0.28%, was 0.23% as of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Senior Unsecured Notes</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June 2024, we issued at par five-year senior unsecured notes (the "2029 Senior Unsecured Notes") in the aggregate principal amount of $400 million. The 2029 Senior Unsecured Notes will mature on June 15, 2029 and bear an annual interest rate of 6.5%. The 2029 Senior Unsecured Notes are general unsecured obligations guaranteed by certain of the Company’s existing and future U.S. subsidiaries, which are also guarantors under the Senior Secured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June 2024, we issued at par eight-year senior unsecured notes (the "2032 Senior Unsecured Notes") in the aggregate principal amount of $400 million. The 2032 Senior Unsecured Notes will mature on June 15, 2032 and bear an annual interest rate of 6.75%. The 2032 Senior Unsecured Notes are general unsecured obligations guaranteed by certain of the Company’s existing and future U.S. subsidiaries, which are also guarantors under the Senior Secured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October 2017, we issued at par ten-year senior unsecured notes (the "2027 Senior Unsecured Notes") in the aggregate principal amount of $600 million. The 2027 Senior Unsecured Notes will mature on October 15, 2027, bearing an annual interest rate of 4.625%. The 2027 Senior Unsecured Notes are general unsecured obligations guaranteed by certain of the Company’s existing and future U.S. subsidiaries, which are also guarantors under the Senior Secured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2027 Senior Unsecured Notes, the 2029 Senior Unsecured Notes and the 2032 Senior Unsecured Notes (the "Senior Unsecured Notes") have not been and will not be registered under the Securities Act of 1933, as amended (the “Securities Act”) or the securities laws of any other jurisdiction and may not be offered or sold in the United States absent registration or an applicable exemption from registration requirements. The notes were offered in the United States only to persons reasonably believed to be qualified institutional buyers in reliance on the exemption from registration set forth in Rule 144A under the Securities Act and outside the United States to non-U.S. persons pursuant to Regulation S under the Securities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aggregate proceeds from the Senior Secured Credit Facility and the 2027 Senior Unsecured Notes were used in part to repay certain prior indebtedness and certain fees and expenses related to the closing of certain transactions. The remaining borrowings were used for working capital needs, capital expenditures, acquisitions and other general corporate purposes. The aggregate proceeds from the 2029 Senior Unsecured Notes and 2032 Senior Unsecured Notes were used to redeem the $400 million outstanding principal amount of our five-year senior unsecured notes issued in June 2020 (the "2025 Senior Unsecured Notes") prior to maturity and to repay a portion of the outstanding indebtedness under our Revolving Credit Facility. Before applying a portion of the net proceeds from this offering to redeem or repurchase the 2025 Senior Unsecured Notes as described above, we used such portion of the net proceeds for general corporate purposes and to temporarily repay additional amounts outstanding under our Revolving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Other Facilities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facilities consists primarily of revolving credit facilities in our North America, Latin America and Europe segments ("Other Revolving Credit Facilities"). On an aggregate basis, borrowings under these facilities total $716 million with an additional $415 million available as of June 30, 2026, including $214 million in Short-term borrowings and $502 million in Other long-term debt. Maturity dates of the long-term facilities range from January 2028 to June 2029 and interest rates range from 4.60% to 5.00%. Borrowings under these facilities are secured by cash and certain receivables held by Brink's. In June 2026, we increased the capacity of the largest of these credit facilities from $500 million to $750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Senior Secured Credit Facility, Senior Unsecured Notes, Other Revolving Credit Facilities, and other debt facilities contain various financial and other covenants. The covenants, among other things, limit our ability to provide liens, restrict fundamental changes, limit transactions with affiliates and unrestricted subsidiaries, restrict changes to our fiscal year and to organizational documents, limit asset dispositions, limit the use of proceeds from asset sales, limit sale and leaseback transactions, limit investments, limit the ability to incur debt, restrict certain payments to shareholders, limit negative pledges, limit the ability to change the nature of our business, provide for a maximum consolidated net leverage ratio and provide for minimum coverage of interest costs. If we were not to comply with the terms of our various financing agreements, the repayment terms could be accelerated and the commitments could be withdrawn. An acceleration of the repayment terms under one agreement could trigger the acceleration of the repayment terms under the other financing agreements. We were in compliance with all of these covenants at June 30,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Note 9 - Credit losses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are exposed to credit losses primarily through sales of our cash and valuable management services and DRS and AMS services to customers with operations in the U.S. as well as customers in more than 100 countries outside the U.S. We typically invoice our customers on a monthly basis and payment terms are generally between 30 and 60 days.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assess currently expected credit losses in our financial assets on a pool basis by aggregating financial assets with similar risk characteristics. We have pooled financial assets by geographic location because of the similarities within each location such as customers, payment terms, and services offered. Loss experience is monitored for each pool and we determine historical loss rates for each pool. These historical loss rates are the main assumption used in estimating expected credit losses over the life of the financial assets. We also considered current and expected economic conditions in determining an appropriate allowance.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monitor the aging of accounts receivables by country and write off any accounts that are deemed uncollectible. We also monitor any significant economic events to identify any current or expected trends and risks within a pool that could impact the collectability of outstanding accounts receivables balances that were not contemplated or relevant during a previous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is a rollforward of the allowance for doubtful accounts for the six month period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Allowance for doubtful accounts:</w:t>
      </w:r>
    </w:p>
    <w:tbl>
      <w:tblPr>
        <w:tblW w:w="4221" w:type="dxa"/>
        <w:jc w:val="center"/>
        <w:tblInd w:w="0" w:type="dxa"/>
        <w:tblLayout w:type="fixed"/>
        <w:tblCellMar>
          <w:top w:w="28" w:type="dxa"/>
          <w:left w:w="28" w:type="dxa"/>
          <w:bottom w:w="28" w:type="dxa"/>
          <w:right w:w="28" w:type="dxa"/>
        </w:tblCellMar>
      </w:tblPr>
      <w:tblGrid>
        <w:gridCol w:w="1232"/>
        <w:gridCol w:w="1083"/>
        <w:gridCol w:w="1090"/>
        <w:gridCol w:w="196"/>
        <w:gridCol w:w="46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uncollectible accounts receivable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and recoveries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Note 10 - Share-based compensation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share-based compensation plans to attract and retain employees and non-employee directors and to more closely align their interests with those of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outstanding share-based awards granted to employees under the 2017 Equity Incentive Plan (the "2017 Plan") and under the 2024 Equity Incentive Plan (the "2024 Plan"). The 2017 Plan and the 2024 Plan each permit grants of restricted stock, restricted stock units, performance stock, performance stock units, stock appreciation rights, and stock options, as well as other share-based awards to eligible employees. The 2017 Plan and the 2024 Plan also permit cash awards to eligible employees. The 2017 Plan became effective May 2017. The 2024 Plan became effective May 2024. No further grants of awards will be made under the 2017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also have outstanding deferred stock units granted to directors under the 2017 Plan and the 2024 Plan. Share-based awards were previously granted to directors and remain outstanding under the Non-Employee Directors' Equity Plan and the Directors’ Stock Accumulation Plan, each of which has expired.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awards at June 30, 2026 include performance stock units, restricted stock units, deferred stock units, and certain awards that will be settled in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Compensation Expense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expense is measured using the fair-value-based method. For all share-based awards outstanding at June 30, 2026, the retirement eligibility provisions require a minimum of a one year service period in order to meet the retirement-eligible conditions. We recognize expense from the grant date to the earlier of the retirement-eligible date (provided it is not less than one year from the grant date) or the vesting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awards considered liability awards, compensation cost is based on the change in the fair value of the instrument for each reporting period and the percentage of the requisite service that has been rendered.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expenses are classified as selling, general and administrative expenses in the condensed consolidated statements of operations. Compensation expenses for the share-based awards were as follows:</w:t>
      </w:r>
    </w:p>
    <w:tbl>
      <w:tblPr>
        <w:tblW w:w="8114" w:type="dxa"/>
        <w:jc w:val="left"/>
        <w:tblInd w:w="0" w:type="dxa"/>
        <w:tblLayout w:type="fixed"/>
        <w:tblCellMar>
          <w:top w:w="28" w:type="dxa"/>
          <w:left w:w="28" w:type="dxa"/>
          <w:bottom w:w="28" w:type="dxa"/>
          <w:right w:w="28" w:type="dxa"/>
        </w:tblCellMar>
      </w:tblPr>
      <w:tblGrid>
        <w:gridCol w:w="1149"/>
        <w:gridCol w:w="1012"/>
        <w:gridCol w:w="1019"/>
        <w:gridCol w:w="331"/>
        <w:gridCol w:w="634"/>
        <w:gridCol w:w="183"/>
        <w:gridCol w:w="183"/>
        <w:gridCol w:w="183"/>
        <w:gridCol w:w="183"/>
        <w:gridCol w:w="229"/>
        <w:gridCol w:w="221"/>
        <w:gridCol w:w="183"/>
        <w:gridCol w:w="109"/>
        <w:gridCol w:w="109"/>
        <w:gridCol w:w="109"/>
        <w:gridCol w:w="284"/>
        <w:gridCol w:w="676"/>
        <w:gridCol w:w="157"/>
        <w:gridCol w:w="157"/>
        <w:gridCol w:w="157"/>
        <w:gridCol w:w="157"/>
        <w:gridCol w:w="233"/>
        <w:gridCol w:w="233"/>
        <w:gridCol w:w="223"/>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Compensation Expense</w:t>
            </w:r>
          </w:p>
        </w:tc>
      </w:tr>
      <w:tr>
        <w:trPr/>
        <w:tc>
          <w:tcPr>
            <w:tcW w:w="318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Performance stock units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stock units and fees paid in stock </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based awards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 expense</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 expense, net of tax</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Time-Based Stock Options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2020, we granted time-based stock options to certain senior executives. We measure the fair value of these time-based options at the grant date using a Black-Scholes-Merton option pricing model. When vested, options entitle the holder to purchase a specified number of shares of Brink's stock at a price set at the date the options were granted. Options granted to employees have a maximum term of six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time-based stock option activity during the first six months of 2026: </w:t>
      </w:r>
    </w:p>
    <w:tbl>
      <w:tblPr>
        <w:tblW w:w="7975" w:type="dxa"/>
        <w:jc w:val="left"/>
        <w:tblInd w:w="0" w:type="dxa"/>
        <w:tblLayout w:type="fixed"/>
        <w:tblCellMar>
          <w:top w:w="28" w:type="dxa"/>
          <w:left w:w="28" w:type="dxa"/>
          <w:bottom w:w="28" w:type="dxa"/>
          <w:right w:w="28" w:type="dxa"/>
        </w:tblCellMar>
      </w:tblPr>
      <w:tblGrid>
        <w:gridCol w:w="1226"/>
        <w:gridCol w:w="1080"/>
        <w:gridCol w:w="1083"/>
        <w:gridCol w:w="379"/>
        <w:gridCol w:w="379"/>
        <w:gridCol w:w="381"/>
        <w:gridCol w:w="109"/>
        <w:gridCol w:w="109"/>
        <w:gridCol w:w="109"/>
        <w:gridCol w:w="674"/>
        <w:gridCol w:w="1913"/>
        <w:gridCol w:w="533"/>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Shares</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Grant-Date Fair Value</w:t>
            </w:r>
          </w:p>
        </w:tc>
      </w:tr>
      <w:tr>
        <w:trPr/>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balance as of December 31, 2025</w:t>
            </w:r>
          </w:p>
        </w:tc>
        <w:tc>
          <w:tcPr>
            <w:tcW w:w="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19.75 </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balance as of June 30, 2026</w:t>
            </w:r>
          </w:p>
        </w:tc>
        <w:tc>
          <w:tcPr>
            <w:tcW w:w="75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Restricted Stock Units (“RSUs”)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granted RSUs, which contain only a service condition, as part of our compensation program. RSUs are paid out in shares of Brink's stock when the awards vest. For RSUs granted during the last three years, the units generally vest in three equal annual installments following the grant date. We measure the fair value of RSUs based on the price of Brink’s stock at the grant date, adjusted for a discount for dividends not received or accrued during the vesting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RSU activity during the first six months of 2026: </w:t>
      </w:r>
    </w:p>
    <w:tbl>
      <w:tblPr>
        <w:tblW w:w="7870" w:type="dxa"/>
        <w:jc w:val="left"/>
        <w:tblInd w:w="0" w:type="dxa"/>
        <w:tblLayout w:type="fixed"/>
        <w:tblCellMar>
          <w:top w:w="28" w:type="dxa"/>
          <w:left w:w="28" w:type="dxa"/>
          <w:bottom w:w="28" w:type="dxa"/>
          <w:right w:w="28" w:type="dxa"/>
        </w:tblCellMar>
      </w:tblPr>
      <w:tblGrid>
        <w:gridCol w:w="1188"/>
        <w:gridCol w:w="1047"/>
        <w:gridCol w:w="1049"/>
        <w:gridCol w:w="379"/>
        <w:gridCol w:w="379"/>
        <w:gridCol w:w="381"/>
        <w:gridCol w:w="109"/>
        <w:gridCol w:w="109"/>
        <w:gridCol w:w="109"/>
        <w:gridCol w:w="613"/>
        <w:gridCol w:w="2022"/>
        <w:gridCol w:w="485"/>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Shares</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Grant-Date Fair Value</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December 31, 2025</w:t>
            </w:r>
          </w:p>
        </w:tc>
        <w:tc>
          <w:tcPr>
            <w:tcW w:w="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84.52 </w:t>
            </w:r>
          </w:p>
        </w:tc>
        <w:tc>
          <w:tcPr>
            <w:tcW w:w="4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122.05 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June 30, 2026</w:t>
            </w:r>
          </w:p>
        </w:tc>
        <w:tc>
          <w:tcPr>
            <w:tcW w:w="75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253.8 </w:t>
            </w:r>
          </w:p>
        </w:tc>
        <w:tc>
          <w:tcPr>
            <w:tcW w:w="3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104.43 </w:t>
            </w:r>
          </w:p>
        </w:tc>
        <w:tc>
          <w:tcPr>
            <w:tcW w:w="4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Performance Stock Units ("PSUs”)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Historically, we have granted Internal Metric PSUs ("IM PSUs") and Relative Total Shareholder Return PSUs ("TSR PSUs") as part of our compensation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majority of outstanding IM PSUs contain a performance condition as well as a service condition. We measure the fair value of these PSUs based on the price of Brink’s stock at the grant date, adjusted for a discount for dividends not received or accrued during the vesting period. For IMP PSUs granted in 2024, the performance period is from January 1, 2024, to December 31, 2026. For IM PSUs granted in 2025, the performance period is from January 1, 2025 to December 31, 2027. For the majority of IM PSUs granted in 2026, the performance period is from January 1, 2026 to December 31, 2028. In 2025 and 2026, we also granted IM PSUs to certain employees which contain a market condition (in the form of a relative TSR modifier), a performance condition, and a service condition. We measure the fair value of IM PSUs containing a market condition at the grant date using a Monte Carlo simulation model. IM PSUs are paid out in shares of Brink's stock when the awards vest. For IM PSUs granted in 2024, 2025 and 2026, the number of shares paid out ranges from 0% to 200% of an employee's award, depending on the achievement of pre-established financial goals over the performance period. Shares are not paid out if the financial results do not meet a pre-established threshold level of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all PSU activity during the first six months of 2026:</w:t>
      </w:r>
    </w:p>
    <w:tbl>
      <w:tblPr>
        <w:tblW w:w="7870" w:type="dxa"/>
        <w:jc w:val="left"/>
        <w:tblInd w:w="0" w:type="dxa"/>
        <w:tblLayout w:type="fixed"/>
        <w:tblCellMar>
          <w:top w:w="28" w:type="dxa"/>
          <w:left w:w="28" w:type="dxa"/>
          <w:bottom w:w="28" w:type="dxa"/>
          <w:right w:w="28" w:type="dxa"/>
        </w:tblCellMar>
      </w:tblPr>
      <w:tblGrid>
        <w:gridCol w:w="1188"/>
        <w:gridCol w:w="1047"/>
        <w:gridCol w:w="1049"/>
        <w:gridCol w:w="379"/>
        <w:gridCol w:w="379"/>
        <w:gridCol w:w="381"/>
        <w:gridCol w:w="109"/>
        <w:gridCol w:w="109"/>
        <w:gridCol w:w="109"/>
        <w:gridCol w:w="613"/>
        <w:gridCol w:w="2022"/>
        <w:gridCol w:w="485"/>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Shares</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Grant-Date Fair Value</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December 31, 2025</w:t>
            </w:r>
          </w:p>
        </w:tc>
        <w:tc>
          <w:tcPr>
            <w:tcW w:w="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80.75 </w:t>
            </w:r>
          </w:p>
        </w:tc>
        <w:tc>
          <w:tcPr>
            <w:tcW w:w="4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113.92 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Forfeited or expired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Vested</w:t>
            </w:r>
            <w:r>
              <w:rPr>
                <w:rFonts w:ascii="Times New Roman;serif" w:hAnsi="Times New Roman;serif"/>
                <w:b w:val="false"/>
                <w:color w:val="000000"/>
                <w:sz w:val="12"/>
              </w:rPr>
              <w:t>(a)</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69.24 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June 30, 2026</w:t>
            </w:r>
          </w:p>
        </w:tc>
        <w:tc>
          <w:tcPr>
            <w:tcW w:w="75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668.6 </w:t>
            </w:r>
          </w:p>
        </w:tc>
        <w:tc>
          <w:tcPr>
            <w:tcW w:w="3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100.36 </w:t>
            </w:r>
          </w:p>
        </w:tc>
        <w:tc>
          <w:tcPr>
            <w:tcW w:w="4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(a)The vested PSUs presented are based on the target amount of the award. In accordance with the terms of the underlying award agreements, the actual shares earned and distributed for the performance period ended December 31, 2025 were 358.9 thousand, compared to target shares of 167.8 thousand.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Deferred Stock Units ("DSUs")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granted DSUs to our non-employee directors as part of our compensation program. We measure the fair value of DSUs at the grant date, based on the price of Brink's stock, and, if applicable, adjusted for a discount for dividends not received or accrued during the vesting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DSUs granted after 2014 will be paid out in shares of Brink's stock approximately one year after the grant date, provided that the director has not elected to defer the distribution of shares until a later date. DSUs granted prior to 2015, in general, will be paid out in shares of stock following separation from service.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all DSU activity during the first six months of 2026:</w:t>
      </w:r>
    </w:p>
    <w:tbl>
      <w:tblPr>
        <w:tblW w:w="7870" w:type="dxa"/>
        <w:jc w:val="center"/>
        <w:tblInd w:w="0" w:type="dxa"/>
        <w:tblLayout w:type="fixed"/>
        <w:tblCellMar>
          <w:top w:w="28" w:type="dxa"/>
          <w:left w:w="28" w:type="dxa"/>
          <w:bottom w:w="28" w:type="dxa"/>
          <w:right w:w="28" w:type="dxa"/>
        </w:tblCellMar>
      </w:tblPr>
      <w:tblGrid>
        <w:gridCol w:w="1188"/>
        <w:gridCol w:w="1047"/>
        <w:gridCol w:w="1049"/>
        <w:gridCol w:w="379"/>
        <w:gridCol w:w="379"/>
        <w:gridCol w:w="381"/>
        <w:gridCol w:w="109"/>
        <w:gridCol w:w="109"/>
        <w:gridCol w:w="109"/>
        <w:gridCol w:w="613"/>
        <w:gridCol w:w="2022"/>
        <w:gridCol w:w="485"/>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Shares</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Grant-Date Fair Value</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December 31, 2025</w:t>
            </w:r>
          </w:p>
        </w:tc>
        <w:tc>
          <w:tcPr>
            <w:tcW w:w="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92.19 </w:t>
            </w:r>
          </w:p>
        </w:tc>
        <w:tc>
          <w:tcPr>
            <w:tcW w:w="4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107.71 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92.19 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June 30, 2026</w:t>
            </w:r>
          </w:p>
        </w:tc>
        <w:tc>
          <w:tcPr>
            <w:tcW w:w="75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107.71 </w:t>
            </w:r>
          </w:p>
        </w:tc>
        <w:tc>
          <w:tcPr>
            <w:tcW w:w="4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Note 11 - Capital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Common Stock</w:t>
      </w:r>
    </w:p>
    <w:p>
      <w:pPr>
        <w:pStyle w:val="TextBody"/>
        <w:bidi w:val="0"/>
        <w:spacing w:lineRule="auto" w:line="288" w:before="0" w:after="0"/>
        <w:jc w:val="left"/>
        <w:rPr/>
      </w:pPr>
      <w:r>
        <w:rPr>
          <w:rFonts w:ascii="Times New Roman;serif" w:hAnsi="Times New Roman;serif"/>
          <w:b w:val="false"/>
          <w:color w:val="000000"/>
          <w:sz w:val="18"/>
        </w:rPr>
        <w:t>At June 30, 2026, we had 100 million shares of common stock authorized and 41.2 million shares issued and outstanding.   </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Dividends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paid regular quarterly dividends on our common stock during the last two years. On April 29, 2026, the Board declared a regular quarterly dividend of $0.2550 per share payable on June 1, 2026, to shareholders of record on May 18, 2026. The payment of future dividends is at the discretion of the Board of Directors and is dependent on our future earnings, financial condition, shareholder equity levels, cash flow, business requirements and other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Preferred Stock</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 we had the authority to issue up to 2.0 million shares of preferred stock with a par value of $10 per share, and no shares were issued and outstanding.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Share Repurchase Program</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December 2025, our Board authorized a $750 million share repurchase program that expires on December 31, 2027 (the "2025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Under the 2025 Share Repurchase Program, we are not obligated to repurchase any specific dollar amount or number of shares. The timing and volume of share repurchases may be executed at the discretion of management on an opportunistic basis, or pursuant to trading plans or other arrangements. Share repurchases under this program may be made in the open market, in privately negotiated transactions,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November 2023, our Board authorized a $500 million share repurchase program (the "2023 Repurchase Program"). Under the 2023 Repurchase Program, in 2025, we repurchased a total of 2,210,616 shares of our common stock for an aggregate of $209.4 million and an average price of $94.74 per share. These shares were retired upon repurchase. The 2023 Repurchase Program expired on December 31, 2025, with approximately $87 million remaining available.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we repurchased a total of 241,321 shares of our common stock for an aggregate amount of $30.2 million and an average price of $125.12 per share under the 2025 Repurchase Program. These shares were retired upon repurchase. At June 30, 2026, $720 million remained available under the 2025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Shares Used to Calculate Earnings per Share</w:t>
      </w:r>
    </w:p>
    <w:tbl>
      <w:tblPr>
        <w:tblW w:w="8467" w:type="dxa"/>
        <w:jc w:val="left"/>
        <w:tblInd w:w="0" w:type="dxa"/>
        <w:tblLayout w:type="fixed"/>
        <w:tblCellMar>
          <w:top w:w="28" w:type="dxa"/>
          <w:left w:w="28" w:type="dxa"/>
          <w:bottom w:w="28" w:type="dxa"/>
          <w:right w:w="28" w:type="dxa"/>
        </w:tblCellMar>
      </w:tblPr>
      <w:tblGrid>
        <w:gridCol w:w="1738"/>
        <w:gridCol w:w="1526"/>
        <w:gridCol w:w="1536"/>
        <w:gridCol w:w="233"/>
        <w:gridCol w:w="233"/>
        <w:gridCol w:w="156"/>
        <w:gridCol w:w="133"/>
        <w:gridCol w:w="133"/>
        <w:gridCol w:w="133"/>
        <w:gridCol w:w="233"/>
        <w:gridCol w:w="233"/>
        <w:gridCol w:w="156"/>
        <w:gridCol w:w="109"/>
        <w:gridCol w:w="109"/>
        <w:gridCol w:w="109"/>
        <w:gridCol w:w="233"/>
        <w:gridCol w:w="233"/>
        <w:gridCol w:w="156"/>
        <w:gridCol w:w="132"/>
        <w:gridCol w:w="132"/>
        <w:gridCol w:w="132"/>
        <w:gridCol w:w="233"/>
        <w:gridCol w:w="233"/>
        <w:gridCol w:w="213"/>
      </w:tblGrid>
      <w:tr>
        <w:trPr/>
        <w:tc>
          <w:tcPr>
            <w:tcW w:w="173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w:t>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Basic</w:t>
            </w:r>
            <w:r>
              <w:rPr>
                <w:rFonts w:ascii="Times New Roman;serif" w:hAnsi="Times New Roman;serif"/>
                <w:b w:val="false"/>
                <w:color w:val="000000"/>
                <w:sz w:val="12"/>
              </w:rPr>
              <w:t>(a)</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stock awards and options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Antidilutive stock awards and options excluded from denominator</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(a)We have deferred compensation plans for directors and certain of our employees. Some amounts owed to participants are denominated in common stock units. Each unit represents one share of common stock. The number of shares used to calculate basic earnings per share includes the weighted-average common stock units credited to employees and directors under the deferred compensation plans. Additionally, nonvested units containing only a service requirement are also included in the computation of basic weighted-average shares when the requisite service period has been completed. Accordingly, basic shares include weighted-average units of 0.1 million in the three months and 0.1 million in the six months ended June 30, 2026, and 0.2 million in the three months and 0.2 million in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Note 12 - Supplemental cash flow information </w:t>
      </w:r>
    </w:p>
    <w:tbl>
      <w:tblPr>
        <w:tblW w:w="3306" w:type="dxa"/>
        <w:jc w:val="left"/>
        <w:tblInd w:w="0" w:type="dxa"/>
        <w:tblLayout w:type="fixed"/>
        <w:tblCellMar>
          <w:top w:w="28" w:type="dxa"/>
          <w:left w:w="28" w:type="dxa"/>
          <w:bottom w:w="28" w:type="dxa"/>
          <w:right w:w="28" w:type="dxa"/>
        </w:tblCellMar>
      </w:tblPr>
      <w:tblGrid>
        <w:gridCol w:w="488"/>
        <w:gridCol w:w="429"/>
        <w:gridCol w:w="432"/>
        <w:gridCol w:w="196"/>
        <w:gridCol w:w="556"/>
        <w:gridCol w:w="109"/>
        <w:gridCol w:w="109"/>
        <w:gridCol w:w="109"/>
        <w:gridCol w:w="109"/>
        <w:gridCol w:w="278"/>
        <w:gridCol w:w="278"/>
        <w:gridCol w:w="213"/>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net</w:t>
            </w:r>
          </w:p>
        </w:tc>
        <w:tc>
          <w:tcPr>
            <w:tcW w:w="7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Argentina Marketable Securities</w:t>
      </w:r>
    </w:p>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We have historically used available Argentine pesos to purchase equity and available-for-sale debt securities. There were no cash outflows through the first six months of 2026. Cash inflows for the sale of these financial instruments totaled $4.5 million. Cash outflows for the purchase of these financial instruments totaled $67.9 million through the first six months of 2025. Cash inflows for the sale of these financial instruments totaled $38.5 million during the first six months of 2025. At the time of any future sale of these financial instruments, proceeds received will be solely in Argentine pesos. These cash flows are reported in investing activities.</w:t>
      </w:r>
    </w:p>
    <w:p>
      <w:pPr>
        <w:pStyle w:val="TextBody"/>
        <w:bidi w:val="0"/>
        <w:spacing w:lineRule="auto" w:line="288" w:before="0" w:after="240"/>
        <w:jc w:val="left"/>
        <w:rPr/>
      </w:pPr>
      <w:r>
        <w:rPr>
          <w:rFonts w:ascii="Times New Roman;serif" w:hAnsi="Times New Roman;serif"/>
          <w:b/>
          <w:i/>
          <w:color w:val="000000"/>
          <w:sz w:val="18"/>
        </w:rPr>
        <w:t>Non-cash Investing and Financing Activities</w:t>
        <w:br/>
      </w:r>
      <w:r>
        <w:rPr>
          <w:rFonts w:ascii="Times New Roman;serif" w:hAnsi="Times New Roman;serif"/>
          <w:b w:val="false"/>
          <w:color w:val="000000"/>
          <w:sz w:val="18"/>
        </w:rPr>
        <w:t>We acquired $42.9 million in armored vehicles, DRS devices and other equipment under financing lease arrangements in the first six months of 2026 compared to $32.5 million in armored vehicles, DRS devices and other equipment acquired under financing lease arrangements in the first six months of 2025.</w:t>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Loans Held for Investment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France, as part of an ATM managed services contract for a large customer, we purchase the ATMs at the beginning of the contract. However, since these ATMs are specifically for the benefit of the customer and transfer back to the customer at the end of the contract, this is recorded as a financing transaction. As a result, the loan to the customer, net of payments received, is treated as investing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Restricted Cash (Cash Supply Chain Services)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France, we offer services to certain of our customers where we manage some or all of their cash supply chains. Providing this service requires our French subsidiary to take temporary title to the cash received from the management of our customers' cash supply chains until the cash is returned to the customers. The cash for which we have temporary title is restricted and cannot be used for any other purpose other than to service our customers who participate in this service offering.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Malaysia, we offer ATM replenishment services to certain of our financial institution customers. Providing this service requires our Malaysia operations to take temporary title to the cash received in advance of ATM replenishment. The cash for which we have temporary title is restricted and cannot be used for any other purpose other than to service our customers who participate in this service offering.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accordance with a revolving credit facility, we are required to maintain a restricted cash reserve of $70.7 million ($45.7 million at December 31, 2025) and, due to this contractual restriction, we have classified these amounts as restricted cash.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At June 30, 2026, we held $489.7 million of restricted cash ($220.0 million represented restricted cash held for customers and $196.8 million represented accrued liabilities). At December 31, 2025, we held $541.0 million of restricted cash ($294.2 million represented restricted cash held for customers and $199.3 million represented accrued liabilities).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Lessor Debt Financing</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certain leasing transactions, we acquire assets through capital expenditures that are then sold to lessors in which the cash received is classified as borrowings from financing activities rather than proceeds from investing activities. Cash inflows related to these transactions totaled $5.6 million in the first six months of 2026 compared to $12.0 million in the first six months of 2025 and are included in Other long-term debt borrowings within financing activities in the condensed consolidated statements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cash, cash equivalents, and restricted cash reported within the condensed consolidated balance sheets that sum to the total of the same such amounts shown in the condensed consolidated statements of cash flows.</w:t>
      </w:r>
    </w:p>
    <w:tbl>
      <w:tblPr>
        <w:tblW w:w="9955" w:type="dxa"/>
        <w:jc w:val="left"/>
        <w:tblInd w:w="0" w:type="dxa"/>
        <w:tblLayout w:type="fixed"/>
        <w:tblCellMar>
          <w:top w:w="28" w:type="dxa"/>
          <w:left w:w="28" w:type="dxa"/>
          <w:bottom w:w="28" w:type="dxa"/>
          <w:right w:w="28" w:type="dxa"/>
        </w:tblCellMar>
      </w:tblPr>
      <w:tblGrid>
        <w:gridCol w:w="2701"/>
        <w:gridCol w:w="2380"/>
        <w:gridCol w:w="2388"/>
        <w:gridCol w:w="196"/>
        <w:gridCol w:w="691"/>
        <w:gridCol w:w="109"/>
        <w:gridCol w:w="109"/>
        <w:gridCol w:w="109"/>
        <w:gridCol w:w="109"/>
        <w:gridCol w:w="345"/>
        <w:gridCol w:w="346"/>
        <w:gridCol w:w="472"/>
      </w:tblGrid>
      <w:tr>
        <w:trPr/>
        <w:tc>
          <w:tcPr>
            <w:tcW w:w="2701"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7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in the condensed consolidated statements of cash flows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2,266.9 </w:t>
            </w:r>
          </w:p>
        </w:tc>
        <w:tc>
          <w:tcPr>
            <w:tcW w:w="4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Note 13 - Contingent matters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the end of the fourth quarter of 2018, we became aware of an investigation initiated by the Chilean Fiscalía Nacional Económica (the Chilean antitrust agency) (“FNE”) related to potential anti-competitive practices among competitors in the cash logistics industry in Chile. In October 2021, the FNE filed a complaint before the Chilean antitrust court alleging that Brink’s Chile (as well as competitor companies) engaged in collusion in 2017 and 2018 and requested that the court approve a fine of $30.5 million. The Company filed its response to the complaint in November 2022, which signaled the beginning of the evidentiary phase. The Company intends to vigorously defend itself against the FNE's complaint. Based on available information to date, the Company recorded a charge of $9.5 million in the third quarter of 2021 in connection with this matter. After the third quarter of 2021, all adjustments to the contingent liability have resulted primarily from changes in currency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we are involved in various other lawsuits and claims in the ordinary course of business. We are not able to estimate the loss or range of losses for some of these matters. We have recorded accruals for losses that are considered probable and reasonably estimable. Except as otherwise noted, we do not believe that it is reasonably possible the ultimate disposition of any of the legal matters currently pending against the Company could have a material adverse effect on our liquidity, financial position or results of operations.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Note 14 - Subsequent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Malaysia Business</w:t>
      </w:r>
    </w:p>
    <w:p>
      <w:pPr>
        <w:pStyle w:val="TextBody"/>
        <w:bidi w:val="0"/>
        <w:spacing w:lineRule="auto" w:line="288" w:before="0" w:after="0"/>
        <w:jc w:val="left"/>
        <w:rPr/>
      </w:pPr>
      <w:r>
        <w:rPr>
          <w:rFonts w:ascii="Times New Roman;serif" w:hAnsi="Times New Roman;serif"/>
          <w:b w:val="false"/>
          <w:color w:val="000000"/>
          <w:sz w:val="18"/>
          <w:shd w:fill="FFFFFF" w:val="clear"/>
        </w:rPr>
        <w:t xml:space="preserve">Subsequent to June 30, 2026, following a reassessment of our Malaysia business, we determined that the results of the Malaysia business would no longer be reflected on a consolidated basis in our consolidated financial statements beginning in the period in which the applicable criteria were met. We will account for our retained investment under a method other than consolidation on a prospective basis. In the first six months of 2026, the Malaysia business reported revenues of approximately </w:t>
      </w:r>
      <w:r>
        <w:rPr>
          <w:rFonts w:ascii="Times New Roman;serif" w:hAnsi="Times New Roman;serif"/>
          <w:b w:val="false"/>
          <w:color w:val="000000"/>
          <w:sz w:val="18"/>
        </w:rPr>
        <w:t>$51 million</w:t>
      </w:r>
      <w:r>
        <w:rPr>
          <w:rFonts w:ascii="Times New Roman;serif" w:hAnsi="Times New Roman;serif"/>
          <w:b w:val="false"/>
          <w:color w:val="000000"/>
          <w:sz w:val="18"/>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Brink’s Company (along with its subsidiaries, “Brink’s”, the “Company”, “we”, “us” or “our”) is a leading global provider of cash and valuables management, digital retail solutions, and ATM managed services throughout the world. These services include: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Cash and Valuables Management ("CVM")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Cash-in-transit ("CIT") services – armored vehicle transportation of cash and coin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Basic ATM services – cash replenishment and treasury management of automated teller machines ("ATMs")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Brink's Global Services ("BGS") – secure international transportation, pick-up, packaging, customs clearance, secure vault storage, and inventory management of high-value commodities and goods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Cash management services – counting, sorting, wrapping, check imaging, cashier balancing, counterfeit detection, account consolidation and electronic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Vaulting services – combines CIT services, cash management, vaulting and electronic reporting technologies for banks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Other Services – guarding, commercial security, and payment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Digital Retail Solutions ("DRS") and ATM Managed Services ("AMS")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DRS – services that facilitate faster access to cash deposits leveraging Brink’s tech-enabled devices and software platforms that enable enhanced customer analytics and visibility</w:t>
      </w:r>
    </w:p>
    <w:p>
      <w:pPr>
        <w:pStyle w:val="TextBody"/>
        <w:bidi w:val="0"/>
        <w:spacing w:lineRule="auto" w:line="288" w:before="0" w:after="0"/>
        <w:ind w:left="0" w:right="0" w:hanging="360"/>
        <w:jc w:val="left"/>
        <w:rPr/>
      </w:pPr>
      <w:bookmarkStart w:id="0" w:name="id0929ad0b58548649417eaae49bc9d52_2756"/>
      <w:bookmarkEnd w:id="0"/>
      <w:r>
        <w:rPr>
          <w:color w:val="000000"/>
        </w:rPr>
        <w:t>•</w:t>
      </w:r>
      <w:r>
        <w:rPr>
          <w:rFonts w:ascii="Times New Roman;serif" w:hAnsi="Times New Roman;serif"/>
          <w:b w:val="false"/>
          <w:color w:val="000000"/>
          <w:sz w:val="18"/>
        </w:rPr>
        <w:t>AMS – comprehensive solutions for ATM management, including cash forecasting, cash optimization, ATM remote monitoring, service call dispatching, transaction processing, first and second line maintenance, parts provisioning, funds settlements, and installation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identify our operating segments based on how our chief operating decision maker (“CODM”) allocates resources, assesses performance and makes decisions. Our CODM is our President and Chief Executive Officer. Our CODM evaluates performance and allocates resources to each operating segment based on an operating profit or loss measure, excluding corporate expenses and other items not allocated to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manage our business in the following four segments: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North America – operations in the U.S. and Canada, including the BGS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Latin America – operations in Latin American countries where we have an ownership interest, including the BGS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Europe – predominantly operations in European countries that primarily provide services outside of the BGS line of business,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Rest of World – operations in the Middle East, Africa and Asia. This segment also includes total operations in European countries that primarily provide BGS services and BGS activity in Latin American countries where we do not have an ownership interest.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Consolidated Review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3"/>
        <w:gridCol w:w="1028"/>
        <w:gridCol w:w="1032"/>
        <w:gridCol w:w="235"/>
        <w:gridCol w:w="231"/>
        <w:gridCol w:w="454"/>
        <w:gridCol w:w="109"/>
        <w:gridCol w:w="109"/>
        <w:gridCol w:w="109"/>
        <w:gridCol w:w="345"/>
        <w:gridCol w:w="346"/>
        <w:gridCol w:w="256"/>
        <w:gridCol w:w="109"/>
        <w:gridCol w:w="109"/>
        <w:gridCol w:w="109"/>
        <w:gridCol w:w="215"/>
        <w:gridCol w:w="215"/>
        <w:gridCol w:w="216"/>
        <w:gridCol w:w="109"/>
        <w:gridCol w:w="109"/>
        <w:gridCol w:w="109"/>
        <w:gridCol w:w="196"/>
        <w:gridCol w:w="691"/>
        <w:gridCol w:w="256"/>
        <w:gridCol w:w="109"/>
        <w:gridCol w:w="109"/>
        <w:gridCol w:w="109"/>
        <w:gridCol w:w="345"/>
        <w:gridCol w:w="346"/>
        <w:gridCol w:w="256"/>
        <w:gridCol w:w="109"/>
        <w:gridCol w:w="109"/>
        <w:gridCol w:w="109"/>
        <w:gridCol w:w="202"/>
        <w:gridCol w:w="202"/>
        <w:gridCol w:w="290"/>
      </w:tblGrid>
      <w:tr>
        <w:trPr/>
        <w:tc>
          <w:tcPr>
            <w:tcW w:w="121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 and per share amounts)</w:t>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3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GAAP</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profit margin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from continuing operations</w:t>
            </w:r>
            <w:r>
              <w:rPr>
                <w:rFonts w:ascii="Times New Roman;serif" w:hAnsi="Times New Roman;serif"/>
                <w:b w:val="false"/>
                <w:color w:val="000000"/>
                <w:sz w:val="12"/>
              </w:rPr>
              <w:t>(a)</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Diluted EPS from continuing operations</w:t>
            </w:r>
            <w:r>
              <w:rPr>
                <w:rFonts w:ascii="Times New Roman;serif" w:hAnsi="Times New Roman;serif"/>
                <w:b w:val="false"/>
                <w:color w:val="000000"/>
                <w:sz w:val="12"/>
              </w:rPr>
              <w:t>(a)</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u w:val="single"/>
              </w:rPr>
              <w:t>Non-GAAP</w:t>
            </w:r>
            <w:r>
              <w:rPr>
                <w:rFonts w:ascii="Times New Roman;serif" w:hAnsi="Times New Roman;serif"/>
                <w:b w:val="false"/>
                <w:i/>
                <w:color w:val="000000"/>
                <w:sz w:val="12"/>
                <w:u w:val="single"/>
              </w:rPr>
              <w:t>(b)</w:t>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operating profit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operating profit margin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Non-GAAP income from continuing operations</w:t>
            </w:r>
            <w:r>
              <w:rPr>
                <w:rFonts w:ascii="Times New Roman;serif" w:hAnsi="Times New Roman;serif"/>
                <w:b w:val="false"/>
                <w:color w:val="000000"/>
                <w:sz w:val="12"/>
              </w:rPr>
              <w:t>(a)</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327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Non-GAAP diluted EPS from continuing operations</w:t>
            </w:r>
            <w:r>
              <w:rPr>
                <w:rFonts w:ascii="Times New Roman;serif" w:hAnsi="Times New Roman;serif"/>
                <w:b w:val="false"/>
                <w:color w:val="000000"/>
                <w:sz w:val="12"/>
              </w:rPr>
              <w:t>(a)</w:t>
            </w:r>
          </w:p>
        </w:tc>
        <w:tc>
          <w:tcPr>
            <w:tcW w:w="9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(a)Amounts reported in this table are attributable to the shareholders of Brink’s and exclude earnings related to noncontrolling interests.</w:t>
      </w:r>
    </w:p>
    <w:p>
      <w:pPr>
        <w:pStyle w:val="TextBody"/>
        <w:bidi w:val="0"/>
        <w:spacing w:lineRule="auto" w:line="268" w:before="0" w:after="0"/>
        <w:ind w:left="0" w:right="0" w:hanging="360"/>
        <w:jc w:val="left"/>
        <w:rPr/>
      </w:pPr>
      <w:r>
        <w:rPr>
          <w:rFonts w:ascii="Times New Roman;serif" w:hAnsi="Times New Roman;serif"/>
          <w:b w:val="false"/>
          <w:color w:val="000000"/>
          <w:sz w:val="14"/>
        </w:rPr>
        <w:t xml:space="preserve">(b)These measures are supplemental financial measures that are not required by, or presented in accordance with, GAAP. See page </w:t>
      </w:r>
      <w:hyperlink w:anchor="idd57d2d434d94a66b25399aea2ac9f34_112">
        <w:r>
          <w:rPr>
            <w:rStyle w:val="InternetLink"/>
            <w:rFonts w:ascii="Times New Roman;serif" w:hAnsi="Times New Roman;serif"/>
            <w:b w:val="false"/>
            <w:strike w:val="false"/>
            <w:dstrike w:val="false"/>
            <w:color w:val="000000"/>
            <w:sz w:val="14"/>
            <w:u w:val="none"/>
            <w:effect w:val="none"/>
          </w:rPr>
          <w:t>46</w:t>
        </w:r>
      </w:hyperlink>
      <w:r>
        <w:rPr>
          <w:rFonts w:ascii="Times New Roman;serif" w:hAnsi="Times New Roman;serif"/>
          <w:b w:val="false"/>
          <w:color w:val="000000"/>
          <w:sz w:val="14"/>
        </w:rPr>
        <w:t xml:space="preserve"> for further information on these non-GAAP measures and reconciliations to the applicable GAAP measures.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GAAP Basis</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Analysis of Consolidated Results: Second Quarter 2026 versus Second Quarter 2025 </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i/>
          <w:color w:val="000000"/>
          <w:sz w:val="18"/>
        </w:rPr>
        <w:t>Consolidated Revenues</w:t>
      </w:r>
      <w:r>
        <w:rPr>
          <w:color w:val="000000"/>
        </w:rPr>
        <w:t>  </w:t>
      </w:r>
      <w:r>
        <w:rPr>
          <w:rFonts w:ascii="Times New Roman;serif" w:hAnsi="Times New Roman;serif"/>
          <w:b w:val="false"/>
          <w:color w:val="000000"/>
          <w:sz w:val="18"/>
        </w:rPr>
        <w:t xml:space="preserve">Revenues increased $91.8 million due to the favorable impact of currency exchange rates ($37.4 million), organic increases in Rest of World ($28.8 million), North America ($10.3 million), Europe ($7.9 million), and Latin America ($6.9 million), and the favorable impact of acquisitions ($0.5 million). The favorable currency exchange rate impact was driven primarily by the Mexican peso, Brazilian real, and the euro. Revenues increased 4% on an organic basis primarily due to inflation-based price increases, and organic growth in AMS and DRS revenue, as well as BGS revenue. See our definition of “organic growth” on page </w:t>
      </w:r>
      <w:hyperlink w:anchor="idd57d2d434d94a66b25399aea2ac9f34_112">
        <w:r>
          <w:rPr>
            <w:rStyle w:val="InternetLink"/>
            <w:rFonts w:ascii="Times New Roman;serif" w:hAnsi="Times New Roman;serif"/>
            <w:b w:val="false"/>
            <w:strike w:val="false"/>
            <w:dstrike w:val="false"/>
            <w:color w:val="000000"/>
            <w:sz w:val="18"/>
            <w:u w:val="none"/>
            <w:effect w:val="none"/>
          </w:rPr>
          <w:t>46</w:t>
        </w:r>
      </w:hyperlink>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Consolidated Costs and</w:t>
      </w:r>
      <w:r>
        <w:rPr>
          <w:color w:val="000000"/>
        </w:rPr>
        <w:t xml:space="preserve"> </w:t>
      </w:r>
      <w:r>
        <w:rPr>
          <w:rFonts w:ascii="Times New Roman;serif" w:hAnsi="Times New Roman;serif"/>
          <w:b/>
          <w:i/>
          <w:color w:val="000000"/>
          <w:sz w:val="18"/>
        </w:rPr>
        <w:t>Expenses</w:t>
      </w:r>
      <w:r>
        <w:rPr>
          <w:color w:val="000000"/>
        </w:rPr>
        <w:t xml:space="preserve">  </w:t>
      </w:r>
      <w:r>
        <w:rPr>
          <w:rFonts w:ascii="Times New Roman;serif" w:hAnsi="Times New Roman;serif"/>
          <w:b w:val="false"/>
          <w:color w:val="000000"/>
          <w:sz w:val="18"/>
        </w:rPr>
        <w:t>Cost of revenues increased 5% to $1,026.2 million primarily due to the impact of currency exchange rates and the impact of higher revenue. Selling, general and administrative costs increased 26% to $232.6 million primarily due to costs from the NCR Atleos acquisition and transformation initiatives and the impact of currency exchange rates.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Consolidated Operating Profit and Operating Profit Margin</w:t>
      </w:r>
      <w:r>
        <w:rPr>
          <w:color w:val="000000"/>
        </w:rPr>
        <w:t xml:space="preserve">  </w:t>
      </w:r>
      <w:r>
        <w:rPr>
          <w:rFonts w:ascii="Times New Roman;serif" w:hAnsi="Times New Roman;serif"/>
          <w:b w:val="false"/>
          <w:color w:val="000000"/>
          <w:sz w:val="18"/>
        </w:rPr>
        <w:t>Operating profit margin decreased from 10.3% to 9.6%. Operating profit decreased $0.6 million due mainly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higher expenses due to the NCR Atleos acquisition and transformation initiatives ($31.0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higher corporate expenses on an organic basis ($7.9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unfavorable changes in currency exchange rates ($2.6 million),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partially offset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organic increases in Rest of World ($13.7 million), Europe ($7.7 million), North America ($7.3 million), and Latin America ($2.1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lower costs incurred related to business acquisitions and dispositions ($10.1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Consolidated Income from Continuing Operations Attributable to Brink’s and Related Per Share Amounts</w:t>
      </w:r>
      <w:r>
        <w:rPr>
          <w:color w:val="000000"/>
        </w:rPr>
        <w:t xml:space="preserve"> </w:t>
      </w:r>
      <w:r>
        <w:rPr>
          <w:rFonts w:ascii="Times New Roman;serif" w:hAnsi="Times New Roman;serif"/>
          <w:b w:val="false"/>
          <w:color w:val="000000"/>
          <w:sz w:val="18"/>
        </w:rPr>
        <w:t>Income from continuing operations attributable to Brink’s shareholders increased $0.6 million to $44.5 million due to the lower income tax expense ($6.7 million) and lower noncontrolling interest ($0.8 million), partially offset by the decrease in operating profit mentioned above, lower interest and other nonoperating income ($4.3 million), and higher interest expense ($2.0 million). Earnings per share from continuing operations was $1.07, up from $1.03 in the second quarter of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Analysis of Consolidated Results: First Half 2026 versus First Half 2025 </w:t>
      </w:r>
    </w:p>
    <w:p>
      <w:pPr>
        <w:pStyle w:val="TextBody"/>
        <w:bidi w:val="0"/>
        <w:spacing w:lineRule="auto" w:line="288" w:before="0" w:after="0"/>
        <w:jc w:val="left"/>
        <w:rPr/>
      </w:pPr>
      <w:r>
        <w:rPr>
          <w:rFonts w:ascii="Times New Roman;serif" w:hAnsi="Times New Roman;serif"/>
          <w:b/>
          <w:i/>
          <w:color w:val="000000"/>
          <w:sz w:val="18"/>
        </w:rPr>
        <w:t>Consolidated Revenues</w:t>
      </w:r>
      <w:r>
        <w:rPr>
          <w:color w:val="000000"/>
        </w:rPr>
        <w:t>  </w:t>
      </w:r>
      <w:r>
        <w:rPr>
          <w:rFonts w:ascii="Times New Roman;serif" w:hAnsi="Times New Roman;serif"/>
          <w:b w:val="false"/>
          <w:color w:val="000000"/>
          <w:sz w:val="18"/>
        </w:rPr>
        <w:t xml:space="preserve">Revenues increased $220.2 million due to the favorable impact of currency exchange rates ($108.5 million), organic increases in Rest of World ($42.0 million), North America ($30.7 million), Europe ($18.6 million), and Latin America ($18.3 million), and the favorable impact of acquisitions ($2.1 million). The favorable currency exchange rate impact was driven primarily by the euro, Mexican peso, and Brazilian real. Revenues increased 4% on an organic basis primarily due to to inflation-based price increases and organic growth in AMS and DRS revenue. See our definition of “organic growth” on page </w:t>
      </w:r>
      <w:hyperlink w:anchor="idd57d2d434d94a66b25399aea2ac9f34_112">
        <w:r>
          <w:rPr>
            <w:rStyle w:val="InternetLink"/>
            <w:rFonts w:ascii="Times New Roman;serif" w:hAnsi="Times New Roman;serif"/>
            <w:b w:val="false"/>
            <w:strike w:val="false"/>
            <w:dstrike w:val="false"/>
            <w:color w:val="000000"/>
            <w:sz w:val="18"/>
            <w:u w:val="none"/>
            <w:effect w:val="none"/>
          </w:rPr>
          <w:t>46</w:t>
        </w:r>
      </w:hyperlink>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Consolidated Costs and</w:t>
      </w:r>
      <w:r>
        <w:rPr>
          <w:color w:val="000000"/>
        </w:rPr>
        <w:t xml:space="preserve"> </w:t>
      </w:r>
      <w:r>
        <w:rPr>
          <w:rFonts w:ascii="Times New Roman;serif" w:hAnsi="Times New Roman;serif"/>
          <w:b/>
          <w:i/>
          <w:color w:val="000000"/>
          <w:sz w:val="18"/>
        </w:rPr>
        <w:t>Expenses</w:t>
      </w:r>
      <w:r>
        <w:rPr>
          <w:color w:val="000000"/>
        </w:rPr>
        <w:t xml:space="preserve">  </w:t>
      </w:r>
      <w:r>
        <w:rPr>
          <w:rFonts w:ascii="Times New Roman;serif" w:hAnsi="Times New Roman;serif"/>
          <w:b w:val="false"/>
          <w:color w:val="000000"/>
          <w:sz w:val="18"/>
        </w:rPr>
        <w:t>Cost of revenues increased 7% to $2,045.6 million primarily due to the impact of currency exchange rates and higher revenue. Selling, general and administrative costs increased 30% to $483.4 million primarily due to costs from the NCR Atleos acquisition and transformation initiatives, higher incentive compensation, and the impact of currency exchange rates.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Consolidated Operating Profit and Operating Profit Margin</w:t>
      </w:r>
      <w:r>
        <w:rPr>
          <w:color w:val="000000"/>
        </w:rPr>
        <w:t xml:space="preserve">  </w:t>
      </w:r>
      <w:r>
        <w:rPr>
          <w:rFonts w:ascii="Times New Roman;serif" w:hAnsi="Times New Roman;serif"/>
          <w:b w:val="false"/>
          <w:color w:val="000000"/>
          <w:sz w:val="18"/>
        </w:rPr>
        <w:t>Operating profit margin decreased from 9.9% to 8.8%. Operating profit decreased $9.5 million due mainly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higher expenses due to the NCR Atleos acquisition and transformation initiatives ($64.8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higher corporate expenses on an organic basis ($19.4 million),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partially offset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organic increases in Rest of World ($19.7 million), Europe ($15.3 million), North America ($15.1 million), and Latin America ($3.0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lower costs incurred related to business acquisitions and dispositions ($13.5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favorable changes in currency exchange rates on segment profit ($13.3 million), primarily driven by the Mexican peso, the euro, and Brazilian real.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Consolidated Income from Continuing Operations Attributable to Brink’s and Related Per Share Amounts</w:t>
      </w:r>
      <w:r>
        <w:rPr>
          <w:color w:val="000000"/>
        </w:rPr>
        <w:t xml:space="preserve"> </w:t>
      </w:r>
      <w:r>
        <w:rPr>
          <w:rFonts w:ascii="Times New Roman;serif" w:hAnsi="Times New Roman;serif"/>
          <w:b w:val="false"/>
          <w:color w:val="000000"/>
          <w:sz w:val="18"/>
        </w:rPr>
        <w:t>Income from continuing operations attributable to Brink’s shareholders decreased $18.9 million to $76.6 million due to the lower interest and other nonoperating income ($13.1 million), decrease in operating profit mentioned above and higher interest expense ($(8.0) million), partially offset by the lower income tax expense ($11.3 million) and lower noncontrolling interest ($0.4 million). Earnings per share from continuing operations was $1.84, down from $2.22 in the first six months of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Non-GAAP Basis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Non-GAAP Financial Measures</w:t>
      </w:r>
      <w:r>
        <w:rPr>
          <w:color w:val="000000"/>
        </w:rPr>
        <w:t xml:space="preserve"> </w:t>
      </w:r>
      <w:r>
        <w:rPr>
          <w:rFonts w:ascii="Times New Roman;serif" w:hAnsi="Times New Roman;serif"/>
          <w:b w:val="false"/>
          <w:color w:val="000000"/>
          <w:sz w:val="18"/>
        </w:rPr>
        <w:t xml:space="preserve">The non-GAAP measures included in the table above and the analysis below present our operating profit, operating profit margin, income from continuing operations and earnings per share without certain income and expense items that do not reflect the regular earnings of the Company's operations. These non-GAAP measures are described in more detail on page </w:t>
      </w:r>
      <w:hyperlink w:anchor="idd57d2d434d94a66b25399aea2ac9f34_112">
        <w:r>
          <w:rPr>
            <w:rStyle w:val="InternetLink"/>
            <w:rFonts w:ascii="Times New Roman;serif" w:hAnsi="Times New Roman;serif"/>
            <w:b w:val="false"/>
            <w:strike w:val="false"/>
            <w:dstrike w:val="false"/>
            <w:color w:val="000000"/>
            <w:sz w:val="18"/>
            <w:u w:val="none"/>
            <w:effect w:val="none"/>
          </w:rPr>
          <w:t>46</w:t>
        </w:r>
      </w:hyperlink>
      <w:r>
        <w:rPr>
          <w:rFonts w:ascii="Times New Roman;serif" w:hAnsi="Times New Roman;serif"/>
          <w:b w:val="false"/>
          <w:color w:val="000000"/>
          <w:sz w:val="18"/>
        </w:rPr>
        <w:t xml:space="preserve"> and are reconciled to comparable GAAP measures on pages </w:t>
      </w:r>
      <w:hyperlink w:anchor="i12e5f5559c9a41feb87f4efa34a49eea_10863">
        <w:r>
          <w:rPr>
            <w:rStyle w:val="InternetLink"/>
            <w:rFonts w:ascii="Times New Roman;serif" w:hAnsi="Times New Roman;serif"/>
            <w:b w:val="false"/>
            <w:strike w:val="false"/>
            <w:dstrike w:val="false"/>
            <w:color w:val="000000"/>
            <w:sz w:val="18"/>
            <w:u w:val="none"/>
            <w:effect w:val="none"/>
          </w:rPr>
          <w:t>48</w:t>
        </w:r>
      </w:hyperlink>
      <w:r>
        <w:rPr>
          <w:rFonts w:ascii="Times New Roman;serif" w:hAnsi="Times New Roman;serif"/>
          <w:b w:val="false"/>
          <w:color w:val="000000"/>
          <w:sz w:val="18"/>
        </w:rPr>
        <w:t>-</w:t>
      </w:r>
      <w:hyperlink w:anchor="i3bec2e5e69054a5a807146c3c4e1bcfb_2-0-1-1-404670">
        <w:r>
          <w:rPr>
            <w:rStyle w:val="InternetLink"/>
            <w:rFonts w:ascii="Times New Roman;serif" w:hAnsi="Times New Roman;serif"/>
            <w:b w:val="false"/>
            <w:strike w:val="false"/>
            <w:dstrike w:val="false"/>
            <w:color w:val="000000"/>
            <w:sz w:val="18"/>
            <w:u w:val="none"/>
            <w:effect w:val="none"/>
          </w:rPr>
          <w:t>50</w:t>
        </w:r>
      </w:hyperlink>
      <w:r>
        <w:rPr>
          <w:rFonts w:ascii="Times New Roman;serif" w:hAnsi="Times New Roman;serif"/>
          <w:b w:val="false"/>
          <w:color w:val="000000"/>
          <w:sz w:val="18"/>
        </w:rPr>
        <w: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Analysis of Consolidated Results: Second Quarter 2026 versus Second Quarter 2025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Non-GAAP Consolidated Operating Profit and Non-GAAP Operating Profit Margin </w:t>
      </w:r>
      <w:r>
        <w:rPr>
          <w:rFonts w:ascii="Times New Roman;serif" w:hAnsi="Times New Roman;serif"/>
          <w:b w:val="false"/>
          <w:color w:val="000000"/>
          <w:sz w:val="18"/>
        </w:rPr>
        <w:t>Non-GAAP operating profit margin increased from 12.6% to 13.6%. Non-GAAP operating profit increased $25.2 million due mainly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organic increases in Rest of World ($13.7 million), Europe ($7.7 million), North America ($7.3 million), and Latin America ($2.1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favorable changes in currency exchange rates ($2.5 million), driven primarily by the Mexican peso, the euro, and Brazilian real, and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partially offset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higher corporate expenses on an organic basis ($7.9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Non-GAAP Consolidated Income from Continuing Operations Attributable to Brink’s and Related Per Share Amounts</w:t>
      </w:r>
      <w:r>
        <w:rPr>
          <w:color w:val="000000"/>
        </w:rPr>
        <w:t xml:space="preserve">  </w:t>
      </w:r>
      <w:r>
        <w:rPr>
          <w:rFonts w:ascii="Times New Roman;serif" w:hAnsi="Times New Roman;serif"/>
          <w:b w:val="false"/>
          <w:color w:val="000000"/>
          <w:sz w:val="18"/>
        </w:rPr>
        <w:t>Non-GAAP income from continuing operations attributable to Brink’s shareholders increased $11.5 million to $88.2 million due to the operating profit increase mentioned above, partially offset by lower interest and other nonoperating income ($6.9 million), the higher income tax expense ($4.3 million), and higher interest expense ($2.0 million). Non-GAAP earnings per share from continuing operations was $2.13, up from $1.81 in the second quarter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Adjusted EBITDA </w:t>
      </w:r>
      <w:r>
        <w:rPr>
          <w:rFonts w:ascii="Times New Roman;serif" w:hAnsi="Times New Roman;serif"/>
          <w:b w:val="false"/>
          <w:color w:val="000000"/>
          <w:sz w:val="18"/>
        </w:rPr>
        <w:t>Adjusted EBITDA increased 11% to $257.2 million primarily due to the increase in Non-GAAP operating profit ($25.2 million).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Analysis of Consolidated Results: First Half 2026 versus First Half 2025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Non-GAAP Consolidated Operating Profit and Non-GAAP Operating Profit Margin </w:t>
      </w:r>
      <w:r>
        <w:rPr>
          <w:rFonts w:ascii="Times New Roman;serif" w:hAnsi="Times New Roman;serif"/>
          <w:b w:val="false"/>
          <w:color w:val="000000"/>
          <w:sz w:val="18"/>
        </w:rPr>
        <w:t>Non-GAAP operating profit margin increased from 12.4% to 12.9%.</w:t>
      </w:r>
      <w:r>
        <w:rPr>
          <w:color w:val="000000"/>
        </w:rPr>
        <w:t xml:space="preserve"> </w:t>
      </w:r>
      <w:r>
        <w:rPr>
          <w:rFonts w:ascii="Times New Roman;serif" w:hAnsi="Times New Roman;serif"/>
          <w:b w:val="false"/>
          <w:color w:val="000000"/>
          <w:sz w:val="18"/>
        </w:rPr>
        <w:t>Non-GAAP operating profit increased $43.0 million due mainly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organic increases in Rest of World ($19.7 million), Europe ($15.3 million), North America ($15.1 million), and Latin America ($3.0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favorable changes in currency exchange rates ($9.2 million), driven primarily by the the Mexican peso, the euro, and Brazilian real,</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partially offset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higher corporate expenses on an organic basis ($19.4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Non-GAAP Consolidated Income from Continuing Operations Attributable to Brink’s and Related Per Share Amounts</w:t>
      </w:r>
      <w:r>
        <w:rPr>
          <w:color w:val="000000"/>
        </w:rPr>
        <w:t xml:space="preserve">  </w:t>
      </w:r>
      <w:r>
        <w:rPr>
          <w:rFonts w:ascii="Times New Roman;serif" w:hAnsi="Times New Roman;serif"/>
          <w:b w:val="false"/>
          <w:color w:val="000000"/>
          <w:sz w:val="18"/>
        </w:rPr>
        <w:t>Non-GAAP income from continuing operations attributable to Brink’s shareholders increased $15.9 million to $163.2 million due to the operating profit increase mentioned above, and partially offset by the lower interest and other nonoperating income ($13.0 million), higher interest expense ($8.0 million), higher income tax expense ($5.6 million), and higher noncontrolling interest ($0.5 million). Earnings per share from continuing operations was $3.93, up from $3.43 in the first six months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Adjusted EBITDA </w:t>
      </w:r>
      <w:r>
        <w:rPr>
          <w:rFonts w:ascii="Times New Roman;serif" w:hAnsi="Times New Roman;serif"/>
          <w:b w:val="false"/>
          <w:color w:val="000000"/>
          <w:sz w:val="18"/>
        </w:rPr>
        <w:t>Adjusted EBITDA increased 11% to $494.7 million primarily due to the increase in Non-GAAP operating profit ($43.0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color w:val="000000"/>
          <w:sz w:val="22"/>
        </w:rPr>
      </w:pPr>
      <w:r>
        <w:rPr>
          <w:rFonts w:ascii="Times New Roman;serif" w:hAnsi="Times New Roman;serif"/>
          <w:b/>
          <w:color w:val="000000"/>
          <w:sz w:val="22"/>
        </w:rPr>
        <w:t xml:space="preserve">Revenues and Operating Profit by Segment: Second Quarter 2026 versus Second Quarter 2025 </w:t>
      </w:r>
    </w:p>
    <w:tbl>
      <w:tblPr>
        <w:tblW w:w="10205" w:type="dxa"/>
        <w:jc w:val="left"/>
        <w:tblInd w:w="0" w:type="dxa"/>
        <w:tblLayout w:type="fixed"/>
        <w:tblCellMar>
          <w:top w:w="28" w:type="dxa"/>
          <w:left w:w="28" w:type="dxa"/>
          <w:bottom w:w="28" w:type="dxa"/>
          <w:right w:w="28" w:type="dxa"/>
        </w:tblCellMar>
      </w:tblPr>
      <w:tblGrid>
        <w:gridCol w:w="535"/>
        <w:gridCol w:w="471"/>
        <w:gridCol w:w="472"/>
        <w:gridCol w:w="196"/>
        <w:gridCol w:w="691"/>
        <w:gridCol w:w="109"/>
        <w:gridCol w:w="109"/>
        <w:gridCol w:w="109"/>
        <w:gridCol w:w="109"/>
        <w:gridCol w:w="307"/>
        <w:gridCol w:w="292"/>
        <w:gridCol w:w="293"/>
        <w:gridCol w:w="109"/>
        <w:gridCol w:w="109"/>
        <w:gridCol w:w="109"/>
        <w:gridCol w:w="533"/>
        <w:gridCol w:w="533"/>
        <w:gridCol w:w="534"/>
        <w:gridCol w:w="109"/>
        <w:gridCol w:w="109"/>
        <w:gridCol w:w="109"/>
        <w:gridCol w:w="308"/>
        <w:gridCol w:w="308"/>
        <w:gridCol w:w="309"/>
        <w:gridCol w:w="109"/>
        <w:gridCol w:w="109"/>
        <w:gridCol w:w="109"/>
        <w:gridCol w:w="352"/>
        <w:gridCol w:w="354"/>
        <w:gridCol w:w="141"/>
        <w:gridCol w:w="109"/>
        <w:gridCol w:w="109"/>
        <w:gridCol w:w="109"/>
        <w:gridCol w:w="202"/>
        <w:gridCol w:w="204"/>
        <w:gridCol w:w="156"/>
        <w:gridCol w:w="109"/>
        <w:gridCol w:w="109"/>
        <w:gridCol w:w="109"/>
        <w:gridCol w:w="274"/>
        <w:gridCol w:w="274"/>
        <w:gridCol w:w="395"/>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Organic Change</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Impact of Acquisitions / Dispositions</w:t>
            </w:r>
            <w:r>
              <w:rPr>
                <w:rFonts w:ascii="Times New Roman;serif" w:hAnsi="Times New Roman;serif"/>
                <w:b w:val="false"/>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Currency Effect</w:t>
            </w:r>
            <w:r>
              <w:rPr>
                <w:rFonts w:ascii="Times New Roman;serif" w:hAnsi="Times New Roman;serif"/>
                <w:b w:val="false"/>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14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Organic Growth</w:t>
            </w:r>
            <w:r>
              <w:rPr>
                <w:rFonts w:ascii="Times New Roman;serif" w:hAnsi="Times New Roman;serif"/>
                <w:b w:val="false"/>
                <w:color w:val="000000"/>
                <w:sz w:val="12"/>
              </w:rPr>
              <w:t>(a)</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444.5</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351.6</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377.0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219.2</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Segment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1,392.3</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1,392.3</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69.6</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60.5</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51.5</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233.6</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expenses</w:t>
            </w:r>
            <w:r>
              <w:rPr>
                <w:rFonts w:ascii="Times New Roman;serif" w:hAnsi="Times New Roman;serif"/>
                <w:b w:val="false"/>
                <w:color w:val="000000"/>
                <w:sz w:val="12"/>
              </w:rPr>
              <w:t>(d)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items not allocated to segments</w:t>
            </w:r>
            <w:r>
              <w:rPr>
                <w:rFonts w:ascii="Times New Roman;serif" w:hAnsi="Times New Roman;serif"/>
                <w:b w:val="false"/>
                <w:color w:val="000000"/>
                <w:sz w:val="12"/>
              </w:rPr>
              <w:t>(d)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profit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5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133.3</w:t>
            </w:r>
            <w:r>
              <w:rPr>
                <w:color w:val="000000"/>
              </w:rPr>
              <w:t>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Amounts may not add due to rounding.</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4"/>
        </w:rPr>
        <w:t xml:space="preserve">(a)Organic change and organic growth are supplemental financial measures that are not required by, or presented in accordance with, GAAP, and are described in more detail on page </w:t>
      </w:r>
      <w:hyperlink w:anchor="idd57d2d434d94a66b25399aea2ac9f34_112">
        <w:r>
          <w:rPr>
            <w:rStyle w:val="InternetLink"/>
            <w:rFonts w:ascii="Times New Roman;serif" w:hAnsi="Times New Roman;serif"/>
            <w:b w:val="false"/>
            <w:strike w:val="false"/>
            <w:dstrike w:val="false"/>
            <w:color w:val="000000"/>
            <w:sz w:val="14"/>
            <w:u w:val="none"/>
            <w:effect w:val="none"/>
          </w:rPr>
          <w:t>46</w:t>
        </w:r>
      </w:hyperlink>
      <w:r>
        <w:rPr>
          <w:rFonts w:ascii="Times New Roman;serif" w:hAnsi="Times New Roman;serif"/>
          <w:b w:val="false"/>
          <w:color w:val="000000"/>
          <w:sz w:val="14"/>
        </w:rPr>
        <w:t>.</w:t>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(b)Amounts include the current year results of businesses acquired within the past twelve months recognized from the transaction date through the end of the twelve month period and the impact of prior year comparable period results for disposed businesses. This measure is not required by, or presented in accordance with, GAAP and is described in more detail on page </w:t>
      </w:r>
      <w:hyperlink w:anchor="idd57d2d434d94a66b25399aea2ac9f34_112">
        <w:r>
          <w:rPr>
            <w:rStyle w:val="InternetLink"/>
            <w:rFonts w:ascii="Times New Roman;serif" w:hAnsi="Times New Roman;serif"/>
            <w:b w:val="false"/>
            <w:strike w:val="false"/>
            <w:dstrike w:val="false"/>
            <w:color w:val="000000"/>
            <w:sz w:val="14"/>
            <w:u w:val="none"/>
            <w:effect w:val="none"/>
          </w:rPr>
          <w:t>46</w:t>
        </w:r>
      </w:hyperlink>
      <w:r>
        <w:rPr>
          <w:rFonts w:ascii="Times New Roman;serif" w:hAnsi="Times New Roman;serif"/>
          <w:b w:val="false"/>
          <w:color w:val="000000"/>
          <w:sz w:val="14"/>
        </w:rPr>
        <w:t>.</w:t>
      </w:r>
    </w:p>
    <w:p>
      <w:pPr>
        <w:pStyle w:val="TextBody"/>
        <w:bidi w:val="0"/>
        <w:spacing w:lineRule="auto" w:line="268" w:before="0" w:after="0"/>
        <w:ind w:left="0" w:right="0" w:hanging="360"/>
        <w:jc w:val="left"/>
        <w:rPr/>
      </w:pPr>
      <w:r>
        <w:rPr>
          <w:rFonts w:ascii="Times New Roman;serif" w:hAnsi="Times New Roman;serif"/>
          <w:b w:val="false"/>
          <w:color w:val="000000"/>
          <w:sz w:val="14"/>
        </w:rPr>
        <w:t xml:space="preserve">(c)The amounts in the “Currency” column consist of the effects of Argentina devaluations under highly inflationary accounting and the sum of monthly currency changes. This measure is not required by, or presented in accordance with, GAAP and is described in more detail on page </w:t>
      </w:r>
      <w:hyperlink w:anchor="idd57d2d434d94a66b25399aea2ac9f34_112">
        <w:r>
          <w:rPr>
            <w:rStyle w:val="InternetLink"/>
            <w:rFonts w:ascii="Times New Roman;serif" w:hAnsi="Times New Roman;serif"/>
            <w:b w:val="false"/>
            <w:strike w:val="false"/>
            <w:dstrike w:val="false"/>
            <w:color w:val="000000"/>
            <w:sz w:val="14"/>
            <w:u w:val="none"/>
            <w:effect w:val="none"/>
          </w:rPr>
          <w:t>46</w:t>
        </w:r>
      </w:hyperlink>
      <w:r>
        <w:rPr>
          <w:rFonts w:ascii="Times New Roman;serif" w:hAnsi="Times New Roman;serif"/>
          <w:b w:val="false"/>
          <w:color w:val="000000"/>
          <w:sz w:val="14"/>
        </w:rPr>
        <w:t>.</w:t>
      </w:r>
    </w:p>
    <w:p>
      <w:pPr>
        <w:pStyle w:val="TextBody"/>
        <w:bidi w:val="0"/>
        <w:spacing w:lineRule="auto" w:line="268" w:before="0" w:after="0"/>
        <w:ind w:left="0" w:right="0" w:hanging="360"/>
        <w:jc w:val="left"/>
        <w:rPr/>
      </w:pPr>
      <w:r>
        <w:rPr>
          <w:rFonts w:ascii="Times New Roman;serif" w:hAnsi="Times New Roman;serif"/>
          <w:b w:val="false"/>
          <w:color w:val="000000"/>
          <w:sz w:val="14"/>
        </w:rPr>
        <w:t xml:space="preserve">(d)See pages </w:t>
      </w:r>
      <w:hyperlink w:anchor="idd57d2d434d94a66b25399aea2ac9f34_94">
        <w:r>
          <w:rPr>
            <w:rStyle w:val="InternetLink"/>
            <w:rFonts w:ascii="Times New Roman;serif" w:hAnsi="Times New Roman;serif"/>
            <w:b w:val="false"/>
            <w:strike w:val="false"/>
            <w:dstrike w:val="false"/>
            <w:color w:val="000000"/>
            <w:sz w:val="14"/>
            <w:u w:val="none"/>
            <w:effect w:val="none"/>
          </w:rPr>
          <w:t>40</w:t>
        </w:r>
      </w:hyperlink>
      <w:r>
        <w:rPr>
          <w:rFonts w:ascii="Times New Roman;serif" w:hAnsi="Times New Roman;serif"/>
          <w:b w:val="false"/>
          <w:color w:val="000000"/>
          <w:sz w:val="14"/>
        </w:rPr>
        <w:t>-</w:t>
      </w:r>
      <w:hyperlink w:anchor="ie57a951ed9a2484abd8f10bae3ef724b_9598">
        <w:r>
          <w:rPr>
            <w:rStyle w:val="InternetLink"/>
            <w:rFonts w:ascii="Times New Roman;serif" w:hAnsi="Times New Roman;serif"/>
            <w:b w:val="false"/>
            <w:strike w:val="false"/>
            <w:dstrike w:val="false"/>
            <w:color w:val="000000"/>
            <w:sz w:val="14"/>
            <w:u w:val="none"/>
            <w:effect w:val="none"/>
          </w:rPr>
          <w:t>42</w:t>
        </w:r>
      </w:hyperlink>
      <w:r>
        <w:rPr>
          <w:rFonts w:ascii="Times New Roman;serif" w:hAnsi="Times New Roman;serif"/>
          <w:b w:val="false"/>
          <w:color w:val="000000"/>
          <w:sz w:val="14"/>
        </w:rPr>
        <w:t xml:space="preserve"> for further information, where these items are discussed in more detail.</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Analysis of Segment Results: Second Quarter 2026 versus Second Quarter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North America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2% ($10.2 million) driven almost entirely by organic growth. Organic revenue increased primarily due to revenue growth in AMS and DRS, as well as BGS. Operating profit increased 12% ($7.3 million) driven entirely by organic growth. The organic increase was primarily driven by higher revenue, the net impact of revenue mix, and cost productivity.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Latin America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10% ($32.2 million) due to the favorable impact of currency exchange rates ($24.8 million) primarily from the Mexican peso and the Brazilian real and a 2% organic increase ($6.9 million). The organic increase was primarily driven by price increases across the segment as well as growth in AMS and DRS revenue. Operating profit increased 10% ($5.5 million) primarily due to the favorable impact of currency exchange rates ($3.6 million) and a 4% organic increase ($2.1 million). The organic increase was primarily driven by higher revenue, AMS and DRS revenue mix, and cost productivity.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Europe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5% ($19.0 million) primarily due to favorable impact of currency exchange rates ($11.1 million) and a 2% organic increase ($7.9 million). Organic revenue increased primarily due the growth of AMS and DRS revenue. Operating profit increased 21% ($9.1 million) primarily due to a 18% organic increase ($7.7 million) and the favorable impact of currency exchange rates ($1.4 million). The organic increase was driven by the mix benefit of higher AMS and DRS revenue and cost productivity initiatives.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Rest of World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16% ($30.4 million) due to a 15% organic increase ($28.8 million) and the favorable impact of currency exchange rates ($1.6 million). Organic growth in the segment was primarily due to growth in BGS revenue, AMS and DRS revenue, and pricing discipline. Operating profit increased 36% ($13.7 million) due to a 36% organic increase ($13.7 million). The organic increase was primarily driven by a favorable BGS mix and higher revenue.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erif" w:hAnsi="Times New Roman;serif"/>
          <w:b/>
          <w:color w:val="000000"/>
          <w:sz w:val="22"/>
        </w:rPr>
        <w:t>Revenues and Operating Profit by Segment: First Half 2026 versus First Half 2025</w:t>
      </w:r>
      <w:r>
        <w:rPr>
          <w:color w:val="000000"/>
        </w:rPr>
        <w:t> </w:t>
      </w:r>
    </w:p>
    <w:tbl>
      <w:tblPr>
        <w:tblW w:w="10205" w:type="dxa"/>
        <w:jc w:val="left"/>
        <w:tblInd w:w="0" w:type="dxa"/>
        <w:tblLayout w:type="fixed"/>
        <w:tblCellMar>
          <w:top w:w="28" w:type="dxa"/>
          <w:left w:w="28" w:type="dxa"/>
          <w:bottom w:w="28" w:type="dxa"/>
          <w:right w:w="28" w:type="dxa"/>
        </w:tblCellMar>
      </w:tblPr>
      <w:tblGrid>
        <w:gridCol w:w="465"/>
        <w:gridCol w:w="410"/>
        <w:gridCol w:w="411"/>
        <w:gridCol w:w="241"/>
        <w:gridCol w:w="851"/>
        <w:gridCol w:w="134"/>
        <w:gridCol w:w="109"/>
        <w:gridCol w:w="109"/>
        <w:gridCol w:w="109"/>
        <w:gridCol w:w="348"/>
        <w:gridCol w:w="268"/>
        <w:gridCol w:w="269"/>
        <w:gridCol w:w="109"/>
        <w:gridCol w:w="109"/>
        <w:gridCol w:w="109"/>
        <w:gridCol w:w="474"/>
        <w:gridCol w:w="474"/>
        <w:gridCol w:w="476"/>
        <w:gridCol w:w="109"/>
        <w:gridCol w:w="109"/>
        <w:gridCol w:w="109"/>
        <w:gridCol w:w="326"/>
        <w:gridCol w:w="287"/>
        <w:gridCol w:w="288"/>
        <w:gridCol w:w="109"/>
        <w:gridCol w:w="109"/>
        <w:gridCol w:w="109"/>
        <w:gridCol w:w="546"/>
        <w:gridCol w:w="306"/>
        <w:gridCol w:w="307"/>
        <w:gridCol w:w="109"/>
        <w:gridCol w:w="109"/>
        <w:gridCol w:w="109"/>
        <w:gridCol w:w="165"/>
        <w:gridCol w:w="166"/>
        <w:gridCol w:w="156"/>
        <w:gridCol w:w="109"/>
        <w:gridCol w:w="109"/>
        <w:gridCol w:w="109"/>
        <w:gridCol w:w="253"/>
        <w:gridCol w:w="253"/>
        <w:gridCol w:w="369"/>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Organic Change</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Impact of Acquisitions / Dispositions</w:t>
            </w:r>
            <w:r>
              <w:rPr>
                <w:rFonts w:ascii="Times New Roman;serif" w:hAnsi="Times New Roman;serif"/>
                <w:b w:val="false"/>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Currency Effect</w:t>
            </w:r>
            <w:r>
              <w:rPr>
                <w:rFonts w:ascii="Times New Roman;serif" w:hAnsi="Times New Roman;serif"/>
                <w:b w:val="false"/>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12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12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Organic Growth</w:t>
            </w:r>
            <w:r>
              <w:rPr>
                <w:rFonts w:ascii="Times New Roman;serif" w:hAnsi="Times New Roman;serif"/>
                <w:b w:val="false"/>
                <w:color w:val="000000"/>
                <w:sz w:val="12"/>
              </w:rPr>
              <w:t>(a)</w:t>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884.1</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695.4</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742.9</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445.0</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Segment revenues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2,767.4</w:t>
            </w:r>
            <w:r>
              <w:rPr>
                <w:color w:val="000000"/>
              </w:rPr>
              <w:t>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Revenues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2,767.4</w:t>
            </w:r>
            <w:r>
              <w:rPr>
                <w:color w:val="000000"/>
              </w:rPr>
              <w:t>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130.5</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117.9</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91.4</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107.0</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profit</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446.8</w:t>
            </w: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expenses</w:t>
            </w:r>
            <w:r>
              <w:rPr>
                <w:rFonts w:ascii="Times New Roman;serif" w:hAnsi="Times New Roman;serif"/>
                <w:b w:val="false"/>
                <w:color w:val="000000"/>
                <w:sz w:val="12"/>
              </w:rPr>
              <w:t>(d)</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(88.7)</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items not allocated to segments</w:t>
            </w:r>
            <w:r>
              <w:rPr>
                <w:rFonts w:ascii="Times New Roman;serif" w:hAnsi="Times New Roman;serif"/>
                <w:b w:val="false"/>
                <w:color w:val="000000"/>
                <w:sz w:val="12"/>
              </w:rPr>
              <w:t>(d)</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(114.6)</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profit</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4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243.5</w:t>
            </w:r>
            <w:r>
              <w:rPr>
                <w:color w:val="000000"/>
              </w:rPr>
              <w:t> </w:t>
            </w:r>
          </w:p>
        </w:tc>
        <w:tc>
          <w:tcPr>
            <w:tcW w:w="3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Amounts may not add due to rounding.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4"/>
        </w:rPr>
        <w:t xml:space="preserve">See page </w:t>
      </w:r>
      <w:hyperlink w:anchor="idd57d2d434d94a66b25399aea2ac9f34_82">
        <w:r>
          <w:rPr>
            <w:rStyle w:val="InternetLink"/>
            <w:rFonts w:ascii="Times New Roman;serif" w:hAnsi="Times New Roman;serif"/>
            <w:b w:val="false"/>
            <w:strike w:val="false"/>
            <w:dstrike w:val="false"/>
            <w:color w:val="000000"/>
            <w:sz w:val="14"/>
            <w:u w:val="none"/>
            <w:effect w:val="none"/>
          </w:rPr>
          <w:t>38</w:t>
        </w:r>
      </w:hyperlink>
      <w:r>
        <w:rPr>
          <w:rFonts w:ascii="Times New Roman;serif" w:hAnsi="Times New Roman;serif"/>
          <w:b w:val="false"/>
          <w:color w:val="000000"/>
          <w:sz w:val="14"/>
        </w:rPr>
        <w:t xml:space="preserve"> for footnote explanations.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Analysis of Segment Results: First Half 2026 versus First Half 2025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North America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4% ($32.2 million) primarily due to a 4% organic increase ($30.7 million) and the favorable impact of currency exchange rates ($1.5 million). Organic revenue increased primarily due to price increases and growth in AMS and DRS revenue, as well as BGS revenue. Operating profit increased 13% ($15.1 million) due to a 13% organic increase ($15.1 million). The organic increase was primarily driven by the net impact of revenue mix and cost productivity.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Latin America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11% ($68.4 million) due to the favorable impact of currency exchange rates ($49.1 million), primarily from the Mexican peso and Brazilian real, and a 3% organic increase ($18.3 million). The organic increase was driven by price increases across the segment, as well as growth in AMS and DRS revenue. Operating profit increased 8% ($9.0 million) due to the favorable impact of currency exchange rates ($6.4 million) and a 3% organic increase ($3.0 million). The organic increase was driven by higher revenue and cost productivity.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Europe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10% ($65.9 million) due to the favorable impact of currency exchange rates ($46.2 million) and a 3% organic increase ($18.6 million). The organic increase was primarily due to the growth of AMS and DRS revenue. Operating profit increased 30% ($20.9 million), primarily due to a 22% organic increase ($15.3 million). The organic increase was primarily driven by the mix benefit of higher AMS and DRS revenue.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Rest of World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14% ($53.7 million) due to a 11% organic increase ($42.0 million) and the favorable impact of currency exchange rates ($11.7 million). Organic growth in the segment was primarily due to growth in BGS revenue, AMS and DRS revenue, and pricing discipline. Operating profit increased 25% ($21.5 million) due to a 23% organic increase ($19.7 million) and the favorable impact of currency exchange rates ($1.8 million). The organic increase was driven by a favorable BGS revenue mix impact and higher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Analysis of Income and Expense Not Allocated to Segments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Income and expenses not allocated to segments are reported either as “Corporate Expenses” or “Other Items not Allocated to Segments.”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Corporate Expenses include costs to manage the global business and perform activities required by public companies as well as other items that are considered part of the Company's operations and revenue generating activities but are not considered when the CODM evaluates segment results. Examples include corporate staff compensation, corporate headquarters costs, regional management costs, share-based compensation, and currency transaction gains and losses.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Items not Allocated to Segments include income and expenses that are not necessary to operate our business in the ordinary course and are not considered when the CODM evaluates segment results. These include non-recurring as well as certain recurring costs and gains which are not considered to be part of the Company's operations and revenue generating activities. Each of the items in the “Other Items Not Allocated to Segments” table is excluded from non-GAAP operating profit.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Corporate Expenses</w:t>
      </w:r>
    </w:p>
    <w:tbl>
      <w:tblPr>
        <w:tblW w:w="9159" w:type="dxa"/>
        <w:jc w:val="left"/>
        <w:tblInd w:w="0" w:type="dxa"/>
        <w:tblLayout w:type="fixed"/>
        <w:tblCellMar>
          <w:top w:w="28" w:type="dxa"/>
          <w:left w:w="28" w:type="dxa"/>
          <w:bottom w:w="28" w:type="dxa"/>
          <w:right w:w="28" w:type="dxa"/>
        </w:tblCellMar>
      </w:tblPr>
      <w:tblGrid>
        <w:gridCol w:w="1145"/>
        <w:gridCol w:w="1008"/>
        <w:gridCol w:w="1012"/>
        <w:gridCol w:w="196"/>
        <w:gridCol w:w="541"/>
        <w:gridCol w:w="109"/>
        <w:gridCol w:w="109"/>
        <w:gridCol w:w="109"/>
        <w:gridCol w:w="109"/>
        <w:gridCol w:w="269"/>
        <w:gridCol w:w="271"/>
        <w:gridCol w:w="156"/>
        <w:gridCol w:w="109"/>
        <w:gridCol w:w="109"/>
        <w:gridCol w:w="109"/>
        <w:gridCol w:w="200"/>
        <w:gridCol w:w="200"/>
        <w:gridCol w:w="201"/>
        <w:gridCol w:w="109"/>
        <w:gridCol w:w="109"/>
        <w:gridCol w:w="109"/>
        <w:gridCol w:w="196"/>
        <w:gridCol w:w="541"/>
        <w:gridCol w:w="109"/>
        <w:gridCol w:w="109"/>
        <w:gridCol w:w="109"/>
        <w:gridCol w:w="109"/>
        <w:gridCol w:w="269"/>
        <w:gridCol w:w="271"/>
        <w:gridCol w:w="156"/>
        <w:gridCol w:w="109"/>
        <w:gridCol w:w="109"/>
        <w:gridCol w:w="109"/>
        <w:gridCol w:w="203"/>
        <w:gridCol w:w="203"/>
        <w:gridCol w:w="268"/>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gains (losses)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Corporate expenses for the three months ended June 30, 2026 increased $10.4 million versus the prior year period. This was primarily driven by higher costs for investments in global capabilities, primarily in AMS and DRS, and higher net incentive compensation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Corporate expenses for the first six months of 2026 increased $23.5 million versus the prior year period. This was primarily driven by higher costs for investments in global capabilities, primarily in AMS and DRS, and higher net incentive compensation costs.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Other Items Not Allocated to Segments</w:t>
      </w:r>
    </w:p>
    <w:tbl>
      <w:tblPr>
        <w:tblW w:w="10184" w:type="dxa"/>
        <w:jc w:val="left"/>
        <w:tblInd w:w="0" w:type="dxa"/>
        <w:tblLayout w:type="fixed"/>
        <w:tblCellMar>
          <w:top w:w="28" w:type="dxa"/>
          <w:left w:w="28" w:type="dxa"/>
          <w:bottom w:w="28" w:type="dxa"/>
          <w:right w:w="28" w:type="dxa"/>
        </w:tblCellMar>
      </w:tblPr>
      <w:tblGrid>
        <w:gridCol w:w="1416"/>
        <w:gridCol w:w="1247"/>
        <w:gridCol w:w="1251"/>
        <w:gridCol w:w="196"/>
        <w:gridCol w:w="541"/>
        <w:gridCol w:w="109"/>
        <w:gridCol w:w="109"/>
        <w:gridCol w:w="109"/>
        <w:gridCol w:w="109"/>
        <w:gridCol w:w="268"/>
        <w:gridCol w:w="272"/>
        <w:gridCol w:w="156"/>
        <w:gridCol w:w="109"/>
        <w:gridCol w:w="109"/>
        <w:gridCol w:w="109"/>
        <w:gridCol w:w="248"/>
        <w:gridCol w:w="248"/>
        <w:gridCol w:w="201"/>
        <w:gridCol w:w="109"/>
        <w:gridCol w:w="109"/>
        <w:gridCol w:w="109"/>
        <w:gridCol w:w="196"/>
        <w:gridCol w:w="631"/>
        <w:gridCol w:w="109"/>
        <w:gridCol w:w="109"/>
        <w:gridCol w:w="109"/>
        <w:gridCol w:w="109"/>
        <w:gridCol w:w="268"/>
        <w:gridCol w:w="272"/>
        <w:gridCol w:w="156"/>
        <w:gridCol w:w="109"/>
        <w:gridCol w:w="109"/>
        <w:gridCol w:w="109"/>
        <w:gridCol w:w="248"/>
        <w:gridCol w:w="248"/>
        <w:gridCol w:w="268"/>
      </w:tblGrid>
      <w:tr>
        <w:trPr/>
        <w:tc>
          <w:tcPr>
            <w:tcW w:w="141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3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Reorganization and restructuring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and dispositions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 highly inflationary impact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NCR Atleos acquisition and transformation initiatives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Non-routine legal matters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DOJ/FinCEN investigations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Chile antitrust matter </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items not allocated to segments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Reorganization and Restructuring</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Costs associated with certain reorganization and restructuring actions were excluded from reported non-GAAP results. These items included primarily severance charges and asset impairment losses. These costs related to global restructuring initiatives, completed in prior years, mainly to mitigate the impact of external economic conditions in light of the COVID-19 pandemic. Due to the unusual nature of the underlying events that led to these actions, the charges are not considered part of the Company's operations and revenue generating activities. Management has excluded these amounts when evaluating internal performance. As such, they have not been allocated to segment or Corporate results and are excluded from non-GAAP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Acquisitions and dispositions</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Certain acquisition and disposition items are not part of the Company's operations and revenue generating activities. These items include non-cash amortization expense for acquisition-related intangible assets, as well as integration, transaction, restructuring and certain compensation costs. All of the items are significantly impacted by the timing and nature of our acquisitions and dispositions, and many are inconsistent in amount and frequency. Management has excluded these amounts when evaluating internal performance. Therefore, we have not allocated these amounts to segment or Corporate results and have excluded these amounts from non-GAAP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These items are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2026 Acquisitions and Dispositions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Amortization expense for acquisition-related intangible assets was $29.3 million in the first six months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2025 Acquisitions and Dispositions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Amortization expense for acquisition-related intangible assets was $29.2 million in the first six months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Restructuring costs related to acquisitions were $9.7 million in the first six months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Net charges of $2.2 million were incurred for post-acquisition adjustments to indemnification assets related to previous business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We incurred $1.6 million in integration costs in the first six months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Transaction costs related to business acquisitions were $1.1 million in the first six months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Argentina highly inflationary impact</w:t>
      </w:r>
      <w:r>
        <w:rPr>
          <w:color w:val="000000"/>
        </w:rPr>
        <w:t xml:space="preserve"> </w:t>
      </w:r>
      <w:r>
        <w:rPr>
          <w:rFonts w:ascii="Times New Roman;serif" w:hAnsi="Times New Roman;serif"/>
          <w:b w:val="false"/>
          <w:color w:val="000000"/>
          <w:sz w:val="18"/>
        </w:rPr>
        <w:t>Beginning in the third quarter of 2018, we designated Argentina's economy as highly inflationary for accounting purposes. As a result, Argentine peso-denominated monetary assets and liabilities are now remeasured at each balance sheet date to the currency exchange rate then in effect, with currency remeasurement gains and losses recognized in earnings. In addition, nonmonetary assets retain a higher historical basis when the currency is devalued. The higher historical basis results in incremental expense being recognized when the nonmonetary assets are consumed. In the first six months of 2026, we recognized $2.8 million in pretax charges in operating profit related to highly inflationary accounting, including currency remeasurement losses of $0.8 million. In the first six months of 2025, we recognized $4.4 million in pretax charges in operating profit related to highly inflationary accounting, including currency remeasurement loss of $14.1 million. Highly inflationary adjustments also impact gains and losses on marketable securities due to the change in exchange rates. These non-cash charges are not part of the Company's operations and revenue generating activities. Management has excluded these amounts when evaluating internal performance. As such, they have not been allocated to segment or Corporate results and are excluded from non-GAAP results.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i/>
          <w:color w:val="000000"/>
          <w:sz w:val="18"/>
        </w:rPr>
        <w:t xml:space="preserve">NCR Atleos acquisition and transformation initiatives </w:t>
      </w:r>
      <w:r>
        <w:rPr>
          <w:rFonts w:ascii="Times New Roman;serif" w:hAnsi="Times New Roman;serif"/>
          <w:b w:val="false"/>
          <w:color w:val="000000"/>
          <w:sz w:val="18"/>
        </w:rPr>
        <w:t xml:space="preserve">On February 26, 2026, we entered into a definitive agreement to acquire NCR Atleos. The transaction is expected to close in the first quarter of 2027, subject to regulatory approval and other customary closing conditions. This acquisition represents a significant strategic step for Brink’s, expanding the scale of the combined company and supporting continued growth in our AMS and DRS offerings, which reflect an increasing portion of our business mix.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During 2023, we initiated a multi-year program intended to accelerate growth and drive margin expansion through transformation of our business model. The program is designed to help us standardize and streamline our commercial and operational systems and processes, as well as back-office functions, including finance and information technology. The efforts will drive continuous improvement and achieve operational excellence.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Accordingly, we incurred $10.5 million of expense in the first six months of 2025, which primarily included third-party professional services. During the first six months of 2026, we incurred $75.3 million of related costs, including severance costs; fees to attorneys, accountants and other professional advisors related to the NCR Atleos acquisition; as well as third-party professional services. Because these expenses are associated with discrete transformation initiatives, they are not reflective of our ongoing operating cost structure and are not indicative of our core operating expenses or normal activities. Accordingly, management has excluded these amounts when evaluating internal performance. As such, they have not been allocated to segment or Corporate results and are excluded from non-GAAP results.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i/>
          <w:color w:val="000000"/>
          <w:sz w:val="18"/>
        </w:rPr>
        <w:t xml:space="preserve">Non-routine legal matters </w:t>
      </w:r>
      <w:r>
        <w:rPr>
          <w:rFonts w:ascii="Times New Roman;serif" w:hAnsi="Times New Roman;serif"/>
          <w:b w:val="false"/>
          <w:color w:val="000000"/>
          <w:sz w:val="18"/>
        </w:rPr>
        <w:t>In the first six months of 2026, we recognized $2.9 million of probable losses and related legal costs in connection with non-routine legal matters. These costs relate to fact-specific matters that management does not believe are indicative of the Company's underlying operational performance for the period. Additionally, the nature of these amounts and the underlying claims are such that they are not reasonably likely to recur based on the Company's historical experience within two years, nor were there similar charges for such matters within the prior two years. Management has excluded these amounts when evaluating internal operating performance, and accordingly, these amounts have not been allocated to segment or Corporate results and are excluded from non-GAAP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DOJ/FinCEN investigations</w:t>
      </w:r>
      <w:r>
        <w:rPr>
          <w:color w:val="000000"/>
        </w:rPr>
        <w:t xml:space="preserve"> </w:t>
      </w:r>
      <w:r>
        <w:rPr>
          <w:rFonts w:ascii="Times New Roman;serif" w:hAnsi="Times New Roman;serif"/>
          <w:b w:val="false"/>
          <w:color w:val="000000"/>
          <w:sz w:val="18"/>
        </w:rPr>
        <w:t xml:space="preserve">During the first six months of 2026, we accrued $2.1 million in connection with the DOJ and FinCEN investigations, which represents third-party legal costs associated with these matters. In the first quarter of 2025, we reached resolutions with both the DOJ and FinCEN. These costs are not considered part of the Company's operations and revenue generating activities. Additionally, the nature of these amounts and the underlying investigations are such that they are not reasonably likely to recur within two years, nor were there similar charges within the prior two years. Management has excluded these amounts when evaluating internal performance. Therefore, these amounts have not been allocated to segment or Corporate results and are excluded from non-GAAP results. </w:t>
      </w:r>
    </w:p>
    <w:p>
      <w:pPr>
        <w:pStyle w:val="TextBody"/>
        <w:bidi w:val="0"/>
        <w:spacing w:before="0" w:after="0"/>
        <w:jc w:val="left"/>
        <w:rPr/>
      </w:pPr>
      <w:r>
        <w:rPr/>
      </w:r>
    </w:p>
    <w:p>
      <w:pPr>
        <w:pStyle w:val="TextBody"/>
        <w:bidi w:val="0"/>
        <w:spacing w:lineRule="auto" w:line="288" w:before="0" w:after="0"/>
        <w:jc w:val="left"/>
        <w:rPr/>
      </w:pPr>
      <w:bookmarkStart w:id="1" w:name="ie57a951ed9a2484abd8f10bae3ef724b_9598"/>
      <w:bookmarkEnd w:id="1"/>
      <w:r>
        <w:rPr>
          <w:rFonts w:ascii="Times New Roman;serif" w:hAnsi="Times New Roman;serif"/>
          <w:b/>
          <w:i/>
          <w:color w:val="000000"/>
          <w:sz w:val="18"/>
        </w:rPr>
        <w:t>Chile antitrust matter</w:t>
      </w:r>
      <w:r>
        <w:rPr>
          <w:color w:val="000000"/>
        </w:rPr>
        <w:t xml:space="preserve"> </w:t>
      </w:r>
      <w:r>
        <w:rPr>
          <w:rFonts w:ascii="Times New Roman;serif" w:hAnsi="Times New Roman;serif"/>
          <w:b w:val="false"/>
          <w:color w:val="000000"/>
          <w:sz w:val="18"/>
        </w:rPr>
        <w:t>We recognized an estimated loss of $9.5 million in 2021 and recognized additional amounts in subsequent years (which were primarily related to changes in currency rates). Overall, these charges related to a potential fine associated with an investigation by the Chilean Fiscalía Nacional Económica or "FNE" (the Chilean antitrust agency). The investigation is related to potential anti-competitive practices among competitors in the cash logistics industry in Chile. These costs are not considered part of the Company's operations and revenue generating activities. Additionally, the nature of these amounts, including the estimated loss and associated third-party costs, is such that they are not reasonably likely to recur within two years, nor were there similar charges within the prior two years of the underlying event. Management has excluded these amounts when evaluating internal performance. Therefore, these amounts have not been allocated to segment or Corporate results and are excluded from non-GAAP results. See Note 13 for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Foreign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currently serve customers in more than 100 countries, including 51 countries where we operate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are subject to risks customarily associated with doing business in foreign countries, including labor and economic conditions, the imposition of international sanctions, including by the U.S. government, political instability, controls on repatriation of earnings and capital, nationalization, expropriation and other forms of restrictive action by local governments. Changes in the political or economic environments in the countries in which we operate could have a material adverse effect on our business, financial condition and results of operations. The future effects, if any, of these risks are unknown. In April 2019, the U.S. government sanctioned the Venezuela central bank and, as a result, the Company has ceased support of the Venezuela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 Argentina's economy remained highly inflationary for accounting purposes. See Note 1 for more details about our Argentina operations including a description of how we account for currency remeasurement for our Argentine subsidiaries and the potential impacts of converting local currency into U.S. dollars.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international operations conduct a majority of their business in local currencies. Because our financial results are reported in U.S. dollars, they are affected by changes in the value of various local currencies in relation to the U.S. dollar. Future fluctuations in exchange rates could have either a positive or negative impact on our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Changes in exchange rates may also affect transactions that are denominated in currencies other than the functional currency. From time to time, we use short term foreign currency forward and swap contracts to hedge transactional risks associated with foreign currencies. These short term foreign currency forward and swap contracts primarily offset exposures in the euro, the British pound, and the Mexican peso, and are not designated as hedges for accounting purposes. Accordingly, changes in their fair value are recorded immediately in earnings. See Note 7 for more details regarding our economic hedges.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entered into cross currency swaps and foreign exchange forward swap contracts to hedge a portion of our net investments in certain of our subsidiaries with euro and other functional currencies. As net investment hedges for accounting purposes, we elected to use the spot method to assess effectiveness for these derivatives that are designated as net investment hedges. Accordingly, changes in fair value attributable to changes in the undiscounted spot rates are recorded in the foreign currency translation adjustments component of accumulated other comprehensive income (loss) and will remain there until the hedged net investments are sold or substantially liquidated. We have elected to exclude the spot-forward difference from the assessment of hedge effectiveness and are amortizing this amount separately on a straight-line basis over the term of the cross currency swaps. See Note 7 for more details regarding these contracts.</w:t>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Other Operating Income and Expense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 includes amounts included in segment results as well as income and expense not allocated to segments.</w:t>
      </w:r>
    </w:p>
    <w:tbl>
      <w:tblPr>
        <w:tblW w:w="9599" w:type="dxa"/>
        <w:jc w:val="left"/>
        <w:tblInd w:w="0" w:type="dxa"/>
        <w:tblLayout w:type="fixed"/>
        <w:tblCellMar>
          <w:top w:w="28" w:type="dxa"/>
          <w:left w:w="28" w:type="dxa"/>
          <w:bottom w:w="28" w:type="dxa"/>
          <w:right w:w="28" w:type="dxa"/>
        </w:tblCellMar>
      </w:tblPr>
      <w:tblGrid>
        <w:gridCol w:w="1335"/>
        <w:gridCol w:w="1175"/>
        <w:gridCol w:w="1179"/>
        <w:gridCol w:w="196"/>
        <w:gridCol w:w="451"/>
        <w:gridCol w:w="109"/>
        <w:gridCol w:w="109"/>
        <w:gridCol w:w="109"/>
        <w:gridCol w:w="109"/>
        <w:gridCol w:w="269"/>
        <w:gridCol w:w="271"/>
        <w:gridCol w:w="156"/>
        <w:gridCol w:w="109"/>
        <w:gridCol w:w="109"/>
        <w:gridCol w:w="109"/>
        <w:gridCol w:w="203"/>
        <w:gridCol w:w="203"/>
        <w:gridCol w:w="201"/>
        <w:gridCol w:w="109"/>
        <w:gridCol w:w="109"/>
        <w:gridCol w:w="109"/>
        <w:gridCol w:w="196"/>
        <w:gridCol w:w="541"/>
        <w:gridCol w:w="109"/>
        <w:gridCol w:w="109"/>
        <w:gridCol w:w="109"/>
        <w:gridCol w:w="109"/>
        <w:gridCol w:w="269"/>
        <w:gridCol w:w="271"/>
        <w:gridCol w:w="156"/>
        <w:gridCol w:w="109"/>
        <w:gridCol w:w="109"/>
        <w:gridCol w:w="109"/>
        <w:gridCol w:w="203"/>
        <w:gridCol w:w="203"/>
        <w:gridCol w:w="268"/>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items:</w:t>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Transaction gains (losses)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Derivative instrument gains (losses)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sale of property and other assets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Indemnification asset adjustments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in earnings of equity affiliates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gains (losses)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r>
        <w:trPr/>
        <w:tc>
          <w:tcPr>
            <w:tcW w:w="36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Nonoperating Income and Expense</w:t>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Interest expense</w:t>
      </w:r>
    </w:p>
    <w:tbl>
      <w:tblPr>
        <w:tblW w:w="8968" w:type="dxa"/>
        <w:jc w:val="left"/>
        <w:tblInd w:w="0" w:type="dxa"/>
        <w:tblLayout w:type="fixed"/>
        <w:tblCellMar>
          <w:top w:w="28" w:type="dxa"/>
          <w:left w:w="28" w:type="dxa"/>
          <w:bottom w:w="28" w:type="dxa"/>
          <w:right w:w="28" w:type="dxa"/>
        </w:tblCellMar>
      </w:tblPr>
      <w:tblGrid>
        <w:gridCol w:w="971"/>
        <w:gridCol w:w="855"/>
        <w:gridCol w:w="858"/>
        <w:gridCol w:w="109"/>
        <w:gridCol w:w="196"/>
        <w:gridCol w:w="466"/>
        <w:gridCol w:w="109"/>
        <w:gridCol w:w="109"/>
        <w:gridCol w:w="109"/>
        <w:gridCol w:w="109"/>
        <w:gridCol w:w="109"/>
        <w:gridCol w:w="233"/>
        <w:gridCol w:w="233"/>
        <w:gridCol w:w="156"/>
        <w:gridCol w:w="109"/>
        <w:gridCol w:w="109"/>
        <w:gridCol w:w="109"/>
        <w:gridCol w:w="200"/>
        <w:gridCol w:w="200"/>
        <w:gridCol w:w="201"/>
        <w:gridCol w:w="109"/>
        <w:gridCol w:w="109"/>
        <w:gridCol w:w="109"/>
        <w:gridCol w:w="109"/>
        <w:gridCol w:w="196"/>
        <w:gridCol w:w="556"/>
        <w:gridCol w:w="109"/>
        <w:gridCol w:w="109"/>
        <w:gridCol w:w="109"/>
        <w:gridCol w:w="109"/>
        <w:gridCol w:w="109"/>
        <w:gridCol w:w="278"/>
        <w:gridCol w:w="278"/>
        <w:gridCol w:w="156"/>
        <w:gridCol w:w="109"/>
        <w:gridCol w:w="109"/>
        <w:gridCol w:w="109"/>
        <w:gridCol w:w="189"/>
        <w:gridCol w:w="189"/>
        <w:gridCol w:w="268"/>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gridSpan w:val="6"/>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26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was higher for the three and six months ended June 30, 2026, compared to the same prior year periods due to higher interest rates on corporate debt and overall higher borrowing levels. Borrowings were primarily used to fund growth in our DRS business and other general corporate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Interest and other nonoperating income (expense)</w:t>
      </w:r>
    </w:p>
    <w:tbl>
      <w:tblPr>
        <w:tblW w:w="9271" w:type="dxa"/>
        <w:jc w:val="left"/>
        <w:tblInd w:w="0" w:type="dxa"/>
        <w:tblLayout w:type="fixed"/>
        <w:tblCellMar>
          <w:top w:w="28" w:type="dxa"/>
          <w:left w:w="28" w:type="dxa"/>
          <w:bottom w:w="28" w:type="dxa"/>
          <w:right w:w="28" w:type="dxa"/>
        </w:tblCellMar>
      </w:tblPr>
      <w:tblGrid>
        <w:gridCol w:w="1309"/>
        <w:gridCol w:w="1151"/>
        <w:gridCol w:w="1155"/>
        <w:gridCol w:w="196"/>
        <w:gridCol w:w="451"/>
        <w:gridCol w:w="109"/>
        <w:gridCol w:w="109"/>
        <w:gridCol w:w="109"/>
        <w:gridCol w:w="109"/>
        <w:gridCol w:w="224"/>
        <w:gridCol w:w="226"/>
        <w:gridCol w:w="156"/>
        <w:gridCol w:w="109"/>
        <w:gridCol w:w="109"/>
        <w:gridCol w:w="109"/>
        <w:gridCol w:w="203"/>
        <w:gridCol w:w="203"/>
        <w:gridCol w:w="201"/>
        <w:gridCol w:w="109"/>
        <w:gridCol w:w="109"/>
        <w:gridCol w:w="109"/>
        <w:gridCol w:w="196"/>
        <w:gridCol w:w="451"/>
        <w:gridCol w:w="109"/>
        <w:gridCol w:w="109"/>
        <w:gridCol w:w="109"/>
        <w:gridCol w:w="109"/>
        <w:gridCol w:w="233"/>
        <w:gridCol w:w="233"/>
        <w:gridCol w:w="156"/>
        <w:gridCol w:w="109"/>
        <w:gridCol w:w="109"/>
        <w:gridCol w:w="109"/>
        <w:gridCol w:w="203"/>
        <w:gridCol w:w="203"/>
        <w:gridCol w:w="268"/>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and debt securities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gains (losses)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 cost other than service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 turnover tax</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Non-income taxes on intercompany billings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nonoperating income (expense)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Income Taxes</w:t>
      </w:r>
    </w:p>
    <w:tbl>
      <w:tblPr>
        <w:tblW w:w="7321" w:type="dxa"/>
        <w:jc w:val="left"/>
        <w:tblInd w:w="0" w:type="dxa"/>
        <w:tblLayout w:type="fixed"/>
        <w:tblCellMar>
          <w:top w:w="28" w:type="dxa"/>
          <w:left w:w="28" w:type="dxa"/>
          <w:bottom w:w="28" w:type="dxa"/>
          <w:right w:w="28" w:type="dxa"/>
        </w:tblCellMar>
      </w:tblPr>
      <w:tblGrid>
        <w:gridCol w:w="1090"/>
        <w:gridCol w:w="958"/>
        <w:gridCol w:w="967"/>
        <w:gridCol w:w="196"/>
        <w:gridCol w:w="466"/>
        <w:gridCol w:w="256"/>
        <w:gridCol w:w="109"/>
        <w:gridCol w:w="109"/>
        <w:gridCol w:w="109"/>
        <w:gridCol w:w="233"/>
        <w:gridCol w:w="233"/>
        <w:gridCol w:w="256"/>
        <w:gridCol w:w="109"/>
        <w:gridCol w:w="109"/>
        <w:gridCol w:w="109"/>
        <w:gridCol w:w="196"/>
        <w:gridCol w:w="466"/>
        <w:gridCol w:w="256"/>
        <w:gridCol w:w="109"/>
        <w:gridCol w:w="109"/>
        <w:gridCol w:w="109"/>
        <w:gridCol w:w="233"/>
        <w:gridCol w:w="233"/>
        <w:gridCol w:w="301"/>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except for effective tax rate) </w:t>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Continuing operations</w:t>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Effective Income Tax Rate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effective tax rate may fluctuate materially from these estimates due to changes in pre-tax earnings, permanent book-tax differences, changes in the expected amount and geographical mix of earnings, changes in current or deferred taxes due to legislative changes, changes in valuation allowances or accruals for contingencies, changes in distributions of share-based payments, changes in U.S. taxable income, and other factors.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Noncontrolling Interests</w:t>
      </w:r>
    </w:p>
    <w:tbl>
      <w:tblPr>
        <w:tblW w:w="8959" w:type="dxa"/>
        <w:jc w:val="left"/>
        <w:tblInd w:w="0" w:type="dxa"/>
        <w:tblLayout w:type="fixed"/>
        <w:tblCellMar>
          <w:top w:w="28" w:type="dxa"/>
          <w:left w:w="28" w:type="dxa"/>
          <w:bottom w:w="28" w:type="dxa"/>
          <w:right w:w="28" w:type="dxa"/>
        </w:tblCellMar>
      </w:tblPr>
      <w:tblGrid>
        <w:gridCol w:w="1319"/>
        <w:gridCol w:w="1161"/>
        <w:gridCol w:w="1165"/>
        <w:gridCol w:w="196"/>
        <w:gridCol w:w="376"/>
        <w:gridCol w:w="109"/>
        <w:gridCol w:w="109"/>
        <w:gridCol w:w="109"/>
        <w:gridCol w:w="109"/>
        <w:gridCol w:w="188"/>
        <w:gridCol w:w="188"/>
        <w:gridCol w:w="156"/>
        <w:gridCol w:w="109"/>
        <w:gridCol w:w="109"/>
        <w:gridCol w:w="109"/>
        <w:gridCol w:w="203"/>
        <w:gridCol w:w="203"/>
        <w:gridCol w:w="201"/>
        <w:gridCol w:w="109"/>
        <w:gridCol w:w="109"/>
        <w:gridCol w:w="109"/>
        <w:gridCol w:w="196"/>
        <w:gridCol w:w="376"/>
        <w:gridCol w:w="109"/>
        <w:gridCol w:w="109"/>
        <w:gridCol w:w="109"/>
        <w:gridCol w:w="109"/>
        <w:gridCol w:w="188"/>
        <w:gridCol w:w="188"/>
        <w:gridCol w:w="156"/>
        <w:gridCol w:w="109"/>
        <w:gridCol w:w="109"/>
        <w:gridCol w:w="109"/>
        <w:gridCol w:w="189"/>
        <w:gridCol w:w="189"/>
        <w:gridCol w:w="268"/>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36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decrease in the net income attributable to noncontrolling interests in the first three months ended June 30, 2026, in comparison to the first three months ended June 30, 2025, is primarily attributable to lower 2026 operating results reported by certain subsidiaries that are not wholly-owned. The decrease in the net income attributable to noncontrolling interests in the first six months ended June 30, 2026, in comparison to the first six months ended June 30, 2025, is primarily attributable to lower 2026 operating results reported by certain subsidiaries that are not wholly-owned.</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Non-GAAP Measures and Reconciliations to GAAP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Non-GAAP measures described below and included in this filing are financial measures that are not required by or presented in accordance with GAAP. The purpose of the disclosure of these non-GAAP measures is to report financial information from the primary operations of our business by excluding the effects of certain income and expenses that do not reflect the ordinary earnings of our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These non-GAAP financial measures are intended to provide investors with a supplemental comparison of our operating results and trends for the periods presented. Our management believes these measures are also useful to investors as such measures allow investors to evaluate our performance using the same metrics that our management uses to evaluate past performance and prospects for future performance. The reconciliations in the tables below include adjustments that we do not consider reflective of our operating performance as they result from events and circumstances that are not a part of our core business. Additionally, certain non-GAAP results, including non-GAAP operating profit and free cash flow before dividends, are utilized as performance measures in certain management incentive compensation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Non-GAAP results should not be considered as an alternative to results determined in accordance with GAAP and should be read in conjunction with their GAAP counterparts. Non-GAAP financial measures may not be comparable to non-GAAP financial measures presented by other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items excluded from non-GAAP measures are considered by us to be nonrecurring, infrequent or unusual costs and gains as well as other items not considered part of our operations and revenue generating activities. Non-recurring and infrequent items are items that are not reasonably expected to recur in the following two years.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to the rationale described above, we believe the following non-GAAP metrics are helpful to investors in assessing results of operations consistent with how our management evaluates performance: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Non-GAAP operating profit and Non-GAAP operating profit margin</w:t>
      </w:r>
      <w:r>
        <w:rPr>
          <w:rFonts w:ascii="Times New Roman;serif" w:hAnsi="Times New Roman;serif"/>
          <w:b w:val="false"/>
          <w:color w:val="000000"/>
          <w:sz w:val="18"/>
        </w:rPr>
        <w:t xml:space="preserve">: Non-GAAP operating profit equals GAAP operating profit excluding Other Items not Allocated to Segments. Non-GAAP operating margin equals non-GAAP operating profit divided by revenues.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Non-GAAP income from continuing operations attributable to Brink's</w:t>
      </w:r>
      <w:r>
        <w:rPr>
          <w:rFonts w:ascii="Times New Roman;serif" w:hAnsi="Times New Roman;serif"/>
          <w:b w:val="false"/>
          <w:color w:val="000000"/>
          <w:sz w:val="18"/>
        </w:rPr>
        <w:t>: This measure equals GAAP income from continuing operations attributable to Brink's excluding Other Items not Allocated to Segments as well as certain retirement plan expenses/gains.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Earnings Before Interest Expense, Income Taxes, Depreciation and Amortization ("EBITDA") and Adjusted EBITDA:</w:t>
      </w:r>
      <w:r>
        <w:rPr>
          <w:color w:val="000000"/>
        </w:rPr>
        <w:t xml:space="preserve"> </w:t>
      </w:r>
      <w:r>
        <w:rPr>
          <w:rFonts w:ascii="Times New Roman;serif" w:hAnsi="Times New Roman;serif"/>
          <w:b w:val="false"/>
          <w:color w:val="000000"/>
          <w:sz w:val="18"/>
        </w:rPr>
        <w:t xml:space="preserve">EBITDA is calculated by starting with net income attributable to Brink's and adding back the amounts for interest expense, income taxes, depreciation and amortization. Adjusted EBITDA equals EBITDA excluding the applicable impacts of Other Items not Allocated to Segments as well as certain retirement plan expenses/gains, income tax rate adjustments, share-based compensation and marketable securities (gain) loss.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Non-GAAP diluted EPS from continuing operations attributable to Brink's common shareholders</w:t>
      </w:r>
      <w:r>
        <w:rPr>
          <w:rFonts w:ascii="Times New Roman;serif" w:hAnsi="Times New Roman;serif"/>
          <w:b w:val="false"/>
          <w:color w:val="000000"/>
          <w:sz w:val="18"/>
        </w:rPr>
        <w:t>: This measure equals non-GAAP income from continuing operations attributable to Brink's divided by diluted shares.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Organic change and organic growth</w:t>
      </w:r>
      <w:r>
        <w:rPr>
          <w:rFonts w:ascii="Times New Roman;serif" w:hAnsi="Times New Roman;serif"/>
          <w:b w:val="false"/>
          <w:color w:val="000000"/>
          <w:sz w:val="18"/>
        </w:rPr>
        <w:t xml:space="preserve">: Organic change represents the change in revenues or operating profit between the current and prior period excluding the effect of acquisitions and dispositions for one year after the transaction and changes in currency exchange rates. Organic growth is the percentage change of organic growth versus the prior year amount.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Impact of acquisitions/dispositions:</w:t>
      </w:r>
      <w:r>
        <w:rPr>
          <w:color w:val="000000"/>
        </w:rPr>
        <w:t xml:space="preserve"> </w:t>
      </w:r>
      <w:r>
        <w:rPr>
          <w:rFonts w:ascii="Times New Roman;serif" w:hAnsi="Times New Roman;serif"/>
          <w:b w:val="false"/>
          <w:color w:val="000000"/>
          <w:sz w:val="18"/>
        </w:rPr>
        <w:t xml:space="preserve">This measure represents the impact of acquisitions or dispositions without a full year of reported results in either comparable period.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Currency effect:</w:t>
      </w:r>
      <w:r>
        <w:rPr>
          <w:color w:val="000000"/>
        </w:rPr>
        <w:t xml:space="preserve"> </w:t>
      </w:r>
      <w:r>
        <w:rPr>
          <w:rFonts w:ascii="Times New Roman;serif" w:hAnsi="Times New Roman;serif"/>
          <w:b w:val="false"/>
          <w:color w:val="000000"/>
          <w:sz w:val="18"/>
        </w:rPr>
        <w:t>This measure consists of the effects of Argentina devaluations under highly inflationary accounting and the sum of monthly currency changes. Monthly currency changes represent the accumulation throughout the year of the impact on current period results of changes in foreign currency rates from the prior year period.</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Non-GAAP pre-tax income, Non-GAAP income tax and Non-GAAP effective income tax rate</w:t>
      </w:r>
      <w:r>
        <w:rPr>
          <w:rFonts w:ascii="Times New Roman;serif" w:hAnsi="Times New Roman;serif"/>
          <w:b w:val="false"/>
          <w:color w:val="000000"/>
          <w:sz w:val="18"/>
        </w:rPr>
        <w:t>: Non-GAAP pre-tax income and non-GAAP income tax equal their GAAP counterparts excluding the applicable impacts of Other Items not Allocated to Segments as well as certain retirement plan expenses/gains. Non-GAAP effective income tax rate equals non-GAAP income tax divided by non-GAAP pre-tax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to the rationale described above, we believe the following non-GAAP metrics are helpful in assessing cash flow and financial leverage consistent with how our management evaluates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Free cash flow before dividends:</w:t>
      </w:r>
      <w:r>
        <w:rPr>
          <w:color w:val="000000"/>
        </w:rPr>
        <w:t xml:space="preserve"> </w:t>
      </w:r>
      <w:r>
        <w:rPr>
          <w:rFonts w:ascii="Times New Roman;serif" w:hAnsi="Times New Roman;serif"/>
          <w:b w:val="false"/>
          <w:color w:val="000000"/>
          <w:sz w:val="18"/>
        </w:rPr>
        <w:t>Free cash flow before dividends is a non-GAAP financial measure that represents management’s calculation of cash flows that are available for capital and investing activities such as paying dividends, share repurchases, debt, acquisition and other investments. We define free cash flow before dividends as net cash provided by (used in) operating activities, adjusted to exclude certain operating activities related to cash that is not available for corporate purposes, including the impact of cash flows from restricted cash held for customers, as well as cash received and processed in certain of our secure cash management services operations. The resulting amount is further adjusted to include the impact of cash flows related to property and equipment used to operate our business, including capital expenditures, cash proceeds from the sale of property and equipment, as well as lessor debt financing. Free cash flow before dividends also excludes the cash impact of transaction costs related to the NCR Atleos acquisition.</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Net debt</w:t>
      </w:r>
      <w:r>
        <w:rPr>
          <w:rFonts w:ascii="Times New Roman;serif" w:hAnsi="Times New Roman;serif"/>
          <w:b w:val="false"/>
          <w:color w:val="000000"/>
          <w:sz w:val="18"/>
        </w:rPr>
        <w:t xml:space="preserve">: Net Debt equals total debt less cash and cash equivalents available for general corporate purposes. We exclude from cash and cash equivalents amounts held by our cash management services operations, as such amounts are not considered available for general corporate purposes. See page </w:t>
      </w:r>
      <w:hyperlink w:anchor="idd57d2d434d94a66b25399aea2ac9f34_124">
        <w:r>
          <w:rPr>
            <w:rStyle w:val="InternetLink"/>
            <w:rFonts w:ascii="Times New Roman;serif" w:hAnsi="Times New Roman;serif"/>
            <w:b w:val="false"/>
            <w:strike w:val="false"/>
            <w:dstrike w:val="false"/>
            <w:color w:val="000000"/>
            <w:sz w:val="18"/>
            <w:u w:val="none"/>
            <w:effect w:val="none"/>
          </w:rPr>
          <w:t>55</w:t>
        </w:r>
      </w:hyperlink>
      <w:r>
        <w:rPr>
          <w:rFonts w:ascii="Times New Roman;serif" w:hAnsi="Times New Roman;serif"/>
          <w:b w:val="false"/>
          <w:color w:val="000000"/>
          <w:sz w:val="18"/>
        </w:rPr>
        <w:t xml:space="preserve"> for more details.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18"/>
        </w:rPr>
      </w:pPr>
      <w:bookmarkStart w:id="2" w:name="i12e5f5559c9a41feb87f4efa34a49eea_10860"/>
      <w:bookmarkEnd w:id="2"/>
      <w:r>
        <w:rPr>
          <w:rFonts w:ascii="Times New Roman;serif" w:hAnsi="Times New Roman;serif"/>
          <w:b/>
          <w:color w:val="000000"/>
          <w:sz w:val="18"/>
        </w:rPr>
        <w:t xml:space="preserve">Reconciliations of Non-GAAP to GAAP Measures </w:t>
      </w:r>
    </w:p>
    <w:p>
      <w:pPr>
        <w:pStyle w:val="TextBody"/>
        <w:bidi w:val="0"/>
        <w:spacing w:lineRule="auto" w:line="288" w:before="0" w:after="0"/>
        <w:jc w:val="left"/>
        <w:rPr/>
      </w:pPr>
      <w:r>
        <w:rPr>
          <w:rFonts w:ascii="Times New Roman;serif" w:hAnsi="Times New Roman;serif"/>
          <w:b w:val="false"/>
          <w:color w:val="000000"/>
          <w:sz w:val="18"/>
        </w:rPr>
        <w:t xml:space="preserve">Non-GAAP measures are reconciled to comparable GAAP measures either in the tables below or in “Liquidity and Capital Resources” section. Amounts reported for prior periods have been updated in this report to present information consistently for all periods presented. Most of the reconciling adjustments are described in Other Items Not Allocated to Segments above on pages </w:t>
      </w:r>
      <w:hyperlink w:anchor="idd57d2d434d94a66b25399aea2ac9f34_94">
        <w:r>
          <w:rPr>
            <w:rStyle w:val="InternetLink"/>
            <w:rFonts w:ascii="Times New Roman;serif" w:hAnsi="Times New Roman;serif"/>
            <w:b w:val="false"/>
            <w:strike w:val="false"/>
            <w:dstrike w:val="false"/>
            <w:color w:val="000000"/>
            <w:sz w:val="18"/>
            <w:u w:val="none"/>
            <w:effect w:val="none"/>
          </w:rPr>
          <w:t>40</w:t>
        </w:r>
      </w:hyperlink>
      <w:r>
        <w:rPr>
          <w:rFonts w:ascii="Times New Roman;serif" w:hAnsi="Times New Roman;serif"/>
          <w:b w:val="false"/>
          <w:color w:val="000000"/>
          <w:sz w:val="18"/>
        </w:rPr>
        <w:t>–</w:t>
      </w:r>
      <w:hyperlink w:anchor="ie57a951ed9a2484abd8f10bae3ef724b_9598">
        <w:r>
          <w:rPr>
            <w:rStyle w:val="InternetLink"/>
            <w:rFonts w:ascii="Times New Roman;serif" w:hAnsi="Times New Roman;serif"/>
            <w:b w:val="false"/>
            <w:strike w:val="false"/>
            <w:dstrike w:val="false"/>
            <w:color w:val="000000"/>
            <w:sz w:val="18"/>
            <w:u w:val="none"/>
            <w:effect w:val="none"/>
          </w:rPr>
          <w:t>42</w:t>
        </w:r>
      </w:hyperlink>
      <w:r>
        <w:rPr>
          <w:rFonts w:ascii="Times New Roman;serif" w:hAnsi="Times New Roman;serif"/>
          <w:b w:val="false"/>
          <w:color w:val="000000"/>
          <w:sz w:val="18"/>
        </w:rPr>
        <w:t>. Additional reconciling items include the following: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Retirement plans </w:t>
      </w:r>
      <w:r>
        <w:rPr>
          <w:rFonts w:ascii="Times New Roman;serif" w:hAnsi="Times New Roman;serif"/>
          <w:b w:val="false"/>
          <w:color w:val="000000"/>
          <w:sz w:val="18"/>
        </w:rPr>
        <w:t xml:space="preserve">We incur costs, such as interest expense and amortization of actuarial gains and losses, associated with certain retirement plans that have been frozen to new entrants. Furthermore, we also incur non-cash settlement charges and curtailment gains related to all of our retirement plans. These costs and gains are not considered to be part of the Company's operations and revenue generating activities. Management has excluded these amounts when evaluating internal performance. Therefore, they are excluded from non-GAAP results.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Change in restricted cash held for customers </w:t>
      </w:r>
      <w:r>
        <w:rPr>
          <w:rFonts w:ascii="Times New Roman;serif" w:hAnsi="Times New Roman;serif"/>
          <w:b w:val="false"/>
          <w:color w:val="000000"/>
          <w:sz w:val="18"/>
        </w:rPr>
        <w:t>Restricted cash held for customers is not available for general corporate purposes such as payroll, vendor invoice payments, debt repayment, or capital expenditures. Because the cash is not available to support the Company's operations and revenue generating activities, management excludes the changes in the restricted cash held for customers balance when assessing cash flows from operations. We believe that the exclusion of the change in restricted cash held for customers from our non-GAAP operating cash flows measure is helpful to users of the financial statements as it presents this financial measure consistent with how management assesses this liquidity measure.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Change in certain customer obligations </w:t>
      </w:r>
      <w:r>
        <w:rPr>
          <w:rFonts w:ascii="Times New Roman;serif" w:hAnsi="Times New Roman;serif"/>
          <w:b w:val="false"/>
          <w:color w:val="000000"/>
          <w:sz w:val="18"/>
        </w:rPr>
        <w:t>The title to cash received and processed in certain of our secure cash management services operations transfers to us for a short period of time. The cash is generally credited to customers’ accounts the following day and is thus not available for general corporate purposes. Because the cash is not available to support our operations and revenue generating activities, management excludes the changes in this specific cash balance when assessing cash flows from operations. We believe that the exclusion of the change in this cash balance from our non-GAAP operating cash flows measure is helpful to the users of our financial statements as it presents this financial measure consistent with how our management assesses this liquidity measure.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NCR Atleos acquisition cash flows </w:t>
      </w:r>
      <w:r>
        <w:rPr>
          <w:rFonts w:ascii="Times New Roman;serif" w:hAnsi="Times New Roman;serif"/>
          <w:b w:val="false"/>
          <w:color w:val="000000"/>
          <w:sz w:val="18"/>
        </w:rPr>
        <w:t>This represents the cash outflows during the period related to NCR Atleos acquisition-related transaction costs, such as fees to attorneys, accountants and other professional advisors.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Amounts held by cash management services operations </w:t>
      </w:r>
      <w:r>
        <w:rPr>
          <w:rFonts w:ascii="Times New Roman;serif" w:hAnsi="Times New Roman;serif"/>
          <w:b w:val="false"/>
          <w:color w:val="000000"/>
          <w:sz w:val="18"/>
        </w:rPr>
        <w:t>As described above, cash held in certain of our secure cash management services operations is not available to support our operations and revenue generating activities. Therefore, management excludes this specific cash balance when assessing our liquidity and capital resources, and in our computation of Net Debt. We believe that the exclusion of this cash balance from our non-GAAP Net Debt measure is helpful to the users of our financial statements as it presents this financial measure consistent with how our management assesses this liquidity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2"/>
        </w:rPr>
      </w:pPr>
      <w:bookmarkStart w:id="3" w:name="i12e5f5559c9a41feb87f4efa34a49eea_10863"/>
      <w:bookmarkEnd w:id="3"/>
      <w:r>
        <w:rPr>
          <w:rFonts w:ascii="Times New Roman;serif" w:hAnsi="Times New Roman;serif"/>
          <w:b/>
          <w:i/>
          <w:color w:val="000000"/>
          <w:sz w:val="22"/>
        </w:rPr>
        <w:t>Non-GAAP reconciled to GAAP</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73"/>
        <w:gridCol w:w="647"/>
        <w:gridCol w:w="649"/>
        <w:gridCol w:w="237"/>
        <w:gridCol w:w="674"/>
        <w:gridCol w:w="131"/>
        <w:gridCol w:w="113"/>
        <w:gridCol w:w="113"/>
        <w:gridCol w:w="113"/>
        <w:gridCol w:w="267"/>
        <w:gridCol w:w="257"/>
        <w:gridCol w:w="258"/>
        <w:gridCol w:w="113"/>
        <w:gridCol w:w="113"/>
        <w:gridCol w:w="113"/>
        <w:gridCol w:w="358"/>
        <w:gridCol w:w="283"/>
        <w:gridCol w:w="666"/>
        <w:gridCol w:w="109"/>
        <w:gridCol w:w="109"/>
        <w:gridCol w:w="109"/>
        <w:gridCol w:w="237"/>
        <w:gridCol w:w="674"/>
        <w:gridCol w:w="131"/>
        <w:gridCol w:w="109"/>
        <w:gridCol w:w="109"/>
        <w:gridCol w:w="109"/>
        <w:gridCol w:w="212"/>
        <w:gridCol w:w="505"/>
        <w:gridCol w:w="117"/>
        <w:gridCol w:w="109"/>
        <w:gridCol w:w="109"/>
        <w:gridCol w:w="109"/>
        <w:gridCol w:w="350"/>
        <w:gridCol w:w="267"/>
        <w:gridCol w:w="753"/>
      </w:tblGrid>
      <w:tr>
        <w:trPr/>
        <w:tc>
          <w:tcPr>
            <w:tcW w:w="87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Pre-tax income</w:t>
            </w:r>
            <w:r>
              <w:rPr>
                <w:rFonts w:ascii="Times New Roman;serif" w:hAnsi="Times New Roman;serif"/>
                <w:b/>
                <w:color w:val="000000"/>
                <w:sz w:val="12"/>
              </w:rPr>
              <w:t>(a)</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tax</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Effective income tax rate</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Pre-tax income</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Effective income tax rate</w:t>
            </w:r>
            <w:r>
              <w:rPr>
                <w:rFonts w:ascii="Times New Roman;serif" w:hAnsi="Times New Roman;serif"/>
                <w:b/>
                <w:color w:val="000000"/>
                <w:sz w:val="12"/>
              </w:rPr>
              <w:t>(a)</w:t>
            </w:r>
          </w:p>
        </w:tc>
      </w:tr>
      <w:tr>
        <w:trPr/>
        <w:tc>
          <w:tcPr>
            <w:tcW w:w="2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Reorganization and restructuring</w:t>
            </w:r>
            <w:r>
              <w:rPr>
                <w:rFonts w:ascii="Times New Roman;serif" w:hAnsi="Times New Roman;serif"/>
                <w:b w:val="false"/>
                <w:color w:val="000000"/>
                <w:sz w:val="12"/>
              </w:rPr>
              <w:t>(c)</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 and dispositions</w:t>
            </w:r>
            <w:r>
              <w:rPr>
                <w:rFonts w:ascii="Times New Roman;serif" w:hAnsi="Times New Roman;serif"/>
                <w:b w:val="false"/>
                <w:color w:val="000000"/>
                <w:sz w:val="12"/>
              </w:rPr>
              <w:t>(c)</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highly inflationary impact</w:t>
            </w:r>
            <w:r>
              <w:rPr>
                <w:rFonts w:ascii="Times New Roman;serif" w:hAnsi="Times New Roman;serif"/>
                <w:b w:val="false"/>
                <w:color w:val="000000"/>
                <w:sz w:val="12"/>
              </w:rPr>
              <w:t>(c)</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NCR Atleos acquisition and transformation initiatives</w:t>
            </w:r>
            <w:r>
              <w:rPr>
                <w:rFonts w:ascii="Times New Roman;serif" w:hAnsi="Times New Roman;serif"/>
                <w:b w:val="false"/>
                <w:color w:val="000000"/>
                <w:sz w:val="12"/>
              </w:rPr>
              <w:t>(c)</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Non-routine legal matters</w:t>
            </w:r>
            <w:r>
              <w:rPr>
                <w:rFonts w:ascii="Times New Roman;serif" w:hAnsi="Times New Roman;serif"/>
                <w:b w:val="false"/>
                <w:color w:val="000000"/>
                <w:sz w:val="12"/>
              </w:rPr>
              <w:t>(c)</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DOJ/FinCEN investigations</w:t>
            </w:r>
            <w:r>
              <w:rPr>
                <w:rFonts w:ascii="Times New Roman;serif" w:hAnsi="Times New Roman;serif"/>
                <w:b w:val="false"/>
                <w:color w:val="000000"/>
                <w:sz w:val="12"/>
              </w:rPr>
              <w:t>(c)</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Chile antitrust matter</w:t>
            </w:r>
            <w:r>
              <w:rPr>
                <w:rFonts w:ascii="Times New Roman;serif" w:hAnsi="Times New Roman;serif"/>
                <w:b w:val="false"/>
                <w:color w:val="000000"/>
                <w:sz w:val="12"/>
              </w:rPr>
              <w:t>(c)</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Retirement plans</w:t>
            </w:r>
            <w:r>
              <w:rPr>
                <w:rFonts w:ascii="Times New Roman;serif" w:hAnsi="Times New Roman;serif"/>
                <w:b w:val="false"/>
                <w:color w:val="000000"/>
                <w:sz w:val="12"/>
              </w:rPr>
              <w:t>(b)</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rate adjustment</w:t>
            </w:r>
            <w:r>
              <w:rPr>
                <w:rFonts w:ascii="Times New Roman;serif" w:hAnsi="Times New Roman;serif"/>
                <w:b w:val="false"/>
                <w:color w:val="000000"/>
                <w:sz w:val="12"/>
              </w:rPr>
              <w:t>(d)</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6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7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Amounts may not add due to rounding.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(a)From continuing operations.</w:t>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(b)See "Reconciliations of Non-GAAP to GAAP Measures" on page </w:t>
      </w:r>
      <w:hyperlink w:anchor="i12e5f5559c9a41feb87f4efa34a49eea_10860">
        <w:r>
          <w:rPr>
            <w:rStyle w:val="InternetLink"/>
            <w:rFonts w:ascii="Times New Roman;serif" w:hAnsi="Times New Roman;serif"/>
            <w:b w:val="false"/>
            <w:strike w:val="false"/>
            <w:dstrike w:val="false"/>
            <w:color w:val="000000"/>
            <w:sz w:val="14"/>
            <w:u w:val="none"/>
            <w:effect w:val="none"/>
          </w:rPr>
          <w:t>47</w:t>
        </w:r>
      </w:hyperlink>
      <w:r>
        <w:rPr>
          <w:rFonts w:ascii="Times New Roman;serif" w:hAnsi="Times New Roman;serif"/>
          <w:b w:val="false"/>
          <w:color w:val="000000"/>
          <w:sz w:val="14"/>
        </w:rPr>
        <w:t xml:space="preserve"> for details.</w:t>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(c)See “Other Items Not Allocated To Segments” on pages </w:t>
      </w:r>
      <w:hyperlink w:anchor="idd57d2d434d94a66b25399aea2ac9f34_94">
        <w:r>
          <w:rPr>
            <w:rStyle w:val="InternetLink"/>
            <w:rFonts w:ascii="Times New Roman;serif" w:hAnsi="Times New Roman;serif"/>
            <w:b w:val="false"/>
            <w:strike w:val="false"/>
            <w:dstrike w:val="false"/>
            <w:color w:val="000000"/>
            <w:sz w:val="14"/>
            <w:u w:val="none"/>
            <w:effect w:val="none"/>
          </w:rPr>
          <w:t>40</w:t>
        </w:r>
      </w:hyperlink>
      <w:r>
        <w:rPr>
          <w:rFonts w:ascii="Times New Roman;serif" w:hAnsi="Times New Roman;serif"/>
          <w:b w:val="false"/>
          <w:color w:val="000000"/>
          <w:sz w:val="14"/>
        </w:rPr>
        <w:t>-</w:t>
      </w:r>
      <w:hyperlink w:anchor="ie57a951ed9a2484abd8f10bae3ef724b_9598">
        <w:r>
          <w:rPr>
            <w:rStyle w:val="InternetLink"/>
            <w:rFonts w:ascii="Times New Roman;serif" w:hAnsi="Times New Roman;serif"/>
            <w:b w:val="false"/>
            <w:strike w:val="false"/>
            <w:dstrike w:val="false"/>
            <w:color w:val="000000"/>
            <w:sz w:val="14"/>
            <w:u w:val="none"/>
            <w:effect w:val="none"/>
          </w:rPr>
          <w:t>42</w:t>
        </w:r>
      </w:hyperlink>
      <w:r>
        <w:rPr>
          <w:rFonts w:ascii="Times New Roman;serif" w:hAnsi="Times New Roman;serif"/>
          <w:b w:val="false"/>
          <w:color w:val="000000"/>
          <w:sz w:val="14"/>
        </w:rPr>
        <w:t xml:space="preserve"> for details.</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(d)Non-GAAP income from continuing operations and non-GAAP EPS have been adjusted to reflect an effective income tax rate in each interim period equal to the full-year non-GAAP effective income tax rate. The full-year non-GAAP effective tax rate is estimated at 27.3% for 2026 and was 27.5% for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0"/>
        <w:jc w:val="left"/>
        <w:rPr/>
      </w:pPr>
      <w:r>
        <w:rPr/>
      </w:r>
    </w:p>
    <w:tbl>
      <w:tblPr>
        <w:tblW w:w="9298" w:type="dxa"/>
        <w:jc w:val="left"/>
        <w:tblInd w:w="0" w:type="dxa"/>
        <w:tblLayout w:type="fixed"/>
        <w:tblCellMar>
          <w:top w:w="28" w:type="dxa"/>
          <w:left w:w="28" w:type="dxa"/>
          <w:bottom w:w="28" w:type="dxa"/>
          <w:right w:w="28" w:type="dxa"/>
        </w:tblCellMar>
      </w:tblPr>
      <w:tblGrid>
        <w:gridCol w:w="1848"/>
        <w:gridCol w:w="1627"/>
        <w:gridCol w:w="1639"/>
        <w:gridCol w:w="196"/>
        <w:gridCol w:w="556"/>
        <w:gridCol w:w="109"/>
        <w:gridCol w:w="109"/>
        <w:gridCol w:w="109"/>
        <w:gridCol w:w="109"/>
        <w:gridCol w:w="278"/>
        <w:gridCol w:w="278"/>
        <w:gridCol w:w="156"/>
        <w:gridCol w:w="109"/>
        <w:gridCol w:w="109"/>
        <w:gridCol w:w="109"/>
        <w:gridCol w:w="196"/>
        <w:gridCol w:w="556"/>
        <w:gridCol w:w="109"/>
        <w:gridCol w:w="109"/>
        <w:gridCol w:w="109"/>
        <w:gridCol w:w="109"/>
        <w:gridCol w:w="278"/>
        <w:gridCol w:w="278"/>
        <w:gridCol w:w="213"/>
      </w:tblGrid>
      <w:tr>
        <w:trPr/>
        <w:tc>
          <w:tcPr>
            <w:tcW w:w="184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r>
      <w:tr>
        <w:trPr/>
        <w:tc>
          <w:tcPr>
            <w:tcW w:w="5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Reorganization and restructuring</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 and dispositions</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highly inflationary impact</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NCR Atleos acquisition and transformation initiatives</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Non-routine legal matters</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DOJ/FinCEN investigations</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Chile antitrust matter</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 attributable to Brink's: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Reorganization and restructuring</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 and dispositions</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highly inflationary impact</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NCR Atleos acquisition and transformation initiatives</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Non-routine legal matters</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DOJ/FinCEN investigations</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Chile antitrust matter</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Retirement plans</w:t>
            </w:r>
            <w:r>
              <w:rPr>
                <w:rFonts w:ascii="Times New Roman;serif" w:hAnsi="Times New Roman;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rate adjustment</w:t>
            </w:r>
            <w:r>
              <w:rPr>
                <w:rFonts w:ascii="Times New Roman;serif" w:hAnsi="Times New Roman;serif"/>
                <w:b w:val="false"/>
                <w:color w:val="000000"/>
                <w:sz w:val="12"/>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Brink's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Reorganization and restructuring</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Acquisitions and dispositions</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Argentina highly inflationary impact</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NCR Atleos acquisition and transformation initiatives</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Non-routine legal matters</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DOJ/FinCEN investigations</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Chile antitrust matter</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Retirement plans</w:t>
            </w:r>
            <w:r>
              <w:rPr>
                <w:rFonts w:ascii="Times New Roman;serif" w:hAnsi="Times New Roman;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rate adjustment</w:t>
            </w:r>
            <w:r>
              <w:rPr>
                <w:rFonts w:ascii="Times New Roman;serif" w:hAnsi="Times New Roman;serif"/>
                <w:b w:val="false"/>
                <w:color w:val="000000"/>
                <w:sz w:val="12"/>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Share-based compensation</w:t>
            </w:r>
            <w:r>
              <w:rPr>
                <w:rFonts w:ascii="Times New Roman;serif" w:hAnsi="Times New Roman;serif"/>
                <w:b w:val="false"/>
                <w:color w:val="000000"/>
                <w:sz w:val="12"/>
              </w:rPr>
              <w:t>(d)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Marketable securities (gain) loss</w:t>
            </w:r>
            <w:r>
              <w:rPr>
                <w:rFonts w:ascii="Times New Roman;serif" w:hAnsi="Times New Roman;serif"/>
                <w:b w:val="false"/>
                <w:color w:val="000000"/>
                <w:sz w:val="12"/>
              </w:rPr>
              <w: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0"/>
        <w:jc w:val="left"/>
        <w:rPr/>
      </w:pPr>
      <w:r>
        <w:rPr/>
      </w:r>
    </w:p>
    <w:tbl>
      <w:tblPr>
        <w:tblW w:w="8037" w:type="dxa"/>
        <w:jc w:val="left"/>
        <w:tblInd w:w="0" w:type="dxa"/>
        <w:tblLayout w:type="fixed"/>
        <w:tblCellMar>
          <w:top w:w="28" w:type="dxa"/>
          <w:left w:w="28" w:type="dxa"/>
          <w:bottom w:w="28" w:type="dxa"/>
          <w:right w:w="28" w:type="dxa"/>
        </w:tblCellMar>
      </w:tblPr>
      <w:tblGrid>
        <w:gridCol w:w="1469"/>
        <w:gridCol w:w="1293"/>
        <w:gridCol w:w="1303"/>
        <w:gridCol w:w="196"/>
        <w:gridCol w:w="466"/>
        <w:gridCol w:w="109"/>
        <w:gridCol w:w="109"/>
        <w:gridCol w:w="109"/>
        <w:gridCol w:w="109"/>
        <w:gridCol w:w="269"/>
        <w:gridCol w:w="271"/>
        <w:gridCol w:w="156"/>
        <w:gridCol w:w="109"/>
        <w:gridCol w:w="109"/>
        <w:gridCol w:w="109"/>
        <w:gridCol w:w="196"/>
        <w:gridCol w:w="466"/>
        <w:gridCol w:w="109"/>
        <w:gridCol w:w="109"/>
        <w:gridCol w:w="109"/>
        <w:gridCol w:w="109"/>
        <w:gridCol w:w="269"/>
        <w:gridCol w:w="271"/>
        <w:gridCol w:w="213"/>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r>
      <w:tr>
        <w:trPr/>
        <w:tc>
          <w:tcPr>
            <w:tcW w:w="4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 share amounts)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bookmarkStart w:id="4" w:name="i3bec2e5e69054a5a807146c3c4e1bcfb_2-0-1-"/>
            <w:bookmarkEnd w:id="4"/>
            <w:r>
              <w:rPr>
                <w:rFonts w:ascii="Times New Roman;serif" w:hAnsi="Times New Roman;serif"/>
                <w:b/>
                <w:color w:val="000000"/>
                <w:sz w:val="18"/>
              </w:rPr>
              <w:t>Diluted EPS: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Reorganization and restructuring</w:t>
            </w:r>
            <w:r>
              <w:rPr>
                <w:rFonts w:ascii="Times New Roman;serif" w:hAnsi="Times New Roman;serif"/>
                <w:b w:val="false"/>
                <w:color w:val="000000"/>
                <w:sz w:val="12"/>
              </w:rPr>
              <w:t>(a)</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 and dispositions</w:t>
            </w:r>
            <w:r>
              <w:rPr>
                <w:rFonts w:ascii="Times New Roman;serif" w:hAnsi="Times New Roman;serif"/>
                <w:b w:val="false"/>
                <w:color w:val="000000"/>
                <w:sz w:val="12"/>
              </w:rPr>
              <w:t>(a)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highly inflationary impact</w:t>
            </w:r>
            <w:r>
              <w:rPr>
                <w:rFonts w:ascii="Times New Roman;serif" w:hAnsi="Times New Roman;serif"/>
                <w:b w:val="false"/>
                <w:color w:val="000000"/>
                <w:sz w:val="12"/>
              </w:rPr>
              <w:t>(a)</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NCR Atleos acquisition and transformation initiatives</w:t>
            </w:r>
            <w:r>
              <w:rPr>
                <w:rFonts w:ascii="Times New Roman;serif" w:hAnsi="Times New Roman;serif"/>
                <w:b w:val="false"/>
                <w:color w:val="000000"/>
                <w:sz w:val="12"/>
              </w:rPr>
              <w:t>(a)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Non-routine legal matters</w:t>
            </w:r>
            <w:r>
              <w:rPr>
                <w:rFonts w:ascii="Times New Roman;serif" w:hAnsi="Times New Roman;serif"/>
                <w:b w:val="false"/>
                <w:color w:val="000000"/>
                <w:sz w:val="12"/>
              </w:rPr>
              <w:t>(a)</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DOJ/FinCEN investigations</w:t>
            </w:r>
            <w:r>
              <w:rPr>
                <w:rFonts w:ascii="Times New Roman;serif" w:hAnsi="Times New Roman;serif"/>
                <w:b w:val="false"/>
                <w:color w:val="000000"/>
                <w:sz w:val="12"/>
              </w:rPr>
              <w:t>(a)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Chile antitrust matter</w:t>
            </w:r>
            <w:r>
              <w:rPr>
                <w:rFonts w:ascii="Times New Roman;serif" w:hAnsi="Times New Roman;serif"/>
                <w:b w:val="false"/>
                <w:color w:val="000000"/>
                <w:sz w:val="12"/>
              </w:rPr>
              <w:t>(a)</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Retirement plans</w:t>
            </w:r>
            <w:r>
              <w:rPr>
                <w:rFonts w:ascii="Times New Roman;serif" w:hAnsi="Times New Roman;serif"/>
                <w:b w:val="false"/>
                <w:color w:val="000000"/>
                <w:sz w:val="12"/>
              </w:rPr>
              <w:t>(b)</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rate adjustment</w:t>
            </w:r>
            <w:r>
              <w:rPr>
                <w:rFonts w:ascii="Times New Roman;serif" w:hAnsi="Times New Roman;serif"/>
                <w:b w:val="false"/>
                <w:color w:val="000000"/>
                <w:sz w:val="12"/>
              </w:rPr>
              <w:t>(c)</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Amounts may not add due to rounding.</w:t>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(a)See “Other Items Not Allocated To Segments” on pages </w:t>
      </w:r>
      <w:hyperlink w:anchor="idd57d2d434d94a66b25399aea2ac9f34_94">
        <w:r>
          <w:rPr>
            <w:rStyle w:val="InternetLink"/>
            <w:rFonts w:ascii="Times New Roman;serif" w:hAnsi="Times New Roman;serif"/>
            <w:b w:val="false"/>
            <w:strike w:val="false"/>
            <w:dstrike w:val="false"/>
            <w:color w:val="000000"/>
            <w:sz w:val="14"/>
            <w:u w:val="none"/>
            <w:effect w:val="none"/>
          </w:rPr>
          <w:t>40</w:t>
        </w:r>
      </w:hyperlink>
      <w:r>
        <w:rPr>
          <w:rFonts w:ascii="Times New Roman;serif" w:hAnsi="Times New Roman;serif"/>
          <w:b w:val="false"/>
          <w:color w:val="000000"/>
          <w:sz w:val="14"/>
        </w:rPr>
        <w:t>-</w:t>
      </w:r>
      <w:hyperlink w:anchor="ie57a951ed9a2484abd8f10bae3ef724b_9598">
        <w:r>
          <w:rPr>
            <w:rStyle w:val="InternetLink"/>
            <w:rFonts w:ascii="Times New Roman;serif" w:hAnsi="Times New Roman;serif"/>
            <w:b w:val="false"/>
            <w:strike w:val="false"/>
            <w:dstrike w:val="false"/>
            <w:color w:val="000000"/>
            <w:sz w:val="14"/>
            <w:u w:val="none"/>
            <w:effect w:val="none"/>
          </w:rPr>
          <w:t>42</w:t>
        </w:r>
      </w:hyperlink>
      <w:r>
        <w:rPr>
          <w:rFonts w:ascii="Times New Roman;serif" w:hAnsi="Times New Roman;serif"/>
          <w:b w:val="false"/>
          <w:color w:val="000000"/>
          <w:sz w:val="14"/>
        </w:rPr>
        <w:t xml:space="preserve"> for details.</w:t>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(b)See "Reconciliations of Non-GAAP to GAAP Measures" on page </w:t>
      </w:r>
      <w:hyperlink w:anchor="i12e5f5559c9a41feb87f4efa34a49eea_10860">
        <w:r>
          <w:rPr>
            <w:rStyle w:val="InternetLink"/>
            <w:rFonts w:ascii="Times New Roman;serif" w:hAnsi="Times New Roman;serif"/>
            <w:b w:val="false"/>
            <w:strike w:val="false"/>
            <w:dstrike w:val="false"/>
            <w:color w:val="000000"/>
            <w:sz w:val="14"/>
            <w:u w:val="none"/>
            <w:effect w:val="none"/>
          </w:rPr>
          <w:t>47</w:t>
        </w:r>
      </w:hyperlink>
      <w:r>
        <w:rPr>
          <w:rFonts w:ascii="Times New Roman;serif" w:hAnsi="Times New Roman;serif"/>
          <w:b w:val="false"/>
          <w:color w:val="000000"/>
          <w:sz w:val="14"/>
        </w:rPr>
        <w:t xml:space="preserve"> for details.</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(c)Non-GAAP income from continuing operations and non-GAAP EPS have been adjusted to reflect an effective income tax rate in each interim period equal to the full-year non-GAAP effective income tax rate. The full-year non-GAAP effective tax rate is estimated at 27.3% for 2026 and was 27.5% for 2025.</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(d)Due to the impact of transformation-related equity awards, there was a $0.2 million non-GAAP adjustment to share-based compensation in the second quarter of 2026. There is no difference between GAAP and non-GAAP share-based compensation amounts for the other periods presented.</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(e)Due to the impact of Argentina highly inflationary accounting, there was a $3.7 million and a $4.7 million non-GAAP adjustment for a loss in the three and six months ended June 30, 2025. There was a $1.6 million non-GAAP adjustment for a loss in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 decreased $78.6 million in the first six months of 2026 as compared to the first six months of 2025. Cash used for investing activities decreased by $93.4 million in the first six months of 2026 compared to the first six months of 2025. We financed our liquidity needs in the first six months of 2026 with existing cash from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Operating Activities</w:t>
      </w:r>
    </w:p>
    <w:tbl>
      <w:tblPr>
        <w:tblW w:w="8021" w:type="dxa"/>
        <w:jc w:val="left"/>
        <w:tblInd w:w="0" w:type="dxa"/>
        <w:tblLayout w:type="fixed"/>
        <w:tblCellMar>
          <w:top w:w="28" w:type="dxa"/>
          <w:left w:w="28" w:type="dxa"/>
          <w:bottom w:w="28" w:type="dxa"/>
          <w:right w:w="28" w:type="dxa"/>
        </w:tblCellMar>
      </w:tblPr>
      <w:tblGrid>
        <w:gridCol w:w="1888"/>
        <w:gridCol w:w="1663"/>
        <w:gridCol w:w="1669"/>
        <w:gridCol w:w="196"/>
        <w:gridCol w:w="466"/>
        <w:gridCol w:w="109"/>
        <w:gridCol w:w="109"/>
        <w:gridCol w:w="109"/>
        <w:gridCol w:w="109"/>
        <w:gridCol w:w="314"/>
        <w:gridCol w:w="316"/>
        <w:gridCol w:w="156"/>
        <w:gridCol w:w="109"/>
        <w:gridCol w:w="269"/>
        <w:gridCol w:w="271"/>
        <w:gridCol w:w="268"/>
      </w:tblGrid>
      <w:tr>
        <w:trPr/>
        <w:tc>
          <w:tcPr>
            <w:tcW w:w="188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5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provided by (used in) operating activities -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(Increase) decrease in restricted cash held for customers (see Note 12)</w:t>
            </w:r>
            <w:r>
              <w:rPr>
                <w:rFonts w:ascii="Times New Roman;serif" w:hAnsi="Times New Roman;serif"/>
                <w:b w:val="false"/>
                <w:color w:val="000000"/>
                <w:sz w:val="12"/>
              </w:rPr>
              <w:t>(a)</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Increase in customer obligations</w:t>
            </w:r>
            <w:r>
              <w:rPr>
                <w:rFonts w:ascii="Times New Roman;serif" w:hAnsi="Times New Roman;serif"/>
                <w:b w:val="false"/>
                <w:color w:val="000000"/>
                <w:sz w:val="12"/>
              </w:rPr>
              <w:t>(a)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proceeds from sale of property and equipment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lessor debt financing (see Note 12)</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NCR Atleos acquisition cash flows</w:t>
            </w:r>
            <w:r>
              <w:rPr>
                <w:rFonts w:ascii="Times New Roman;serif" w:hAnsi="Times New Roman;serif"/>
                <w:b w:val="false"/>
                <w:color w:val="000000"/>
                <w:sz w:val="12"/>
              </w:rPr>
              <w:t>(a)</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Free cash flow before dividends</w:t>
            </w:r>
            <w:r>
              <w:rPr>
                <w:rFonts w:ascii="Times New Roman;serif" w:hAnsi="Times New Roman;serif"/>
                <w:b w:val="false"/>
                <w:color w:val="000000"/>
                <w:sz w:val="12"/>
              </w:rPr>
              <w:t>(a)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2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(a)Free cash flow before dividends is a supplemental financial measure that is not required by, or presented in accordance with, GAAP. See page </w:t>
      </w:r>
      <w:hyperlink w:anchor="idd57d2d434d94a66b25399aea2ac9f34_112">
        <w:r>
          <w:rPr>
            <w:rStyle w:val="InternetLink"/>
            <w:rFonts w:ascii="Times New Roman;serif" w:hAnsi="Times New Roman;serif"/>
            <w:b w:val="false"/>
            <w:strike w:val="false"/>
            <w:dstrike w:val="false"/>
            <w:color w:val="000000"/>
            <w:sz w:val="14"/>
            <w:u w:val="none"/>
            <w:effect w:val="none"/>
          </w:rPr>
          <w:t>46</w:t>
        </w:r>
      </w:hyperlink>
      <w:r>
        <w:rPr>
          <w:rFonts w:ascii="Times New Roman;serif" w:hAnsi="Times New Roman;serif"/>
          <w:b w:val="false"/>
          <w:color w:val="000000"/>
          <w:sz w:val="14"/>
        </w:rPr>
        <w:t xml:space="preserve"> for further information on this non-GAAP measure, and see page </w:t>
      </w:r>
      <w:hyperlink w:anchor="i12e5f5559c9a41feb87f4efa34a49eea_10860">
        <w:r>
          <w:rPr>
            <w:rStyle w:val="InternetLink"/>
            <w:rFonts w:ascii="Times New Roman;serif" w:hAnsi="Times New Roman;serif"/>
            <w:b w:val="false"/>
            <w:strike w:val="false"/>
            <w:dstrike w:val="false"/>
            <w:color w:val="000000"/>
            <w:sz w:val="14"/>
            <w:u w:val="none"/>
            <w:effect w:val="none"/>
          </w:rPr>
          <w:t>47</w:t>
        </w:r>
      </w:hyperlink>
      <w:r>
        <w:rPr>
          <w:rFonts w:ascii="Times New Roman;serif" w:hAnsi="Times New Roman;serif"/>
          <w:b w:val="false"/>
          <w:color w:val="000000"/>
          <w:sz w:val="14"/>
        </w:rPr>
        <w:t xml:space="preserve"> for descriptions of the adjustments.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Cash flows from operating activities - GAAP</w:t>
      </w:r>
    </w:p>
    <w:p>
      <w:pPr>
        <w:pStyle w:val="TextBody"/>
        <w:bidi w:val="0"/>
        <w:spacing w:lineRule="auto" w:line="288" w:before="0" w:after="0"/>
        <w:jc w:val="left"/>
        <w:rPr/>
      </w:pPr>
      <w:r>
        <w:rPr>
          <w:rFonts w:ascii="Times New Roman;serif" w:hAnsi="Times New Roman;serif"/>
          <w:b w:val="false"/>
          <w:color w:val="000000"/>
          <w:sz w:val="18"/>
        </w:rPr>
        <w:t>Cash flows from operating activities decreased $78.6 million in the first six months of 2026 compared to the same period in 2025. The decrease was primarily attributed to restricted cash held for customers (restricted cash held for customers decreased by $66.3 million in 2026 compared to an increase of $31.3 million in 2025) and lower operating profit, partially offset by</w:t>
      </w:r>
      <w:r>
        <w:rPr>
          <w:color w:val="000000"/>
          <w:shd w:fill="FFFFFF" w:val="clear"/>
        </w:rPr>
        <w:t xml:space="preserve"> </w:t>
      </w:r>
      <w:r>
        <w:rPr>
          <w:rFonts w:ascii="Times New Roman;serif" w:hAnsi="Times New Roman;serif"/>
          <w:b w:val="false"/>
          <w:color w:val="000000"/>
          <w:sz w:val="18"/>
          <w:shd w:fill="FFFFFF" w:val="clear"/>
        </w:rPr>
        <w:t>changes in custom</w:t>
      </w:r>
      <w:r>
        <w:rPr>
          <w:rFonts w:ascii="Times New Roman;serif" w:hAnsi="Times New Roman;serif"/>
          <w:b w:val="false"/>
          <w:color w:val="000000"/>
          <w:sz w:val="18"/>
        </w:rPr>
        <w:t>er obligations related to certain of our secure cash management services operations (certain customer obligations increased by $40.5 million in 2026 compared to an increase of $24.0 million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Free cash flow before dividends - non-GAAP</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Free cash flow before dividends increased $32.4 million in the first six months of 2026 as compared to the same period in 2025. The increase was mostly attributed to lower amounts paid for capital expenditures (we had $74.9 million in cash paid for capital expenditures in 2026 compared to $110.7 million in 2025), partially offset by lower operating profit and lower cash proceeds from lessor debt financing (we had $5.6 million in cash proceeds in 2026 compared to $12.0 million in 2025) and lower cash proceeds from sale of property and equipment (we had $5.6 million in cash proceeds in 2026 compared to $9.8 million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Investing Activities</w:t>
      </w:r>
    </w:p>
    <w:tbl>
      <w:tblPr>
        <w:tblW w:w="6484" w:type="dxa"/>
        <w:jc w:val="left"/>
        <w:tblInd w:w="0" w:type="dxa"/>
        <w:tblLayout w:type="fixed"/>
        <w:tblCellMar>
          <w:top w:w="28" w:type="dxa"/>
          <w:left w:w="28" w:type="dxa"/>
          <w:bottom w:w="28" w:type="dxa"/>
          <w:right w:w="28" w:type="dxa"/>
        </w:tblCellMar>
      </w:tblPr>
      <w:tblGrid>
        <w:gridCol w:w="1226"/>
        <w:gridCol w:w="1080"/>
        <w:gridCol w:w="1084"/>
        <w:gridCol w:w="196"/>
        <w:gridCol w:w="541"/>
        <w:gridCol w:w="109"/>
        <w:gridCol w:w="109"/>
        <w:gridCol w:w="109"/>
        <w:gridCol w:w="109"/>
        <w:gridCol w:w="314"/>
        <w:gridCol w:w="316"/>
        <w:gridCol w:w="156"/>
        <w:gridCol w:w="109"/>
        <w:gridCol w:w="109"/>
        <w:gridCol w:w="109"/>
        <w:gridCol w:w="269"/>
        <w:gridCol w:w="271"/>
        <w:gridCol w:w="268"/>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in economic hedges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loans held for investment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2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used by investing activities decreased by $93.4 million in the first six months of 2026 versus the first six months of 2025. The decrease was primarily due to less cash paid for capital expenditures and acquisitions in 2026, less cash paid for purchases of marketable securities, and less cash payments related to the net change in economic hedge contracts in 2026, as discussed in Note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 and depreciation and amortization were as follows:</w:t>
      </w:r>
    </w:p>
    <w:tbl>
      <w:tblPr>
        <w:tblW w:w="8349" w:type="dxa"/>
        <w:jc w:val="left"/>
        <w:tblInd w:w="0" w:type="dxa"/>
        <w:tblLayout w:type="fixed"/>
        <w:tblCellMar>
          <w:top w:w="28" w:type="dxa"/>
          <w:left w:w="28" w:type="dxa"/>
          <w:bottom w:w="28" w:type="dxa"/>
          <w:right w:w="28" w:type="dxa"/>
        </w:tblCellMar>
      </w:tblPr>
      <w:tblGrid>
        <w:gridCol w:w="1502"/>
        <w:gridCol w:w="1324"/>
        <w:gridCol w:w="1329"/>
        <w:gridCol w:w="196"/>
        <w:gridCol w:w="556"/>
        <w:gridCol w:w="109"/>
        <w:gridCol w:w="109"/>
        <w:gridCol w:w="109"/>
        <w:gridCol w:w="109"/>
        <w:gridCol w:w="278"/>
        <w:gridCol w:w="278"/>
        <w:gridCol w:w="156"/>
        <w:gridCol w:w="109"/>
        <w:gridCol w:w="109"/>
        <w:gridCol w:w="109"/>
        <w:gridCol w:w="269"/>
        <w:gridCol w:w="271"/>
        <w:gridCol w:w="201"/>
        <w:gridCol w:w="109"/>
        <w:gridCol w:w="109"/>
        <w:gridCol w:w="109"/>
        <w:gridCol w:w="287"/>
        <w:gridCol w:w="269"/>
        <w:gridCol w:w="343"/>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Full Year</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Property and equipment acquired during the period</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Depreciation and amortization</w:t>
            </w:r>
            <w:r>
              <w:rPr>
                <w:rFonts w:ascii="Times New Roman;serif" w:hAnsi="Times New Roman;serif"/>
                <w:b/>
                <w:i/>
                <w:color w:val="000000"/>
                <w:sz w:val="12"/>
              </w:rPr>
              <w:t>(a)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Argentina highly inflationary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 of intangible assets</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290.8 </w:t>
            </w:r>
          </w:p>
        </w:tc>
        <w:tc>
          <w:tcPr>
            <w:tcW w:w="3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(a)Amortization of acquisition-related intangible assets has been excluded from reportable segment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reinvestment ratio, which we define as the annual amount of property and equipment acquired during the period divided by the annual amount of depreciation, was 1.0 for the 12 months ended June 30, 2026 compared to 1.4 for the 12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 in the first six months of 2026 were primarily for cash devices, information technology, and armored vehicles.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Financing Activities</w:t>
      </w:r>
    </w:p>
    <w:p>
      <w:pPr>
        <w:pStyle w:val="TextBody"/>
        <w:bidi w:val="0"/>
        <w:spacing w:before="0" w:after="0"/>
        <w:jc w:val="left"/>
        <w:rPr/>
      </w:pPr>
      <w:r>
        <w:rPr/>
      </w:r>
    </w:p>
    <w:tbl>
      <w:tblPr>
        <w:tblW w:w="7713" w:type="dxa"/>
        <w:jc w:val="left"/>
        <w:tblInd w:w="0" w:type="dxa"/>
        <w:tblLayout w:type="fixed"/>
        <w:tblCellMar>
          <w:top w:w="28" w:type="dxa"/>
          <w:left w:w="28" w:type="dxa"/>
          <w:bottom w:w="28" w:type="dxa"/>
          <w:right w:w="28" w:type="dxa"/>
        </w:tblCellMar>
      </w:tblPr>
      <w:tblGrid>
        <w:gridCol w:w="1605"/>
        <w:gridCol w:w="1413"/>
        <w:gridCol w:w="1421"/>
        <w:gridCol w:w="196"/>
        <w:gridCol w:w="631"/>
        <w:gridCol w:w="109"/>
        <w:gridCol w:w="109"/>
        <w:gridCol w:w="109"/>
        <w:gridCol w:w="109"/>
        <w:gridCol w:w="314"/>
        <w:gridCol w:w="316"/>
        <w:gridCol w:w="156"/>
        <w:gridCol w:w="109"/>
        <w:gridCol w:w="109"/>
        <w:gridCol w:w="109"/>
        <w:gridCol w:w="313"/>
        <w:gridCol w:w="317"/>
        <w:gridCol w:w="268"/>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and repayments: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revolving credit facilities,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debt,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(repayments)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financing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shares of Brink's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of Brink’s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subsidiaries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acquisition related settlements and obligations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Tax withholdings associated with share-based compensation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Debt borrowings and repayments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 increased by $67.1 million year over year as we had net cash used in financing activities of $105.2 million in the first six months of 2026 compared to net cash used from financing activities of $38.1 million in the first six months of 2025. The change was driven primarily by an increase in net repayments (as discussed in Note 8) compared to the prior year six month period and an increase in cash paid for debt financing costs, partially offset by a decrease in cash used to repurchase shares of common stock (we used $30.2 million to repurchase shares in 2026 as compared to $130.0 million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Dividends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paid dividends to Brink’s shareholders of $0.5100 per share or $21.0 million in the first six months of 2026 compared to $0.4975 per share or $21.1 million in the first six months of 2025. Future dividends are dependent on our earnings, financial condition, shareholders’ equity levels, our cash flow and business requirements, as determined by the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Capitalization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Reconciliation of Net Debt to U.S. GAAP Measures</w:t>
      </w:r>
    </w:p>
    <w:tbl>
      <w:tblPr>
        <w:tblW w:w="7348" w:type="dxa"/>
        <w:jc w:val="left"/>
        <w:tblInd w:w="0" w:type="dxa"/>
        <w:tblLayout w:type="fixed"/>
        <w:tblCellMar>
          <w:top w:w="28" w:type="dxa"/>
          <w:left w:w="28" w:type="dxa"/>
          <w:bottom w:w="28" w:type="dxa"/>
          <w:right w:w="28" w:type="dxa"/>
        </w:tblCellMar>
      </w:tblPr>
      <w:tblGrid>
        <w:gridCol w:w="1752"/>
        <w:gridCol w:w="1544"/>
        <w:gridCol w:w="1549"/>
        <w:gridCol w:w="196"/>
        <w:gridCol w:w="691"/>
        <w:gridCol w:w="109"/>
        <w:gridCol w:w="109"/>
        <w:gridCol w:w="109"/>
        <w:gridCol w:w="109"/>
        <w:gridCol w:w="374"/>
        <w:gridCol w:w="334"/>
        <w:gridCol w:w="472"/>
      </w:tblGrid>
      <w:tr>
        <w:trPr/>
        <w:tc>
          <w:tcPr>
            <w:tcW w:w="175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4,214.3 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Amounts held by Cash Management Services operations</w:t>
            </w:r>
            <w:r>
              <w:rPr>
                <w:rFonts w:ascii="Times New Roman;serif" w:hAnsi="Times New Roman;serif"/>
                <w:b w:val="false"/>
                <w:color w:val="000000"/>
                <w:sz w:val="12"/>
              </w:rPr>
              <w:t>(a)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available for general corporate purposes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Debt</w:t>
            </w:r>
            <w:r>
              <w:rPr>
                <w:rFonts w:ascii="Times New Roman;serif" w:hAnsi="Times New Roman;serif"/>
                <w:b w:val="false"/>
                <w:color w:val="000000"/>
                <w:sz w:val="12"/>
              </w:rPr>
              <w:t>(a)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2,594.8 </w:t>
            </w:r>
          </w:p>
        </w:tc>
        <w:tc>
          <w:tcPr>
            <w:tcW w:w="4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(a)Net Debt is a supplemental non-GAAP financial measure that is not required by or presented in accordance with GAAP. See page </w:t>
      </w:r>
      <w:hyperlink w:anchor="idd57d2d434d94a66b25399aea2ac9f34_112">
        <w:r>
          <w:rPr>
            <w:rStyle w:val="InternetLink"/>
            <w:rFonts w:ascii="Times New Roman;serif" w:hAnsi="Times New Roman;serif"/>
            <w:b w:val="false"/>
            <w:strike w:val="false"/>
            <w:dstrike w:val="false"/>
            <w:color w:val="000000"/>
            <w:sz w:val="14"/>
            <w:u w:val="none"/>
            <w:effect w:val="none"/>
          </w:rPr>
          <w:t>46</w:t>
        </w:r>
      </w:hyperlink>
      <w:r>
        <w:rPr>
          <w:rFonts w:ascii="Times New Roman;serif" w:hAnsi="Times New Roman;serif"/>
          <w:b w:val="false"/>
          <w:color w:val="000000"/>
          <w:sz w:val="14"/>
        </w:rPr>
        <w:t xml:space="preserve"> for further information on this non-GAAP measure, and see page </w:t>
      </w:r>
      <w:hyperlink w:anchor="i12e5f5559c9a41feb87f4efa34a49eea_10860">
        <w:r>
          <w:rPr>
            <w:rStyle w:val="InternetLink"/>
            <w:rFonts w:ascii="Times New Roman;serif" w:hAnsi="Times New Roman;serif"/>
            <w:b w:val="false"/>
            <w:strike w:val="false"/>
            <w:dstrike w:val="false"/>
            <w:color w:val="000000"/>
            <w:sz w:val="14"/>
            <w:u w:val="none"/>
            <w:effect w:val="none"/>
          </w:rPr>
          <w:t>47</w:t>
        </w:r>
      </w:hyperlink>
      <w:r>
        <w:rPr>
          <w:rFonts w:ascii="Times New Roman;serif" w:hAnsi="Times New Roman;serif"/>
          <w:b w:val="false"/>
          <w:color w:val="000000"/>
          <w:sz w:val="14"/>
        </w:rPr>
        <w:t xml:space="preserve"> for a description of the adjustment. Included within Net Debt is net cash from our Argentina operations of $29.0 million at June 30, 2026 and $24.9 million at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Debt as of June 30, 2026 increased versus the prior year end to provide funding for general corporate purposes and other working capital needs.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Liquidity Needs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liquidity needs include not only the working capital requirements of our operations but also investments in our operations, business development activities, payments on outstanding debt, dividend payments and share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operating liquidity needs are typically financed by cash from operations, short-term borrowings and the available borrowing capacity under our Revolving Credit Facility (our debt facilities are described in more detail in Note 8 to the condensed consolidated financial statements, including certain limitations and considerations related to the cash and borrowing capacity). As of June 30, 2026, $500 million was available under the Revolving Credit Facility. Based on our current cash on hand, cash generated from operations, and amounts available under our credit facilities and our ability to access capital from financial markets, we believe that we will be able to meet our liquidity needs for the next 12 months and thereafter the foreseeable future.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Limitations on dividends from foreign subsidiaries</w:t>
      </w:r>
      <w:r>
        <w:rPr>
          <w:rFonts w:ascii="Times New Roman;serif" w:hAnsi="Times New Roman;serif"/>
          <w:b w:val="false"/>
          <w:color w:val="000000"/>
          <w:sz w:val="18"/>
        </w:rPr>
        <w:t>. A significant portion of our operations are outside the U.S. which may make it difficult to or costly to repatriate additional cash for use in the U.S. See “Risk Factors” in Item 1A of our annual report on Form 10-K for the year ended December 31, 2025, for more information on the risks associated with having businesses outside the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conclusion that we will be able to fund our cash requirements for the next 12 months by using existing capital resources, cash on hand, and cash generated from operations does not take into account any potential material worsening of economic conditions or material increases in inflation that would adversely affect our business. The anticipated cash needs of our business could change significantly if we pursue and complete additional business acquisitions, if our business plans change, or if other economic conditions change, such as material increases in inflation, from those currently prevailing or from those now anticipated, such as higher inflation or if other unexpected circumstances arise that may have a material effect on the cash flow or profitability of our business, including material negative changes in the health and welfare of our employees or changes in the condition of our customers or suppliers, and the operating performance or financial results of our business. Any of these events or circumstances, including any new business opportunities, could involve significant additional funding needs in excess of the identified currently available sources and could require us to raise additional debt or equity funding to meet those needs. Our ability to raise additional capital, if necessary, is subject to a variety of factors that we cannot predict with certainty, including:</w:t>
      </w:r>
    </w:p>
    <w:p>
      <w:pPr>
        <w:pStyle w:val="TextBody"/>
        <w:bidi w:val="0"/>
        <w:spacing w:lineRule="auto" w:line="288" w:before="0" w:after="0"/>
        <w:ind w:left="0" w:right="0" w:hanging="360"/>
        <w:jc w:val="left"/>
        <w:rPr/>
      </w:pPr>
      <w:r>
        <w:rPr>
          <w:color w:val="212529"/>
        </w:rPr>
        <w:t>•</w:t>
      </w:r>
      <w:r>
        <w:rPr>
          <w:rFonts w:ascii="Times New Roman;serif" w:hAnsi="Times New Roman;serif"/>
          <w:b w:val="false"/>
          <w:color w:val="212529"/>
          <w:sz w:val="18"/>
        </w:rPr>
        <w:t>our future profitability;</w:t>
      </w:r>
    </w:p>
    <w:p>
      <w:pPr>
        <w:pStyle w:val="TextBody"/>
        <w:bidi w:val="0"/>
        <w:spacing w:lineRule="auto" w:line="288" w:before="0" w:after="0"/>
        <w:ind w:left="0" w:right="0" w:hanging="360"/>
        <w:jc w:val="left"/>
        <w:rPr/>
      </w:pPr>
      <w:r>
        <w:rPr>
          <w:color w:val="212529"/>
        </w:rPr>
        <w:t>•</w:t>
      </w:r>
      <w:r>
        <w:rPr>
          <w:rFonts w:ascii="Times New Roman;serif" w:hAnsi="Times New Roman;serif"/>
          <w:b w:val="false"/>
          <w:color w:val="212529"/>
          <w:sz w:val="18"/>
        </w:rPr>
        <w:t>the quality of our accounts receivable;</w:t>
      </w:r>
    </w:p>
    <w:p>
      <w:pPr>
        <w:pStyle w:val="TextBody"/>
        <w:bidi w:val="0"/>
        <w:spacing w:lineRule="auto" w:line="288" w:before="0" w:after="0"/>
        <w:ind w:left="0" w:right="0" w:hanging="360"/>
        <w:jc w:val="left"/>
        <w:rPr/>
      </w:pPr>
      <w:r>
        <w:rPr>
          <w:color w:val="212529"/>
        </w:rPr>
        <w:t>•</w:t>
      </w:r>
      <w:r>
        <w:rPr>
          <w:rFonts w:ascii="Times New Roman;serif" w:hAnsi="Times New Roman;serif"/>
          <w:b w:val="false"/>
          <w:color w:val="212529"/>
          <w:sz w:val="18"/>
        </w:rPr>
        <w:t>our relative levels of debt and equity;</w:t>
      </w:r>
    </w:p>
    <w:p>
      <w:pPr>
        <w:pStyle w:val="TextBody"/>
        <w:bidi w:val="0"/>
        <w:spacing w:lineRule="auto" w:line="288" w:before="0" w:after="0"/>
        <w:ind w:left="0" w:right="0" w:hanging="360"/>
        <w:jc w:val="left"/>
        <w:rPr/>
      </w:pPr>
      <w:r>
        <w:rPr>
          <w:color w:val="212529"/>
        </w:rPr>
        <w:t>•</w:t>
      </w:r>
      <w:r>
        <w:rPr>
          <w:rFonts w:ascii="Times New Roman;serif" w:hAnsi="Times New Roman;serif"/>
          <w:b w:val="false"/>
          <w:color w:val="212529"/>
          <w:sz w:val="18"/>
        </w:rPr>
        <w:t>the volatility and overall condition of the capital markets; and</w:t>
      </w:r>
    </w:p>
    <w:p>
      <w:pPr>
        <w:pStyle w:val="TextBody"/>
        <w:bidi w:val="0"/>
        <w:spacing w:lineRule="auto" w:line="288" w:before="0" w:after="0"/>
        <w:ind w:left="0" w:right="0" w:hanging="360"/>
        <w:jc w:val="left"/>
        <w:rPr/>
      </w:pPr>
      <w:r>
        <w:rPr>
          <w:color w:val="212529"/>
        </w:rPr>
        <w:t>•</w:t>
      </w:r>
      <w:r>
        <w:rPr>
          <w:rFonts w:ascii="Times New Roman;serif" w:hAnsi="Times New Roman;serif"/>
          <w:b w:val="false"/>
          <w:color w:val="212529"/>
          <w:sz w:val="18"/>
        </w:rPr>
        <w:t>the market prices of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Equity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December 2025, our Board authorized a $750 million share repurchase program that expires on December 31, 2027 (the "2025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Under the 2025 Share Repurchase Program, we are not obligated to repurchase any specific dollar amount or number of shares. The timing and volume of share repurchases may be executed at the discretion of management on an opportunistic basis, or pursuant to trading plans or other arrangements. Share repurchases under this program may be made in the open market, in privately negotiated transactions, or otherwise.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November 2023, our Board authorized a $500 million share repurchase program (the "2023 Repurchase Program"). Under the 2023 Repurchase Program, in 2025, we repurchased a total of 2,210,616 shares of our common stock for an aggregate of $209.4 million and an average price of $94.74 per share. These shares were retired upon repurchase. The 2023 Repurchase Program expired on December 31, 2025, with approximately $87 million remaining available.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we repurchased a total of 241,321 shares of our common stock for an aggregate amount of $30.2 million and an average price of $125.12 per share. These shares were retired upon repurchase. At June 30, 2026, $720 million remained available under the 2025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18"/>
        </w:rPr>
      </w:pPr>
      <w:r>
        <w:rPr>
          <w:rFonts w:ascii="Times New Roman;serif" w:hAnsi="Times New Roman;serif"/>
          <w:b/>
          <w:color w:val="000000"/>
          <w:sz w:val="18"/>
        </w:rPr>
        <w:t>Contingent Matters</w:t>
      </w:r>
    </w:p>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See Note 13 to the condensed consolidated financial statements for information about contingent matters at June 30, 2026.</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Critical Accounting Policies and Estimates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have been no material changes to the Company’s critical accounting policies and estimates as reported in its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serve customers in more than 100 countries, including 51 countries where we operate subsidiaries. These operations expose us to a variety of market risks, including the effects of changes in interest rates and foreign currency exchange rates. In addition, we consume various commodities in the normal course of business, exposing us to the effects of changes in the prices of such commodities. These financial and commodity exposures are monitored and managed by us as an integral part of our overall risk management program. Our risk management program seeks to reduce the potentially adverse effects that the volatility of certain markets may have on our operating results. We have not had any material change in our market risk exposures in the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Rule 13a-15(b) under the Securities Exchange Act of 1934, as amended (the “Exchange Act”), we carried out an evaluation, under the supervision and with the participation of our management, including our Chief Executive Officer (“CEO”), who is our principal executive officer, and our Executive Vice President and Chief Financial Officer (“CFO”), who is our principal financial officer, of the effectiveness of the design and operation of our disclosure controls and procedures (as defined under Rule 13a-15(e) and 15d-15(e) under the Exchange Act) as of the end of the period covered by this report. Based upon that evaluation, as of the end of the period covered by this report, our CEO and CFO concluded that our disclosure controls and procedures are effective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Changes in internal control over financial reporting.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has been no change in our internal control over financial reporting during the quarter ended June 30, 2026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Forward-looking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This document contains both historical and forward-looking statements within the meaning of Section 27A of the Securities Act of 1933, as amended, and Section 21E of the Securities Exchange Act of 1934, as amended. Words such as “anticipates,” “assumes,” “estimates,” “expects,” "target," “projects,” “predicts,” “intends,” “plans,” “potential,” “believes,” “could,” “may,” “should” and similar expressions may identify forward looking statements. Forward-looking information in this document includes, but is not limited to, statements concerning future performance of the Company and its global subsidiaries, including the anticipated results from the Company's strategic initiatives, including transformation initiatives and other technology and operational investments; the impact of U.S. and global macroeconomic conditions; difficulty in repatriating cash; fluctuating strength of the U.S. dollar; the proposed acquisition of NCR Atleos, Inc. ("NCR Atleos"), including the expected timing and conditions to closing (including receipt of regulatory approvals), the anticipated benefits and synergies of the transaction, the expected financing thereof and the related indebtedness expected to be incurred in connection with the transaction and the ability to service and repay such indebtedness; anticipated costs of our reorganization and restructuring activities; our ability to consummate acquisitions and integrate their operations successfully; changes in allowance calculation methods; future working capital performance; the impact of foreign currency forward and swap contracts; our effective tax rate; realization of deferred tax assets; the impact of foreign tax credit regulations; the ability to meet liquidity needs; expenses and payouts for the U.S. retirement plans and the funded status of the primary pension plan; expected liability for and future contributions to the UMWA plans; liability for black lung obligations; the effect of pending legal matters, including the Chile antitrust matter; the impacts of the operating environment in Argentina; changes in control over, or economic interests in, certain foreign subsidiaries, and the related accounting, financial reporting and operational impacts; and expected future payments under contractual obligations. Forward-looking information in this document is subject to known and unknown risks, uncertainties, and contingencies, which are difficult to quantify and which could cause actual results, performance or achievements to differ materially from those that are anticipated.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These risks, uncertainties and contingencies, many of which are beyond our control, include, but are not limited to: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improve profitability and execute further cost and operational improvements and efficiencies in our core businesses;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improve service levels and quality in our core businesses;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market volatility and commodity price fluctuations;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general economic issues, including supply chain disruptions, fuel price increases, new or increased international tariffs and/or trade barriers, inflation, recessionary conditions and changes in interest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seasonality, pricing and other competitive industry factors;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investment in information technology ("IT") and its impact on revenue and profit growth;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risks associated with the usage of artificial intelligence ("AI") technologies;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maintain an effective IT infrastructure and safeguard confidential information and risks related to a failure of our IT systems and networks, including cloud-based applications, and risks associated with current and emerging technology threats, and damage from computer viruses, unauthorized access and cyber and ransomware attacks, including increasingly sophisticated cyber attacks incorporating the use of AI and other similar disruptions;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effectively develop and implement solutions for our customers;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risks associated with operating in foreign countries, including changing political, labor and economic conditions (including political conflict or unrest), regulatory issues (including the imposition of international sanctions, including by the U.S. government), military conflicts (including but not limited to the conflict in Israel, Iran and surrounding areas, as well as the possible expansion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such conflicts and potential geopolitical consequences), currency restrictions and devaluations, restrictions on and cost of repatriating earnings and capital, impact on our financial results as a result of jurisdictions' higher-than-expected inflation and those determined to be highly inflationary, and restrictive government actions, including nationalization;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risks related to changes in control over, or economic interests in, foreign subsidiaries, including the resulting accounting, financial reporting, and operational impacts;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labor issues, including labor shortages, negotiations with organized labor and work stoppages;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pandemics, acts of terrorism, strikes or other extraordinary events that negatively affect global or regional cash commerce;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anticipated cash needs in light of our current liquidity position;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strength of the U.S. dollar relative to foreign currencies and foreign currency exchange rates;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identify, evaluate and complete acquisitions and other strategic transactions and to successfully integrate acquired companies;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risks related to the proposed acquisition of NCR Atleos, including: the occurrence of any event, change or other circumstance that could give rise to the termination of the merger agreement; the inability to complete the proposed transaction within the expected timeframe (or at all) due to the failure to obtain regulatory or the failure to satisfy other conditions to closing; risks that the proposed transaction disrupts current plans and operations; the focus of management's time and attention on the transaction and other disruptions arising from the proposed transaction; the ability to recognize the anticipated benefits and synergies of the proposed transaction; the amount of the costs, fees, expenses, and charges related to the proposed transaction and financing obtained in connection with the proposed transaction; the ability to obtain regulatory approvals on the terms expected or anticipated schedule; the risk that the proposed transaction and its announcement could have an adverse effect on the ability of the Company to retain customers, retain and hire key personnel and maintain relationships with suppliers, customers and other business relationships and on operating results and business generally; the risk of litigation and/or regulatory actions related to the proposed transaction;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costs related to dispositions and product or market exits;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ability to obtain appropriate insurance coverage, positions taken by insurers relative to claims and the financial condition of insurers;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safety and security performance and loss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employee, environmental and other liabilities in connection with former coal operations, including black lung claims;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impact of the American Rescue Plan Act and Patient Protection and Affordable Care Act on legacy liabilities and ongoing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funding requirements, accounting treatment, and investment performance of our pension plans, the VEBA and other employee benefits;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changes to estimated liabilities and assets in actuarial assumptions;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nature of hedging relationships and counterparty risk;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access to the capital and credit markets;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realize deferred tax assets;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impact of foreign tax credit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impact of the One Big Beautiful Bill Act and other changes in tax laws, regulations and interpretations;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outcome of pending and future claims, litigation, and administrative proceedings;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ability to comply with regulatory compliance obligations;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public perception of our business, reputation and brand;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identify, recruit and retain key employees;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changes in estimates and assumptions underlying our critical accounting policies;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promulgation and adoption of new accounting standards, new government regulations and interpretation of existing standards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This list of risks, uncertainties and contingencies is not intended to be exhaustive. Additional factors that could cause our results to differ materially from those described in the forward-looking statements can be found under “Risk Factors” in Item 1A of our Annual Report on Form 10-K for the period ended December 31, 2025, in the registration statement on Form S-4 (including the joint proxy statement/prospectus contained therein) filed in connection with the proposed acquisition of NCR Atleos, and in our other public filings with the Securities and Exchange Commission. All risk factors and uncertainties described herein and therein should be considered in evaluating forward-looking statements, and all of the forward-looking statements in this document are expressly qualified by the cautionary statements contained or referred to herein and therein. The actual results or developments anticipated may not be realized or, even if substantially realized, they may not have the expected consequences to or effects on the Company or our business or operations. Readers are cautioned not to rely too heavily on the forward-looking statements contained in this document. The forward looking information included in this document is representative only as of the date of this document, and The Brink’s Company undertakes no obligation to update, revise or clarify any information contained in this document or forward-looking statements that may be made from time to time on our behalf, whether as a result of new information, future events or otherwise, except as required by law.</w:t>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a discussion of legal proceedings, see Note 13 to the condensed consolidated financial statements, “Contingent Matters,” in Part I, Item 1 of this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Information regarding Risk Factors appears in Part I, Item 1A. Risk Factors of our Annual Report on Form 10-K for the year ended December 31, 2025. There have been no material changes in our risk factors previously disclosed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December 2025, the Board of Directors approved a $750 million share repurchase program that expires on December 31, 2027. Share repurchases under this program may be made in the open market, in privately negotiated transactions, or otherwise. The Company did not repurchase any shares of its common stock during the quarter ended June 30, 2026.</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Item 5.  Other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no directors nor officers (as defined in Rule 16a-1(f) of the Exchange Act) adopted or terminated a Rule 10b5-1 trading arrangement or non-Rule 10b5-1 trading arrangement (as such terms are defined in Item 408 of Regulation S-K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 xml:space="preserve">Item 6.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Exhibit</w:t>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Number</w:t>
      </w:r>
    </w:p>
    <w:tbl>
      <w:tblPr>
        <w:tblW w:w="10205" w:type="dxa"/>
        <w:jc w:val="left"/>
        <w:tblInd w:w="0" w:type="dxa"/>
        <w:tblLayout w:type="fixed"/>
        <w:tblCellMar>
          <w:top w:w="28" w:type="dxa"/>
          <w:left w:w="28" w:type="dxa"/>
          <w:bottom w:w="28" w:type="dxa"/>
          <w:right w:w="28" w:type="dxa"/>
        </w:tblCellMar>
      </w:tblPr>
      <w:tblGrid>
        <w:gridCol w:w="158"/>
        <w:gridCol w:w="138"/>
        <w:gridCol w:w="140"/>
        <w:gridCol w:w="2860"/>
        <w:gridCol w:w="2860"/>
        <w:gridCol w:w="404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22026.htm">
              <w:r>
                <w:rPr>
                  <w:rStyle w:val="InternetLink"/>
                  <w:rFonts w:ascii="Times New Roman;serif" w:hAnsi="Times New Roman;serif"/>
                  <w:b w:val="false"/>
                  <w:color w:val="0000FF"/>
                  <w:sz w:val="18"/>
                  <w:u w:val="single"/>
                </w:rPr>
                <w:t>Certification of Mark Eubanks, President and Chief Executive Officer (Principal Executive Officer) of The Brink’s Company, pursuant to Rules 13a-14(a) and 15d-14(a) promulgated under the Securities Exchange Act of 1934, as amended, as adopted pursuant to Section 302 of the Sarbanes-Oxley Act of 2002.</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22026.htm">
              <w:r>
                <w:rPr>
                  <w:rStyle w:val="InternetLink"/>
                  <w:rFonts w:ascii="Times New Roman;serif" w:hAnsi="Times New Roman;serif"/>
                  <w:b w:val="false"/>
                  <w:color w:val="0000FF"/>
                  <w:sz w:val="18"/>
                  <w:u w:val="single"/>
                </w:rPr>
                <w:t>Certification of Kurt B. McMaken, Executive Vice President and Chief Financial Officer (Principal Financial Officer) of The Brink’s Company, pursuant to Rules 13a-14(a) and 15d-14(a) promulgated under the Securities Exchange Act of 1934, as amended, as adopted pursuant to Section 302 of the Sarbanes-Oxley Act of 2002.</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22026.htm">
              <w:r>
                <w:rPr>
                  <w:rStyle w:val="InternetLink"/>
                  <w:rFonts w:ascii="Times New Roman;serif" w:hAnsi="Times New Roman;serif"/>
                  <w:b w:val="false"/>
                  <w:color w:val="0000FF"/>
                  <w:sz w:val="18"/>
                  <w:u w:val="single"/>
                </w:rPr>
                <w:t>Certification of Mark Eubanks, President and Chief Executive Officer (Principal Executive Officer) of The Brink’s Company, pursuant to 18 U.S.C. Section 1350, as adopted pursuant to Section 906 of the Sarbanes-Oxley Act of 2002.</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q22026.htm">
              <w:r>
                <w:rPr>
                  <w:rStyle w:val="InternetLink"/>
                  <w:rFonts w:ascii="Times New Roman;serif" w:hAnsi="Times New Roman;serif"/>
                  <w:b w:val="false"/>
                  <w:color w:val="0000FF"/>
                  <w:sz w:val="18"/>
                  <w:u w:val="single"/>
                </w:rPr>
                <w:t>Certification of Kurt B. McMaken, Executive Vice President and Chief Financial Officer (Principal Financial Officer) of The Brink’s Company, pursuant to 18 U.S.C. Section 1350, as adopted pursuant to Section 906 of the Sarbanes-Oxley Act of 2002.</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Interactive Data File (Quarterly Report on Form 10-Q, for the quarterly period ended June 30, 2026, furnished in Inline eXtensible Business Reporting Language (iXBRL)). The instance document does not appear in the interactive data file because its iXBRL tags are embedded within the iXBRL document.</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Attached as Exhibit 101 to this report are the following documents formatted in iXBRL:  (i) the Condensed Consolidated Balance Sheets at June 30, 2026, and December 31, 2025, (ii)  the Condensed Consolidated Statements of Operations for the three and six months ended June 30, 2026 and 2025, (iii) the Condensed Consolidated Statements of Comprehensive Income (Loss) for the three and six months ended June 30, 2026 and 2025, (iv) the Condensed Consolidated Statements of Equity for the six months ended June 30, 2026 and 2025, (v) the Condensed Consolidated Statements of Cash Flows for the six months ended June 30, 2026 and 2025 and (vi) the Notes to the Condensed Consolidated Financial Statements. Users of this data are advised pursuant to Rule 406T of Regulation S-T that this interactive data file is deemed not filed or part of a registration statement or prospectus for purposes of sections 11 or 12 of the Securities Act of 1933, is deemed not filed for purposes of section 18 of the Securities and Exchange Act of 1934, and otherwise is not subject to liability under these sections.</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in iXBRL (included within Exhibit 101).</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240"/>
        <w:jc w:val="left"/>
        <w:rPr/>
      </w:pPr>
      <w:r>
        <w:rPr/>
      </w:r>
    </w:p>
    <w:p>
      <w:pPr>
        <w:pStyle w:val="TextBody"/>
        <w:bidi w:val="0"/>
        <w:spacing w:before="0" w:after="240"/>
        <w:jc w:val="left"/>
        <w:rPr/>
      </w:pPr>
      <w:r>
        <w:rPr/>
      </w:r>
    </w:p>
    <w:tbl>
      <w:tblPr>
        <w:tblW w:w="3509" w:type="dxa"/>
        <w:jc w:val="left"/>
        <w:tblInd w:w="0" w:type="dxa"/>
        <w:tblLayout w:type="fixed"/>
        <w:tblCellMar>
          <w:top w:w="28" w:type="dxa"/>
          <w:left w:w="28" w:type="dxa"/>
          <w:bottom w:w="28" w:type="dxa"/>
          <w:right w:w="28" w:type="dxa"/>
        </w:tblCellMar>
      </w:tblPr>
      <w:tblGrid>
        <w:gridCol w:w="445"/>
        <w:gridCol w:w="390"/>
        <w:gridCol w:w="394"/>
        <w:gridCol w:w="667"/>
        <w:gridCol w:w="667"/>
        <w:gridCol w:w="94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BRINK’S COMPANY</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By: </w:t>
            </w:r>
            <w:r>
              <w:rPr>
                <w:rFonts w:ascii="Times New Roman;serif" w:hAnsi="Times New Roman;serif"/>
                <w:b w:val="false"/>
                <w:color w:val="000000"/>
                <w:sz w:val="18"/>
                <w:u w:val="single"/>
              </w:rPr>
              <w:t>/s/ Kurt B. McMaken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Kurt B. McMaken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(Executive Vice President and</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Eubanks,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 ended June 30, 2026 of The Brink’s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8" w:type="dxa"/>
        <w:jc w:val="left"/>
        <w:tblInd w:w="0" w:type="dxa"/>
        <w:tblLayout w:type="fixed"/>
        <w:tblCellMar>
          <w:top w:w="28" w:type="dxa"/>
          <w:left w:w="28" w:type="dxa"/>
          <w:bottom w:w="28" w:type="dxa"/>
          <w:right w:w="28" w:type="dxa"/>
        </w:tblCellMar>
      </w:tblPr>
      <w:tblGrid>
        <w:gridCol w:w="124"/>
        <w:gridCol w:w="109"/>
        <w:gridCol w:w="109"/>
        <w:gridCol w:w="1053"/>
        <w:gridCol w:w="1053"/>
        <w:gridCol w:w="105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Mark Eubanks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Eubanks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Kurt B. McMaken,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 ended June 30, 2026 of The Brink’s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08" w:type="dxa"/>
        <w:jc w:val="left"/>
        <w:tblInd w:w="0" w:type="dxa"/>
        <w:tblLayout w:type="fixed"/>
        <w:tblCellMar>
          <w:top w:w="28" w:type="dxa"/>
          <w:left w:w="28" w:type="dxa"/>
          <w:bottom w:w="28" w:type="dxa"/>
          <w:right w:w="28" w:type="dxa"/>
        </w:tblCellMar>
      </w:tblPr>
      <w:tblGrid>
        <w:gridCol w:w="124"/>
        <w:gridCol w:w="109"/>
        <w:gridCol w:w="109"/>
        <w:gridCol w:w="1463"/>
        <w:gridCol w:w="1463"/>
        <w:gridCol w:w="14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u w:val="single"/>
              </w:rPr>
              <w:t>/s/ Kurt B. McMaken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Kurt B. McMaken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Brink’s Company (the “Company”) for the period ended June 30, 2026 as filed with the Securities and Exchange Commission on the date hereof (the “Report”), I, Mark Eubanks, President and Chief Executive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Mark Eubanks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Eubanks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August 5, 2026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Brink’s Company (the “Company”) for the period ended June 30, 2026 as filed with the Securities and Exchange Commission on the date hereof (the “Report”), I, Kurt B. McMaken, Executive Vice President and Chief Financial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Kurt B. McMaken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Kurt B. McMaken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August 5, 2026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27907</Words>
  <Characters>156204</Characters>
  <CharactersWithSpaces>182257</CharactersWithSpaces>
  <Paragraphs>4442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