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75"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24"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Exchange Act of 1934</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6, 2026</w:t>
      </w:r>
    </w:p>
    <w:p>
      <w:pPr>
        <w:spacing w:after="0" w:line="26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THE BRINK’S COMPANY</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58" w:lineRule="exact"/>
        <w:rPr>
          <w:sz w:val="24"/>
          <w:szCs w:val="24"/>
          <w:color w:val="auto"/>
        </w:rPr>
      </w:pPr>
    </w:p>
    <w:tbl>
      <w:tblPr>
        <w:tblLayout w:type="fixed"/>
        <w:tblInd w:w="760" w:type="dxa"/>
        <w:tblCellMar>
          <w:top w:w="0" w:type="dxa"/>
          <w:left w:w="0" w:type="dxa"/>
          <w:bottom w:w="0" w:type="dxa"/>
          <w:right w:w="0" w:type="dxa"/>
        </w:tblCellMar>
      </w:tblPr>
      <w:tr>
        <w:trPr>
          <w:trHeight w:val="138"/>
        </w:trPr>
        <w:tc>
          <w:tcPr>
            <w:tcW w:w="840" w:type="dxa"/>
            <w:vAlign w:val="bottom"/>
          </w:tcPr>
          <w:p>
            <w:pPr>
              <w:spacing w:after="0"/>
              <w:rPr>
                <w:sz w:val="12"/>
                <w:szCs w:val="12"/>
                <w:color w:val="auto"/>
              </w:rPr>
            </w:pPr>
          </w:p>
        </w:tc>
        <w:tc>
          <w:tcPr>
            <w:tcW w:w="2120" w:type="dxa"/>
            <w:vAlign w:val="bottom"/>
            <w:gridSpan w:val="2"/>
          </w:tcPr>
          <w:p>
            <w:pPr>
              <w:jc w:val="center"/>
              <w:ind w:right="1700"/>
              <w:spacing w:after="0"/>
              <w:rPr>
                <w:sz w:val="20"/>
                <w:szCs w:val="20"/>
                <w:color w:val="auto"/>
              </w:rPr>
            </w:pPr>
            <w:r>
              <w:rPr>
                <w:rFonts w:ascii="Times New Roman" w:cs="Times New Roman" w:eastAsia="Times New Roman" w:hAnsi="Times New Roman"/>
                <w:sz w:val="12"/>
                <w:szCs w:val="12"/>
                <w:b w:val="1"/>
                <w:bCs w:val="1"/>
                <w:color w:val="auto"/>
                <w:w w:val="98"/>
              </w:rPr>
              <w:t>Virginia</w:t>
            </w:r>
          </w:p>
        </w:tc>
        <w:tc>
          <w:tcPr>
            <w:tcW w:w="3140" w:type="dxa"/>
            <w:vAlign w:val="bottom"/>
            <w:gridSpan w:val="3"/>
          </w:tcPr>
          <w:p>
            <w:pPr>
              <w:jc w:val="right"/>
              <w:ind w:right="1360"/>
              <w:spacing w:after="0"/>
              <w:rPr>
                <w:sz w:val="20"/>
                <w:szCs w:val="20"/>
                <w:color w:val="auto"/>
              </w:rPr>
            </w:pPr>
            <w:r>
              <w:rPr>
                <w:rFonts w:ascii="Times New Roman" w:cs="Times New Roman" w:eastAsia="Times New Roman" w:hAnsi="Times New Roman"/>
                <w:sz w:val="12"/>
                <w:szCs w:val="12"/>
                <w:b w:val="1"/>
                <w:bCs w:val="1"/>
                <w:color w:val="auto"/>
              </w:rPr>
              <w:t>001-09148</w:t>
            </w:r>
          </w:p>
        </w:tc>
        <w:tc>
          <w:tcPr>
            <w:tcW w:w="2620" w:type="dxa"/>
            <w:vAlign w:val="bottom"/>
            <w:gridSpan w:val="3"/>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54-1317776</w:t>
            </w: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0"/>
        </w:trPr>
        <w:tc>
          <w:tcPr>
            <w:tcW w:w="2960" w:type="dxa"/>
            <w:vAlign w:val="bottom"/>
            <w:gridSpan w:val="3"/>
          </w:tcPr>
          <w:p>
            <w:pPr>
              <w:jc w:val="center"/>
              <w:ind w:right="860"/>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31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620" w:type="dxa"/>
            <w:vAlign w:val="bottom"/>
            <w:gridSpan w:val="3"/>
          </w:tcPr>
          <w:p>
            <w:pPr>
              <w:jc w:val="center"/>
              <w:ind w:left="900"/>
              <w:spacing w:after="0"/>
              <w:rPr>
                <w:sz w:val="20"/>
                <w:szCs w:val="20"/>
                <w:color w:val="auto"/>
              </w:rPr>
            </w:pPr>
            <w:r>
              <w:rPr>
                <w:rFonts w:ascii="Times New Roman" w:cs="Times New Roman" w:eastAsia="Times New Roman" w:hAnsi="Times New Roman"/>
                <w:sz w:val="12"/>
                <w:szCs w:val="12"/>
                <w:color w:val="auto"/>
              </w:rPr>
              <w:t>(IRS Employer Identification No.)</w:t>
            </w:r>
          </w:p>
        </w:tc>
      </w:tr>
    </w:tbl>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1801 Bayberry Court</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 O. Box 18100</w:t>
      </w:r>
    </w:p>
    <w:p>
      <w:pPr>
        <w:spacing w:after="0" w:line="2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2"/>
          <w:szCs w:val="12"/>
          <w:b w:val="1"/>
          <w:bCs w:val="1"/>
          <w:color w:val="auto"/>
        </w:rPr>
        <w:t>Richmond, VA 23226-8100</w:t>
      </w:r>
    </w:p>
    <w:p>
      <w:pPr>
        <w:spacing w:after="0" w:line="6"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2"/>
          <w:szCs w:val="12"/>
          <w:color w:val="auto"/>
        </w:rPr>
        <w:t>(Address and zip code of</w:t>
      </w:r>
    </w:p>
    <w:p>
      <w:pPr>
        <w:spacing w:after="0" w:line="6"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2"/>
          <w:szCs w:val="12"/>
          <w:color w:val="auto"/>
        </w:rPr>
        <w:t>principal executive offices)</w:t>
      </w:r>
    </w:p>
    <w:p>
      <w:pPr>
        <w:spacing w:after="0" w:line="1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(804) 289-9600</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78" w:lineRule="exact"/>
        <w:rPr>
          <w:sz w:val="24"/>
          <w:szCs w:val="24"/>
          <w:color w:val="auto"/>
        </w:rPr>
      </w:pPr>
    </w:p>
    <w:p>
      <w:pPr>
        <w:ind w:left="380" w:hanging="256"/>
        <w:spacing w:after="0"/>
        <w:tabs>
          <w:tab w:leader="none" w:pos="38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83" w:lineRule="exact"/>
        <w:rPr>
          <w:rFonts w:ascii="MS PGothic" w:cs="MS PGothic" w:eastAsia="MS PGothic" w:hAnsi="MS PGothic"/>
          <w:sz w:val="13"/>
          <w:szCs w:val="13"/>
          <w:color w:val="auto"/>
          <w:highlight w:val="black"/>
        </w:rPr>
      </w:pPr>
    </w:p>
    <w:p>
      <w:pPr>
        <w:ind w:left="380" w:hanging="256"/>
        <w:spacing w:after="0"/>
        <w:tabs>
          <w:tab w:leader="none" w:pos="3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83" w:lineRule="exact"/>
        <w:rPr>
          <w:rFonts w:ascii="MS PGothic" w:cs="MS PGothic" w:eastAsia="MS PGothic" w:hAnsi="MS PGothic"/>
          <w:sz w:val="13"/>
          <w:szCs w:val="13"/>
          <w:color w:val="auto"/>
        </w:rPr>
      </w:pPr>
    </w:p>
    <w:p>
      <w:pPr>
        <w:ind w:left="380" w:hanging="256"/>
        <w:spacing w:after="0"/>
        <w:tabs>
          <w:tab w:leader="none" w:pos="3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83" w:lineRule="exact"/>
        <w:rPr>
          <w:rFonts w:ascii="MS PGothic" w:cs="MS PGothic" w:eastAsia="MS PGothic" w:hAnsi="MS PGothic"/>
          <w:sz w:val="13"/>
          <w:szCs w:val="13"/>
          <w:color w:val="auto"/>
        </w:rPr>
      </w:pPr>
    </w:p>
    <w:p>
      <w:pPr>
        <w:ind w:left="380" w:hanging="256"/>
        <w:spacing w:after="0"/>
        <w:tabs>
          <w:tab w:leader="none" w:pos="3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080" w:type="dxa"/>
            <w:vAlign w:val="bottom"/>
            <w:tcBorders>
              <w:top w:val="single" w:sz="8" w:color="auto"/>
              <w:left w:val="single" w:sz="8" w:color="auto"/>
              <w:bottom w:val="single" w:sz="8" w:color="auto"/>
              <w:right w:val="single" w:sz="8" w:color="auto"/>
            </w:tcBorders>
          </w:tcPr>
          <w:p>
            <w:pPr>
              <w:ind w:left="1600"/>
              <w:spacing w:after="0"/>
              <w:rPr>
                <w:sz w:val="20"/>
                <w:szCs w:val="20"/>
                <w:color w:val="auto"/>
              </w:rPr>
            </w:pPr>
            <w:r>
              <w:rPr>
                <w:rFonts w:ascii="Times New Roman" w:cs="Times New Roman" w:eastAsia="Times New Roman" w:hAnsi="Times New Roman"/>
                <w:sz w:val="12"/>
                <w:szCs w:val="12"/>
                <w:color w:val="auto"/>
              </w:rPr>
              <w:t>Title of each class</w:t>
            </w:r>
          </w:p>
        </w:tc>
        <w:tc>
          <w:tcPr>
            <w:tcW w:w="216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2"/>
                <w:szCs w:val="12"/>
                <w:color w:val="auto"/>
              </w:rPr>
              <w:t>Trading Symbol(s)</w:t>
            </w:r>
          </w:p>
        </w:tc>
        <w:tc>
          <w:tcPr>
            <w:tcW w:w="5080" w:type="dxa"/>
            <w:vAlign w:val="bottom"/>
            <w:tcBorders>
              <w:top w:val="single" w:sz="8" w:color="auto"/>
              <w:bottom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Common Stock, par value $1.00 per share</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BCO</w:t>
            </w:r>
          </w:p>
        </w:tc>
        <w:tc>
          <w:tcPr>
            <w:tcW w:w="5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New York Stock Exchange</w:t>
            </w:r>
          </w:p>
        </w:tc>
      </w:tr>
    </w:tbl>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405 of the Securities Act of 1933 (§230.405 of this chapter) or Rule 12b-2 of the Securities Exchange Act of 1934 (§240.12b-2 of this chapter).</w:t>
      </w:r>
    </w:p>
    <w:p>
      <w:pPr>
        <w:spacing w:after="0" w:line="13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13" w:lineRule="exact"/>
        <w:rPr>
          <w:sz w:val="24"/>
          <w:szCs w:val="24"/>
          <w:color w:val="auto"/>
        </w:rPr>
      </w:pPr>
    </w:p>
    <w:p>
      <w:pPr>
        <w:ind w:right="60"/>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334010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25" w:right="299" w:bottom="1440" w:gutter="0" w:footer="0" w:header="0"/>
        </w:sectPr>
      </w:pPr>
    </w:p>
    <w:bookmarkStart w:id="1" w:name="page2"/>
    <w:bookmarkEnd w:id="1"/>
    <w:p>
      <w:pPr>
        <w:ind w:left="420"/>
        <w:spacing w:after="0"/>
        <w:tabs>
          <w:tab w:leader="none" w:pos="1880" w:val="left"/>
        </w:tabs>
        <w:rPr>
          <w:sz w:val="20"/>
          <w:szCs w:val="20"/>
          <w:color w:val="auto"/>
        </w:rPr>
      </w:pPr>
      <w:r>
        <w:rPr>
          <w:rFonts w:ascii="Times New Roman" w:cs="Times New Roman" w:eastAsia="Times New Roman" w:hAnsi="Times New Roman"/>
          <w:sz w:val="14"/>
          <w:szCs w:val="14"/>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336"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auto"/>
        </w:rPr>
        <w:t>On May 6, 2026, The Brink's Company (the “Company”) issued a press release reporting its results for the first quarter ended March 31, 2026. A copy of the release is furnished as Exhibit 99.1 to this Current Report on Form 8-K.</w:t>
      </w:r>
    </w:p>
    <w:p>
      <w:pPr>
        <w:spacing w:after="0" w:line="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this Item 2.02 of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shall be expressly set forth by specific references in such a filing.</w:t>
      </w:r>
    </w:p>
    <w:p>
      <w:pPr>
        <w:spacing w:after="0" w:line="139" w:lineRule="exact"/>
        <w:rPr>
          <w:sz w:val="20"/>
          <w:szCs w:val="20"/>
          <w:color w:val="auto"/>
        </w:rPr>
      </w:pPr>
    </w:p>
    <w:p>
      <w:pPr>
        <w:ind w:left="380"/>
        <w:spacing w:after="0"/>
        <w:tabs>
          <w:tab w:leader="none" w:pos="186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2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On May 6, 2026, the Company provided slides to accompany its earnings presentation. A copy of the slides is furnished as Exhibit 99.2 to this Current Report on Form 8-K.</w:t>
      </w:r>
    </w:p>
    <w:p>
      <w:pPr>
        <w:spacing w:after="0" w:line="17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this Item 7.01 of this Current Report on Form 8-K, including Exhibit 99.2, shall not be deemed “filed” for the purposes of Section 18 of the Exchange Act, or otherwise subject to the liabilities of that section, nor shall it be deemed incorporated by reference in any filing under the Securities Act or the Exchange Act, except as shall be expressly set forth by specific references in such a filing.</w:t>
      </w:r>
    </w:p>
    <w:p>
      <w:pPr>
        <w:spacing w:after="0" w:line="200" w:lineRule="exact"/>
        <w:rPr>
          <w:sz w:val="20"/>
          <w:szCs w:val="20"/>
          <w:color w:val="auto"/>
        </w:rPr>
      </w:pPr>
    </w:p>
    <w:p>
      <w:pPr>
        <w:spacing w:after="0" w:line="221" w:lineRule="exact"/>
        <w:rPr>
          <w:sz w:val="20"/>
          <w:szCs w:val="20"/>
          <w:color w:val="auto"/>
        </w:rPr>
      </w:pPr>
    </w:p>
    <w:p>
      <w:pPr>
        <w:ind w:left="400"/>
        <w:spacing w:after="0"/>
        <w:tabs>
          <w:tab w:leader="none" w:pos="214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65" w:lineRule="exact"/>
        <w:rPr>
          <w:sz w:val="20"/>
          <w:szCs w:val="20"/>
          <w:color w:val="auto"/>
        </w:rPr>
      </w:pPr>
    </w:p>
    <w:p>
      <w:pPr>
        <w:ind w:left="1000" w:hanging="654"/>
        <w:spacing w:after="0"/>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99.1</w:t>
            </w:r>
          </w:p>
        </w:tc>
        <w:tc>
          <w:tcPr>
            <w:tcW w:w="3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Press Release, dated May 6, 2026, issued by The Brink's Company</w:t>
            </w:r>
          </w:p>
        </w:tc>
        <w:tc>
          <w:tcPr>
            <w:tcW w:w="5280" w:type="dxa"/>
            <w:vAlign w:val="bottom"/>
          </w:tcPr>
          <w:p>
            <w:pPr>
              <w:spacing w:after="0"/>
              <w:rPr>
                <w:sz w:val="13"/>
                <w:szCs w:val="13"/>
                <w:color w:val="auto"/>
              </w:rPr>
            </w:pPr>
          </w:p>
        </w:tc>
      </w:tr>
      <w:tr>
        <w:trPr>
          <w:trHeight w:val="232"/>
        </w:trPr>
        <w:tc>
          <w:tcPr>
            <w:tcW w:w="21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99.2</w:t>
            </w:r>
          </w:p>
        </w:tc>
        <w:tc>
          <w:tcPr>
            <w:tcW w:w="2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Slide presentation of The Brink's Company</w:t>
            </w:r>
          </w:p>
        </w:tc>
        <w:tc>
          <w:tcPr>
            <w:tcW w:w="6640" w:type="dxa"/>
            <w:vAlign w:val="bottom"/>
            <w:gridSpan w:val="2"/>
          </w:tcPr>
          <w:p>
            <w:pPr>
              <w:spacing w:after="0"/>
              <w:rPr>
                <w:sz w:val="20"/>
                <w:szCs w:val="20"/>
                <w:color w:val="auto"/>
              </w:rPr>
            </w:pPr>
          </w:p>
        </w:tc>
      </w:tr>
      <w:tr>
        <w:trPr>
          <w:trHeight w:val="267"/>
        </w:trPr>
        <w:tc>
          <w:tcPr>
            <w:tcW w:w="21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104</w:t>
            </w:r>
          </w:p>
        </w:tc>
        <w:tc>
          <w:tcPr>
            <w:tcW w:w="9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568"/>
        </w:trPr>
        <w:tc>
          <w:tcPr>
            <w:tcW w:w="21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40" w:right="29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THE BRINK’S COMPANY</w:t>
      </w:r>
    </w:p>
    <w:p>
      <w:pPr>
        <w:spacing w:after="0" w:line="11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(Registrant)</w:t>
      </w:r>
    </w:p>
    <w:p>
      <w:pPr>
        <w:spacing w:after="0" w:line="200" w:lineRule="exact"/>
        <w:rPr>
          <w:sz w:val="20"/>
          <w:szCs w:val="20"/>
          <w:color w:val="auto"/>
        </w:rPr>
      </w:pPr>
    </w:p>
    <w:p>
      <w:pPr>
        <w:spacing w:after="0" w:line="341" w:lineRule="exact"/>
        <w:rPr>
          <w:sz w:val="20"/>
          <w:szCs w:val="20"/>
          <w:color w:val="auto"/>
        </w:rPr>
      </w:pPr>
    </w:p>
    <w:p>
      <w:pPr>
        <w:ind w:left="280"/>
        <w:spacing w:after="0"/>
        <w:tabs>
          <w:tab w:leader="none" w:pos="5340" w:val="left"/>
          <w:tab w:leader="none" w:pos="5920" w:val="left"/>
        </w:tabs>
        <w:rPr>
          <w:sz w:val="20"/>
          <w:szCs w:val="20"/>
          <w:color w:val="auto"/>
        </w:rPr>
      </w:pPr>
      <w:r>
        <w:rPr>
          <w:rFonts w:ascii="Times New Roman" w:cs="Times New Roman" w:eastAsia="Times New Roman" w:hAnsi="Times New Roman"/>
          <w:sz w:val="14"/>
          <w:szCs w:val="14"/>
          <w:color w:val="auto"/>
        </w:rPr>
        <w:t>Date: May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Kurt B. McMaken</w:t>
      </w:r>
    </w:p>
    <w:p>
      <w:pPr>
        <w:spacing w:after="0" w:line="2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color w:val="auto"/>
        </w:rPr>
        <w:t>Kurt B. McMaken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3770630</wp:posOffset>
            </wp:positionH>
            <wp:positionV relativeFrom="paragraph">
              <wp:posOffset>-101600</wp:posOffset>
            </wp:positionV>
            <wp:extent cx="307467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74670" cy="5715"/>
                    </a:xfrm>
                    <a:prstGeom prst="rect">
                      <a:avLst/>
                    </a:prstGeom>
                    <a:noFill/>
                  </pic:spPr>
                </pic:pic>
              </a:graphicData>
            </a:graphic>
          </wp:anchor>
        </w:drawing>
      </w:r>
    </w:p>
    <w:p>
      <w:pPr>
        <w:spacing w:after="0" w:line="1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color w:val="auto"/>
        </w:rPr>
        <w:t>Executive Vice President and</w:t>
      </w:r>
    </w:p>
    <w:p>
      <w:pPr>
        <w:spacing w:after="0" w:line="2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0460"/>
          </w:cols>
          <w:pgMar w:left="420" w:top="1127" w:right="101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6435725</wp:posOffset>
            </wp:positionH>
            <wp:positionV relativeFrom="paragraph">
              <wp:posOffset>68580</wp:posOffset>
            </wp:positionV>
            <wp:extent cx="731520" cy="125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520" cy="12573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2A4A83"/>
        </w:rPr>
        <w:t>P R E S S R E L E A S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2A4A83"/>
              </w:rPr>
              <w:t>Contact:</w:t>
            </w:r>
          </w:p>
        </w:tc>
        <w:tc>
          <w:tcPr>
            <w:tcW w:w="5360" w:type="dxa"/>
            <w:vAlign w:val="bottom"/>
          </w:tcPr>
          <w:p>
            <w:pPr>
              <w:ind w:left="3820"/>
              <w:spacing w:after="0"/>
              <w:rPr>
                <w:sz w:val="20"/>
                <w:szCs w:val="20"/>
                <w:color w:val="auto"/>
              </w:rPr>
            </w:pPr>
            <w:r>
              <w:rPr>
                <w:rFonts w:ascii="Arial" w:cs="Arial" w:eastAsia="Arial" w:hAnsi="Arial"/>
                <w:sz w:val="11"/>
                <w:szCs w:val="11"/>
                <w:b w:val="1"/>
                <w:bCs w:val="1"/>
                <w:color w:val="auto"/>
              </w:rPr>
              <w:t>BRINK’S CORPORATE</w:t>
            </w:r>
          </w:p>
        </w:tc>
        <w:tc>
          <w:tcPr>
            <w:tcW w:w="0" w:type="dxa"/>
            <w:vAlign w:val="bottom"/>
          </w:tcPr>
          <w:p>
            <w:pPr>
              <w:spacing w:after="0"/>
              <w:rPr>
                <w:sz w:val="1"/>
                <w:szCs w:val="1"/>
                <w:color w:val="auto"/>
              </w:rPr>
            </w:pPr>
          </w:p>
        </w:tc>
      </w:tr>
      <w:tr>
        <w:trPr>
          <w:trHeight w:val="81"/>
        </w:trPr>
        <w:tc>
          <w:tcPr>
            <w:tcW w:w="4680" w:type="dxa"/>
            <w:vAlign w:val="bottom"/>
            <w:vMerge w:val="continue"/>
          </w:tcPr>
          <w:p>
            <w:pPr>
              <w:spacing w:after="0"/>
              <w:rPr>
                <w:sz w:val="7"/>
                <w:szCs w:val="7"/>
                <w:color w:val="auto"/>
              </w:rPr>
            </w:pPr>
          </w:p>
        </w:tc>
        <w:tc>
          <w:tcPr>
            <w:tcW w:w="5360" w:type="dxa"/>
            <w:vAlign w:val="bottom"/>
            <w:vMerge w:val="restart"/>
          </w:tcPr>
          <w:p>
            <w:pPr>
              <w:ind w:left="3820"/>
              <w:spacing w:after="0"/>
              <w:rPr>
                <w:sz w:val="20"/>
                <w:szCs w:val="20"/>
                <w:color w:val="auto"/>
              </w:rPr>
            </w:pPr>
            <w:r>
              <w:rPr>
                <w:rFonts w:ascii="Arial" w:cs="Arial" w:eastAsia="Arial" w:hAnsi="Arial"/>
                <w:sz w:val="11"/>
                <w:szCs w:val="11"/>
                <w:color w:val="auto"/>
              </w:rPr>
              <w:t>The Brink’s Company</w:t>
            </w:r>
          </w:p>
        </w:tc>
        <w:tc>
          <w:tcPr>
            <w:tcW w:w="0" w:type="dxa"/>
            <w:vAlign w:val="bottom"/>
          </w:tcPr>
          <w:p>
            <w:pPr>
              <w:spacing w:after="0"/>
              <w:rPr>
                <w:sz w:val="1"/>
                <w:szCs w:val="1"/>
                <w:color w:val="auto"/>
              </w:rPr>
            </w:pPr>
          </w:p>
        </w:tc>
      </w:tr>
      <w:tr>
        <w:trPr>
          <w:trHeight w:val="61"/>
        </w:trPr>
        <w:tc>
          <w:tcPr>
            <w:tcW w:w="4680" w:type="dxa"/>
            <w:vAlign w:val="bottom"/>
            <w:vMerge w:val="restart"/>
          </w:tcPr>
          <w:p>
            <w:pPr>
              <w:spacing w:after="0"/>
              <w:rPr>
                <w:sz w:val="20"/>
                <w:szCs w:val="20"/>
                <w:color w:val="auto"/>
              </w:rPr>
            </w:pPr>
            <w:r>
              <w:rPr>
                <w:rFonts w:ascii="Arial" w:cs="Arial" w:eastAsia="Arial" w:hAnsi="Arial"/>
                <w:sz w:val="11"/>
                <w:szCs w:val="11"/>
                <w:color w:val="auto"/>
              </w:rPr>
              <w:t>Investor Relations</w:t>
            </w:r>
          </w:p>
        </w:tc>
        <w:tc>
          <w:tcPr>
            <w:tcW w:w="5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680" w:type="dxa"/>
            <w:vAlign w:val="bottom"/>
            <w:vMerge w:val="continue"/>
          </w:tcPr>
          <w:p>
            <w:pPr>
              <w:spacing w:after="0"/>
              <w:rPr>
                <w:sz w:val="9"/>
                <w:szCs w:val="9"/>
                <w:color w:val="auto"/>
              </w:rPr>
            </w:pPr>
          </w:p>
        </w:tc>
        <w:tc>
          <w:tcPr>
            <w:tcW w:w="5360" w:type="dxa"/>
            <w:vAlign w:val="bottom"/>
            <w:vMerge w:val="restart"/>
          </w:tcPr>
          <w:p>
            <w:pPr>
              <w:ind w:left="3820"/>
              <w:spacing w:after="0"/>
              <w:rPr>
                <w:sz w:val="20"/>
                <w:szCs w:val="20"/>
                <w:color w:val="auto"/>
              </w:rPr>
            </w:pPr>
            <w:r>
              <w:rPr>
                <w:rFonts w:ascii="Arial" w:cs="Arial" w:eastAsia="Arial" w:hAnsi="Arial"/>
                <w:sz w:val="11"/>
                <w:szCs w:val="11"/>
                <w:color w:val="auto"/>
              </w:rPr>
              <w:t>1801 Bayberry Court</w:t>
            </w:r>
          </w:p>
        </w:tc>
        <w:tc>
          <w:tcPr>
            <w:tcW w:w="0" w:type="dxa"/>
            <w:vAlign w:val="bottom"/>
          </w:tcPr>
          <w:p>
            <w:pPr>
              <w:spacing w:after="0"/>
              <w:rPr>
                <w:sz w:val="1"/>
                <w:szCs w:val="1"/>
                <w:color w:val="auto"/>
              </w:rPr>
            </w:pPr>
          </w:p>
        </w:tc>
      </w:tr>
      <w:tr>
        <w:trPr>
          <w:trHeight w:val="45"/>
        </w:trPr>
        <w:tc>
          <w:tcPr>
            <w:tcW w:w="4680" w:type="dxa"/>
            <w:vAlign w:val="bottom"/>
            <w:vMerge w:val="restart"/>
          </w:tcPr>
          <w:p>
            <w:pPr>
              <w:spacing w:after="0"/>
              <w:rPr>
                <w:sz w:val="20"/>
                <w:szCs w:val="20"/>
                <w:color w:val="auto"/>
              </w:rPr>
            </w:pPr>
            <w:r>
              <w:rPr>
                <w:rFonts w:ascii="Arial" w:cs="Arial" w:eastAsia="Arial" w:hAnsi="Arial"/>
                <w:sz w:val="11"/>
                <w:szCs w:val="11"/>
                <w:color w:val="auto"/>
              </w:rPr>
              <w:t>804.289.9709</w:t>
            </w:r>
          </w:p>
        </w:tc>
        <w:tc>
          <w:tcPr>
            <w:tcW w:w="5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4680" w:type="dxa"/>
            <w:vAlign w:val="bottom"/>
            <w:vMerge w:val="continue"/>
          </w:tcPr>
          <w:p>
            <w:pPr>
              <w:spacing w:after="0"/>
              <w:rPr>
                <w:sz w:val="9"/>
                <w:szCs w:val="9"/>
                <w:color w:val="auto"/>
              </w:rPr>
            </w:pPr>
          </w:p>
        </w:tc>
        <w:tc>
          <w:tcPr>
            <w:tcW w:w="5360" w:type="dxa"/>
            <w:vAlign w:val="bottom"/>
            <w:vMerge w:val="restart"/>
          </w:tcPr>
          <w:p>
            <w:pPr>
              <w:ind w:left="3820"/>
              <w:spacing w:after="0"/>
              <w:rPr>
                <w:sz w:val="20"/>
                <w:szCs w:val="20"/>
                <w:color w:val="auto"/>
              </w:rPr>
            </w:pPr>
            <w:r>
              <w:rPr>
                <w:rFonts w:ascii="Arial" w:cs="Arial" w:eastAsia="Arial" w:hAnsi="Arial"/>
                <w:sz w:val="11"/>
                <w:szCs w:val="11"/>
                <w:color w:val="auto"/>
                <w:w w:val="96"/>
              </w:rPr>
              <w:t>Richmond, VA 23226-8100 USA</w:t>
            </w:r>
          </w:p>
        </w:tc>
        <w:tc>
          <w:tcPr>
            <w:tcW w:w="0" w:type="dxa"/>
            <w:vAlign w:val="bottom"/>
          </w:tcPr>
          <w:p>
            <w:pPr>
              <w:spacing w:after="0"/>
              <w:rPr>
                <w:sz w:val="1"/>
                <w:szCs w:val="1"/>
                <w:color w:val="auto"/>
              </w:rPr>
            </w:pPr>
          </w:p>
        </w:tc>
      </w:tr>
      <w:tr>
        <w:trPr>
          <w:trHeight w:val="45"/>
        </w:trPr>
        <w:tc>
          <w:tcPr>
            <w:tcW w:w="4680" w:type="dxa"/>
            <w:vAlign w:val="bottom"/>
          </w:tcPr>
          <w:p>
            <w:pPr>
              <w:spacing w:after="0"/>
              <w:rPr>
                <w:sz w:val="3"/>
                <w:szCs w:val="3"/>
                <w:color w:val="auto"/>
              </w:rPr>
            </w:pPr>
          </w:p>
        </w:tc>
        <w:tc>
          <w:tcPr>
            <w:tcW w:w="5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Brink's Delivers Strong First-Quarter Results with Double-Digit Revenue Growth</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Revenue growth of 10% with 4.5% organic growth and 15% AMS/DRS organic growth</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Cash flows provided by operating activities increased $89M and free cash flow was up $66M</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NCR Atleos acquisition remains on track to close by the end of the first quarter of 2027</w:t>
      </w:r>
    </w:p>
    <w:p>
      <w:pPr>
        <w:spacing w:after="0" w:line="221" w:lineRule="exact"/>
        <w:rPr>
          <w:sz w:val="20"/>
          <w:szCs w:val="20"/>
          <w:color w:val="auto"/>
        </w:rPr>
      </w:pPr>
    </w:p>
    <w:p>
      <w:pPr>
        <w:ind w:right="340"/>
        <w:spacing w:after="0" w:line="367" w:lineRule="auto"/>
        <w:rPr>
          <w:sz w:val="20"/>
          <w:szCs w:val="20"/>
          <w:color w:val="auto"/>
        </w:rPr>
      </w:pPr>
      <w:r>
        <w:rPr>
          <w:rFonts w:ascii="Arial" w:cs="Arial" w:eastAsia="Arial" w:hAnsi="Arial"/>
          <w:sz w:val="12"/>
          <w:szCs w:val="12"/>
          <w:b w:val="1"/>
          <w:bCs w:val="1"/>
          <w:color w:val="auto"/>
        </w:rPr>
        <w:t xml:space="preserve">RICHMOND, Va., May 6, 2026 </w:t>
      </w:r>
      <w:r>
        <w:rPr>
          <w:rFonts w:ascii="Arial" w:cs="Arial" w:eastAsia="Arial" w:hAnsi="Arial"/>
          <w:sz w:val="12"/>
          <w:szCs w:val="12"/>
          <w:color w:val="auto"/>
        </w:rPr>
        <w:t>– The Brink’s Company (NYSE:BCO),</w:t>
      </w:r>
      <w:r>
        <w:rPr>
          <w:rFonts w:ascii="Arial" w:cs="Arial" w:eastAsia="Arial" w:hAnsi="Arial"/>
          <w:sz w:val="12"/>
          <w:szCs w:val="12"/>
          <w:b w:val="1"/>
          <w:bCs w:val="1"/>
          <w:color w:val="auto"/>
        </w:rPr>
        <w:t xml:space="preserve"> </w:t>
      </w:r>
      <w:r>
        <w:rPr>
          <w:rFonts w:ascii="Arial" w:cs="Arial" w:eastAsia="Arial" w:hAnsi="Arial"/>
          <w:sz w:val="11"/>
          <w:szCs w:val="11"/>
          <w:color w:val="auto"/>
        </w:rPr>
        <w:t>a</w:t>
      </w:r>
      <w:r>
        <w:rPr>
          <w:rFonts w:ascii="Arial" w:cs="Arial" w:eastAsia="Arial" w:hAnsi="Arial"/>
          <w:sz w:val="12"/>
          <w:szCs w:val="12"/>
          <w:b w:val="1"/>
          <w:bCs w:val="1"/>
          <w:color w:val="auto"/>
        </w:rPr>
        <w:t xml:space="preserve"> </w:t>
      </w:r>
      <w:r>
        <w:rPr>
          <w:rFonts w:ascii="Arial" w:cs="Arial" w:eastAsia="Arial" w:hAnsi="Arial"/>
          <w:sz w:val="12"/>
          <w:szCs w:val="12"/>
          <w:color w:val="auto"/>
        </w:rPr>
        <w:t>leading global provider of cash and valuables management, digital retail solutions ("DRS"), and ATM managed services ("AMS"), today</w:t>
      </w:r>
      <w:r>
        <w:rPr>
          <w:rFonts w:ascii="Arial" w:cs="Arial" w:eastAsia="Arial" w:hAnsi="Arial"/>
          <w:sz w:val="12"/>
          <w:szCs w:val="12"/>
          <w:b w:val="1"/>
          <w:bCs w:val="1"/>
          <w:color w:val="auto"/>
        </w:rPr>
        <w:t xml:space="preserve"> </w:t>
      </w:r>
      <w:r>
        <w:rPr>
          <w:rFonts w:ascii="Arial" w:cs="Arial" w:eastAsia="Arial" w:hAnsi="Arial"/>
          <w:sz w:val="12"/>
          <w:szCs w:val="12"/>
          <w:color w:val="auto"/>
        </w:rPr>
        <w:t>announced first-quarter results.</w:t>
      </w:r>
    </w:p>
    <w:p>
      <w:pPr>
        <w:spacing w:after="0" w:line="1" w:lineRule="exact"/>
        <w:rPr>
          <w:sz w:val="20"/>
          <w:szCs w:val="20"/>
          <w:color w:val="auto"/>
        </w:rPr>
      </w:pPr>
    </w:p>
    <w:p>
      <w:pPr>
        <w:jc w:val="both"/>
        <w:ind w:right="120" w:firstLine="432"/>
        <w:spacing w:after="0" w:line="360" w:lineRule="auto"/>
        <w:rPr>
          <w:sz w:val="20"/>
          <w:szCs w:val="20"/>
          <w:color w:val="auto"/>
        </w:rPr>
      </w:pPr>
      <w:r>
        <w:rPr>
          <w:rFonts w:ascii="Arial" w:cs="Arial" w:eastAsia="Arial" w:hAnsi="Arial"/>
          <w:sz w:val="12"/>
          <w:szCs w:val="12"/>
          <w:color w:val="auto"/>
        </w:rPr>
        <w:t>Mark Eubanks, president and CEO, said: “We delivered a strong first quarter, as we continue to make progress against our strategic priorities. Double-digit top-line growth featured strong performance in the higher-margin AMS, DRS and global services lines of business. Favorable revenue mix, good pricing discipline, and continued cost productivity drove EBITDA margin expansion in the quarter. We continue to deliver sustainable improvements in cash generation with trailing-twelve-month free cash flow surpassing $500 million in the quarter for the first time in our history."</w:t>
      </w:r>
    </w:p>
    <w:p>
      <w:pPr>
        <w:ind w:right="100" w:firstLine="432"/>
        <w:spacing w:after="0" w:line="385" w:lineRule="auto"/>
        <w:rPr>
          <w:sz w:val="20"/>
          <w:szCs w:val="20"/>
          <w:color w:val="auto"/>
        </w:rPr>
      </w:pPr>
      <w:r>
        <w:rPr>
          <w:rFonts w:ascii="Arial" w:cs="Arial" w:eastAsia="Arial" w:hAnsi="Arial"/>
          <w:sz w:val="12"/>
          <w:szCs w:val="12"/>
          <w:color w:val="auto"/>
        </w:rPr>
        <w:t>"With the registration statement filed last week, we continue to make progress on our acquisition of NCR Atleos. We have a dedicated integration management team that is working to plan and prepare for execution on our $200M annual run-rate cost synergy targets and will eventually lead the synergy capture and integration in the combined company. The regulatory approval process is well underway and progressing as expected. We remain on track for closing by the end of the first quarter of 2027 and are excited about the value creation potential of the combination."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First-quarter results are summarized in the following table:</w:t>
      </w:r>
    </w:p>
    <w:p>
      <w:pPr>
        <w:spacing w:after="0" w:line="136" w:lineRule="exact"/>
        <w:rPr>
          <w:sz w:val="20"/>
          <w:szCs w:val="20"/>
          <w:color w:val="auto"/>
        </w:rPr>
      </w:pPr>
    </w:p>
    <w:tbl>
      <w:tblPr>
        <w:tblLayout w:type="fixed"/>
        <w:tblInd w:w="740" w:type="dxa"/>
        <w:tblCellMar>
          <w:top w:w="0" w:type="dxa"/>
          <w:left w:w="0" w:type="dxa"/>
          <w:bottom w:w="0" w:type="dxa"/>
          <w:right w:w="0" w:type="dxa"/>
        </w:tblCellMar>
      </w:tblPr>
      <w:tr>
        <w:trPr>
          <w:trHeight w:val="143"/>
        </w:trPr>
        <w:tc>
          <w:tcPr>
            <w:tcW w:w="3440" w:type="dxa"/>
            <w:vAlign w:val="bottom"/>
          </w:tcPr>
          <w:p>
            <w:pPr>
              <w:spacing w:after="0"/>
              <w:rPr>
                <w:sz w:val="20"/>
                <w:szCs w:val="20"/>
                <w:color w:val="auto"/>
              </w:rPr>
            </w:pPr>
            <w:r>
              <w:rPr>
                <w:rFonts w:ascii="Arial" w:cs="Arial" w:eastAsia="Arial" w:hAnsi="Arial"/>
                <w:sz w:val="10"/>
                <w:szCs w:val="10"/>
                <w:i w:val="1"/>
                <w:iCs w:val="1"/>
                <w:color w:val="auto"/>
              </w:rPr>
              <w:t>(In millions, except for per share amounts)</w:t>
            </w:r>
          </w:p>
        </w:tc>
        <w:tc>
          <w:tcPr>
            <w:tcW w:w="8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color w:val="auto"/>
              </w:rPr>
              <w:t>First-Quarter 2026 (vs. 2025)</w:t>
            </w: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44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GAAP</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1"/>
                <w:szCs w:val="11"/>
                <w:color w:val="auto"/>
                <w:w w:val="98"/>
              </w:rPr>
              <w:t>Change</w:t>
            </w: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Non-GAAP</w:t>
            </w:r>
          </w:p>
        </w:tc>
        <w:tc>
          <w:tcPr>
            <w:tcW w:w="80" w:type="dxa"/>
            <w:vAlign w:val="bottom"/>
            <w:vMerge w:val="restart"/>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Arial" w:cs="Arial" w:eastAsia="Arial" w:hAnsi="Arial"/>
                <w:sz w:val="11"/>
                <w:szCs w:val="11"/>
                <w:color w:val="auto"/>
                <w:w w:val="98"/>
              </w:rPr>
              <w:t>Change</w:t>
            </w:r>
          </w:p>
        </w:tc>
        <w:tc>
          <w:tcPr>
            <w:tcW w:w="100" w:type="dxa"/>
            <w:vAlign w:val="bottom"/>
            <w:vMerge w:val="restart"/>
          </w:tcPr>
          <w:p>
            <w:pPr>
              <w:spacing w:after="0"/>
              <w:rPr>
                <w:sz w:val="8"/>
                <w:szCs w:val="8"/>
                <w:color w:val="auto"/>
              </w:rPr>
            </w:pPr>
          </w:p>
        </w:tc>
        <w:tc>
          <w:tcPr>
            <w:tcW w:w="1200" w:type="dxa"/>
            <w:vAlign w:val="bottom"/>
          </w:tcPr>
          <w:p>
            <w:pPr>
              <w:jc w:val="center"/>
              <w:spacing w:after="0" w:line="99" w:lineRule="exact"/>
              <w:rPr>
                <w:sz w:val="20"/>
                <w:szCs w:val="20"/>
                <w:color w:val="auto"/>
              </w:rPr>
            </w:pPr>
            <w:r>
              <w:rPr>
                <w:rFonts w:ascii="Arial" w:cs="Arial" w:eastAsia="Arial" w:hAnsi="Arial"/>
                <w:sz w:val="11"/>
                <w:szCs w:val="11"/>
                <w:color w:val="auto"/>
                <w:w w:val="98"/>
              </w:rPr>
              <w:t>Constant Currency</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1"/>
                <w:szCs w:val="11"/>
                <w:color w:val="auto"/>
                <w:w w:val="96"/>
              </w:rPr>
              <w:t>Change</w:t>
            </w:r>
            <w:r>
              <w:rPr>
                <w:rFonts w:ascii="Arial" w:cs="Arial" w:eastAsia="Arial" w:hAnsi="Arial"/>
                <w:sz w:val="14"/>
                <w:szCs w:val="14"/>
                <w:color w:val="auto"/>
                <w:w w:val="96"/>
                <w:vertAlign w:val="superscript"/>
              </w:rPr>
              <w:t>(b)</w:t>
            </w:r>
          </w:p>
        </w:tc>
        <w:tc>
          <w:tcPr>
            <w:tcW w:w="0" w:type="dxa"/>
            <w:vAlign w:val="bottom"/>
          </w:tcPr>
          <w:p>
            <w:pPr>
              <w:spacing w:after="0"/>
              <w:rPr>
                <w:sz w:val="1"/>
                <w:szCs w:val="1"/>
                <w:color w:val="auto"/>
              </w:rPr>
            </w:pPr>
          </w:p>
        </w:tc>
      </w:tr>
      <w:tr>
        <w:trPr>
          <w:trHeight w:val="131"/>
        </w:trPr>
        <w:tc>
          <w:tcPr>
            <w:tcW w:w="3440" w:type="dxa"/>
            <w:vAlign w:val="bottom"/>
          </w:tcPr>
          <w:p>
            <w:pPr>
              <w:spacing w:after="0"/>
              <w:rPr>
                <w:sz w:val="20"/>
                <w:szCs w:val="20"/>
                <w:color w:val="auto"/>
              </w:rPr>
            </w:pPr>
            <w:r>
              <w:rPr>
                <w:rFonts w:ascii="Arial" w:cs="Arial" w:eastAsia="Arial" w:hAnsi="Arial"/>
                <w:sz w:val="11"/>
                <w:szCs w:val="11"/>
                <w:color w:val="auto"/>
              </w:rPr>
              <w:t>Revenue</w:t>
            </w:r>
          </w:p>
        </w:tc>
        <w:tc>
          <w:tcPr>
            <w:tcW w:w="840" w:type="dxa"/>
            <w:vAlign w:val="bottom"/>
          </w:tcPr>
          <w:p>
            <w:pPr>
              <w:jc w:val="right"/>
              <w:ind w:right="70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86"/>
              <w:spacing w:after="0"/>
              <w:rPr>
                <w:sz w:val="20"/>
                <w:szCs w:val="20"/>
                <w:color w:val="auto"/>
              </w:rPr>
            </w:pPr>
            <w:r>
              <w:rPr>
                <w:rFonts w:ascii="Arial" w:cs="Arial" w:eastAsia="Arial" w:hAnsi="Arial"/>
                <w:sz w:val="11"/>
                <w:szCs w:val="11"/>
                <w:color w:val="auto"/>
              </w:rPr>
              <w:t>1,375</w:t>
            </w:r>
          </w:p>
        </w:tc>
        <w:tc>
          <w:tcPr>
            <w:tcW w:w="10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w w:val="99"/>
              </w:rPr>
              <w:t>10%</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1,375</w:t>
            </w:r>
          </w:p>
        </w:tc>
        <w:tc>
          <w:tcPr>
            <w:tcW w:w="8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w w:val="99"/>
              </w:rPr>
              <w:t>10%</w:t>
            </w:r>
          </w:p>
        </w:tc>
        <w:tc>
          <w:tcPr>
            <w:tcW w:w="10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Operating Profit</w:t>
            </w:r>
          </w:p>
        </w:tc>
        <w:tc>
          <w:tcPr>
            <w:tcW w:w="840" w:type="dxa"/>
            <w:vAlign w:val="bottom"/>
          </w:tcPr>
          <w:p>
            <w:pPr>
              <w:jc w:val="right"/>
              <w:ind w:right="70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86"/>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w w:val="94"/>
              </w:rPr>
              <w:t>(7)%</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168</w:t>
            </w: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w w:val="99"/>
              </w:rPr>
              <w:t>12%</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Operating Profit Margin</w:t>
            </w:r>
          </w:p>
        </w:tc>
        <w:tc>
          <w:tcPr>
            <w:tcW w:w="8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8.0 %</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w w:val="98"/>
              </w:rPr>
              <w:t>(160 bps)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12.2 %</w:t>
            </w:r>
          </w:p>
        </w:tc>
        <w:tc>
          <w:tcPr>
            <w:tcW w:w="80" w:type="dxa"/>
            <w:vAlign w:val="bottom"/>
          </w:tcPr>
          <w:p>
            <w:pPr>
              <w:spacing w:after="0"/>
              <w:rPr>
                <w:sz w:val="12"/>
                <w:szCs w:val="12"/>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1"/>
                <w:szCs w:val="11"/>
                <w:color w:val="auto"/>
                <w:w w:val="96"/>
              </w:rPr>
              <w:t>10 bps</w:t>
            </w:r>
          </w:p>
        </w:tc>
        <w:tc>
          <w:tcPr>
            <w:tcW w:w="1200" w:type="dxa"/>
            <w:vAlign w:val="bottom"/>
          </w:tcPr>
          <w:p>
            <w:pPr>
              <w:jc w:val="center"/>
              <w:spacing w:after="0"/>
              <w:rPr>
                <w:sz w:val="20"/>
                <w:szCs w:val="20"/>
                <w:color w:val="auto"/>
              </w:rPr>
            </w:pPr>
            <w:r>
              <w:rPr>
                <w:rFonts w:ascii="Arial" w:cs="Arial" w:eastAsia="Arial" w:hAnsi="Arial"/>
                <w:sz w:val="11"/>
                <w:szCs w:val="11"/>
                <w:color w:val="auto"/>
                <w:w w:val="96"/>
              </w:rPr>
              <w:t>30 bps</w:t>
            </w:r>
          </w:p>
        </w:tc>
        <w:tc>
          <w:tcPr>
            <w:tcW w:w="0" w:type="dxa"/>
            <w:vAlign w:val="bottom"/>
          </w:tcPr>
          <w:p>
            <w:pPr>
              <w:spacing w:after="0"/>
              <w:rPr>
                <w:sz w:val="1"/>
                <w:szCs w:val="1"/>
                <w:color w:val="auto"/>
              </w:rPr>
            </w:pPr>
          </w:p>
        </w:tc>
      </w:tr>
      <w:tr>
        <w:trPr>
          <w:trHeight w:val="146"/>
        </w:trPr>
        <w:tc>
          <w:tcPr>
            <w:tcW w:w="3440" w:type="dxa"/>
            <w:vAlign w:val="bottom"/>
          </w:tcPr>
          <w:p>
            <w:pPr>
              <w:spacing w:after="0" w:line="147" w:lineRule="exact"/>
              <w:rPr>
                <w:sz w:val="20"/>
                <w:szCs w:val="20"/>
                <w:color w:val="auto"/>
              </w:rPr>
            </w:pPr>
            <w:r>
              <w:rPr>
                <w:rFonts w:ascii="Arial" w:cs="Arial" w:eastAsia="Arial" w:hAnsi="Arial"/>
                <w:sz w:val="11"/>
                <w:szCs w:val="11"/>
                <w:color w:val="auto"/>
              </w:rPr>
              <w:t>Net Income / Adjusted EBITDA</w:t>
            </w:r>
            <w:r>
              <w:rPr>
                <w:rFonts w:ascii="Arial" w:cs="Arial" w:eastAsia="Arial" w:hAnsi="Arial"/>
                <w:sz w:val="14"/>
                <w:szCs w:val="14"/>
                <w:color w:val="auto"/>
                <w:vertAlign w:val="superscript"/>
              </w:rPr>
              <w:t>(a)</w:t>
            </w:r>
          </w:p>
        </w:tc>
        <w:tc>
          <w:tcPr>
            <w:tcW w:w="840" w:type="dxa"/>
            <w:vAlign w:val="bottom"/>
          </w:tcPr>
          <w:p>
            <w:pPr>
              <w:jc w:val="right"/>
              <w:ind w:right="70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8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w w:val="95"/>
              </w:rPr>
              <w:t>(38%)</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238</w:t>
            </w: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w w:val="99"/>
              </w:rPr>
              <w:t>10%</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20"/>
                <w:szCs w:val="20"/>
                <w:color w:val="auto"/>
              </w:rPr>
            </w:pPr>
            <w:r>
              <w:rPr>
                <w:rFonts w:ascii="Arial" w:cs="Arial" w:eastAsia="Arial" w:hAnsi="Arial"/>
                <w:sz w:val="11"/>
                <w:szCs w:val="11"/>
                <w:color w:val="auto"/>
              </w:rPr>
              <w:t>EPS</w:t>
            </w:r>
          </w:p>
        </w:tc>
        <w:tc>
          <w:tcPr>
            <w:tcW w:w="840" w:type="dxa"/>
            <w:vAlign w:val="bottom"/>
          </w:tcPr>
          <w:p>
            <w:pPr>
              <w:jc w:val="right"/>
              <w:ind w:right="70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86"/>
              <w:spacing w:after="0"/>
              <w:rPr>
                <w:sz w:val="20"/>
                <w:szCs w:val="20"/>
                <w:color w:val="auto"/>
              </w:rPr>
            </w:pPr>
            <w:r>
              <w:rPr>
                <w:rFonts w:ascii="Arial" w:cs="Arial" w:eastAsia="Arial" w:hAnsi="Arial"/>
                <w:sz w:val="11"/>
                <w:szCs w:val="11"/>
                <w:color w:val="auto"/>
              </w:rPr>
              <w:t>0.77</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w w:val="95"/>
              </w:rPr>
              <w:t>(35%)</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1.80</w:t>
            </w: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w w:val="99"/>
              </w:rPr>
              <w:t>11%</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20" w:hanging="212"/>
        <w:spacing w:after="0"/>
        <w:tabs>
          <w:tab w:leader="none" w:pos="420" w:val="left"/>
        </w:tabs>
        <w:numPr>
          <w:ilvl w:val="0"/>
          <w:numId w:val="3"/>
        </w:numPr>
        <w:rPr>
          <w:rFonts w:ascii="Arial" w:cs="Arial" w:eastAsia="Arial" w:hAnsi="Arial"/>
          <w:sz w:val="8"/>
          <w:szCs w:val="8"/>
          <w:color w:val="auto"/>
        </w:rPr>
      </w:pPr>
      <w:r>
        <w:rPr>
          <w:rFonts w:ascii="Arial" w:cs="Arial" w:eastAsia="Arial" w:hAnsi="Arial"/>
          <w:sz w:val="8"/>
          <w:szCs w:val="8"/>
          <w:color w:val="auto"/>
        </w:rPr>
        <w:t>The non-GAAP financial metric, adjusted EBITDA, is presented with its corresponding GAAP metric, net income attributable to Brink's.</w:t>
      </w:r>
    </w:p>
    <w:p>
      <w:pPr>
        <w:spacing w:after="0" w:line="15" w:lineRule="exact"/>
        <w:rPr>
          <w:rFonts w:ascii="Arial" w:cs="Arial" w:eastAsia="Arial" w:hAnsi="Arial"/>
          <w:sz w:val="8"/>
          <w:szCs w:val="8"/>
          <w:color w:val="auto"/>
        </w:rPr>
      </w:pPr>
    </w:p>
    <w:p>
      <w:pPr>
        <w:ind w:left="420" w:hanging="212"/>
        <w:spacing w:after="0"/>
        <w:tabs>
          <w:tab w:leader="none" w:pos="420" w:val="left"/>
        </w:tabs>
        <w:numPr>
          <w:ilvl w:val="0"/>
          <w:numId w:val="3"/>
        </w:numPr>
        <w:rPr>
          <w:rFonts w:ascii="Arial" w:cs="Arial" w:eastAsia="Arial" w:hAnsi="Arial"/>
          <w:sz w:val="8"/>
          <w:szCs w:val="8"/>
          <w:color w:val="auto"/>
        </w:rPr>
      </w:pPr>
      <w:r>
        <w:rPr>
          <w:rFonts w:ascii="Arial" w:cs="Arial" w:eastAsia="Arial" w:hAnsi="Arial"/>
          <w:sz w:val="8"/>
          <w:szCs w:val="8"/>
          <w:color w:val="auto"/>
        </w:rPr>
        <w:t>Constant currency represents 2026 Non-GAAP results at 2025 exchange rates.</w:t>
      </w:r>
    </w:p>
    <w:p>
      <w:pPr>
        <w:sectPr>
          <w:pgSz w:w="11900" w:h="16838" w:orient="portrait"/>
          <w:cols w:equalWidth="0" w:num="1">
            <w:col w:w="11280"/>
          </w:cols>
          <w:pgMar w:left="300" w:top="575" w:right="31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6786245</wp:posOffset>
            </wp:positionH>
            <wp:positionV relativeFrom="page">
              <wp:posOffset>88900</wp:posOffset>
            </wp:positionV>
            <wp:extent cx="577215" cy="97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77215" cy="9715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t>2026 Non-GAAP Framework and Q2 2026 Non-GAAP Guidance (Unaudited)</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(In millions, except for percentages and per share amounts)</w:t>
      </w:r>
    </w:p>
    <w:p>
      <w:pPr>
        <w:spacing w:after="0" w:line="148"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In 2026, management has included additional guidance to better help investors understand currency impacts on our results. Management believes organic revenue growth, adjusted EBITDA margin expansion and free cash flow conversion performance, provided in our 2026 framework, gives investors better visibility into the performance of our business. In addition to our full-year 2026 framework, we have added quarterly guidance for revenue, adjusted EBITDA and non-GAAP EPS in 2026 to clarify the expected impact of near-term currency trends and volatile economic conditions on our results. When, and if, currency volatility lessens, management may return to the previous annual guidance methodology. Revenue guidance is presented in accordance with GAAP.</w:t>
      </w:r>
    </w:p>
    <w:p>
      <w:pPr>
        <w:spacing w:after="0" w:line="371" w:lineRule="exact"/>
        <w:rPr>
          <w:sz w:val="20"/>
          <w:szCs w:val="20"/>
          <w:color w:val="auto"/>
        </w:rPr>
      </w:pPr>
    </w:p>
    <w:tbl>
      <w:tblPr>
        <w:tblLayout w:type="fixed"/>
        <w:tblInd w:w="354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Borders>
              <w:top w:val="single" w:sz="8" w:color="auto"/>
              <w:bottom w:val="single" w:sz="8" w:color="auto"/>
            </w:tcBorders>
            <w:gridSpan w:val="2"/>
          </w:tcPr>
          <w:p>
            <w:pPr>
              <w:jc w:val="right"/>
              <w:ind w:right="152"/>
              <w:spacing w:after="0"/>
              <w:rPr>
                <w:sz w:val="20"/>
                <w:szCs w:val="20"/>
                <w:color w:val="auto"/>
              </w:rPr>
            </w:pPr>
            <w:r>
              <w:rPr>
                <w:rFonts w:ascii="Arial" w:cs="Arial" w:eastAsia="Arial" w:hAnsi="Arial"/>
                <w:sz w:val="10"/>
                <w:szCs w:val="10"/>
                <w:color w:val="auto"/>
              </w:rPr>
              <w:t>2026 Non-GAAP Framework</w:t>
            </w:r>
          </w:p>
        </w:tc>
      </w:tr>
      <w:tr>
        <w:trPr>
          <w:trHeight w:val="124"/>
        </w:trPr>
        <w:tc>
          <w:tcPr>
            <w:tcW w:w="2860" w:type="dxa"/>
            <w:vAlign w:val="bottom"/>
            <w:gridSpan w:val="2"/>
          </w:tcPr>
          <w:p>
            <w:pPr>
              <w:spacing w:after="0"/>
              <w:rPr>
                <w:sz w:val="20"/>
                <w:szCs w:val="20"/>
                <w:color w:val="auto"/>
              </w:rPr>
            </w:pPr>
            <w:r>
              <w:rPr>
                <w:rFonts w:ascii="Arial" w:cs="Arial" w:eastAsia="Arial" w:hAnsi="Arial"/>
                <w:sz w:val="10"/>
                <w:szCs w:val="10"/>
                <w:color w:val="auto"/>
              </w:rPr>
              <w:t>Organic Revenue Growth</w:t>
            </w:r>
          </w:p>
        </w:tc>
        <w:tc>
          <w:tcPr>
            <w:tcW w:w="1620" w:type="dxa"/>
            <w:vAlign w:val="bottom"/>
            <w:gridSpan w:val="2"/>
          </w:tcPr>
          <w:p>
            <w:pPr>
              <w:jc w:val="center"/>
              <w:ind w:left="132"/>
              <w:spacing w:after="0"/>
              <w:rPr>
                <w:sz w:val="20"/>
                <w:szCs w:val="20"/>
                <w:color w:val="auto"/>
              </w:rPr>
            </w:pPr>
            <w:r>
              <w:rPr>
                <w:rFonts w:ascii="Arial" w:cs="Arial" w:eastAsia="Arial" w:hAnsi="Arial"/>
                <w:sz w:val="10"/>
                <w:szCs w:val="10"/>
                <w:color w:val="auto"/>
                <w:w w:val="95"/>
              </w:rPr>
              <w:t>Mid-Single Digits</w:t>
            </w:r>
          </w:p>
        </w:tc>
      </w:tr>
      <w:tr>
        <w:trPr>
          <w:trHeight w:val="171"/>
        </w:trPr>
        <w:tc>
          <w:tcPr>
            <w:tcW w:w="2860" w:type="dxa"/>
            <w:vAlign w:val="bottom"/>
            <w:gridSpan w:val="2"/>
          </w:tcPr>
          <w:p>
            <w:pPr>
              <w:spacing w:after="0"/>
              <w:rPr>
                <w:sz w:val="20"/>
                <w:szCs w:val="20"/>
                <w:color w:val="auto"/>
              </w:rPr>
            </w:pPr>
            <w:r>
              <w:rPr>
                <w:rFonts w:ascii="Arial" w:cs="Arial" w:eastAsia="Arial" w:hAnsi="Arial"/>
                <w:sz w:val="10"/>
                <w:szCs w:val="10"/>
                <w:color w:val="auto"/>
              </w:rPr>
              <w:t>AMS/DRS Organic Revenue Growth</w:t>
            </w:r>
          </w:p>
        </w:tc>
        <w:tc>
          <w:tcPr>
            <w:tcW w:w="1620" w:type="dxa"/>
            <w:vAlign w:val="bottom"/>
            <w:gridSpan w:val="2"/>
          </w:tcPr>
          <w:p>
            <w:pPr>
              <w:jc w:val="center"/>
              <w:ind w:left="112"/>
              <w:spacing w:after="0"/>
              <w:rPr>
                <w:sz w:val="20"/>
                <w:szCs w:val="20"/>
                <w:color w:val="auto"/>
              </w:rPr>
            </w:pPr>
            <w:r>
              <w:rPr>
                <w:rFonts w:ascii="Arial" w:cs="Arial" w:eastAsia="Arial" w:hAnsi="Arial"/>
                <w:sz w:val="10"/>
                <w:szCs w:val="10"/>
                <w:color w:val="auto"/>
                <w:w w:val="94"/>
              </w:rPr>
              <w:t>Mid-to-High Teens</w:t>
            </w:r>
          </w:p>
        </w:tc>
      </w:tr>
      <w:tr>
        <w:trPr>
          <w:trHeight w:val="171"/>
        </w:trPr>
        <w:tc>
          <w:tcPr>
            <w:tcW w:w="2860" w:type="dxa"/>
            <w:vAlign w:val="bottom"/>
            <w:gridSpan w:val="2"/>
          </w:tcPr>
          <w:p>
            <w:pPr>
              <w:spacing w:after="0"/>
              <w:rPr>
                <w:sz w:val="20"/>
                <w:szCs w:val="20"/>
                <w:color w:val="auto"/>
              </w:rPr>
            </w:pPr>
            <w:r>
              <w:rPr>
                <w:rFonts w:ascii="Arial" w:cs="Arial" w:eastAsia="Arial" w:hAnsi="Arial"/>
                <w:sz w:val="10"/>
                <w:szCs w:val="10"/>
                <w:color w:val="auto"/>
              </w:rPr>
              <w:t>Adjusted EBITDA Margin Expansion</w:t>
            </w:r>
          </w:p>
        </w:tc>
        <w:tc>
          <w:tcPr>
            <w:tcW w:w="1620" w:type="dxa"/>
            <w:vAlign w:val="bottom"/>
            <w:gridSpan w:val="2"/>
          </w:tcPr>
          <w:p>
            <w:pPr>
              <w:jc w:val="center"/>
              <w:ind w:left="132"/>
              <w:spacing w:after="0"/>
              <w:rPr>
                <w:sz w:val="20"/>
                <w:szCs w:val="20"/>
                <w:color w:val="auto"/>
              </w:rPr>
            </w:pPr>
            <w:r>
              <w:rPr>
                <w:rFonts w:ascii="Arial" w:cs="Arial" w:eastAsia="Arial" w:hAnsi="Arial"/>
                <w:sz w:val="10"/>
                <w:szCs w:val="10"/>
                <w:color w:val="auto"/>
                <w:w w:val="95"/>
              </w:rPr>
              <w:t>30-50bps</w:t>
            </w:r>
          </w:p>
        </w:tc>
      </w:tr>
      <w:tr>
        <w:trPr>
          <w:trHeight w:val="171"/>
        </w:trPr>
        <w:tc>
          <w:tcPr>
            <w:tcW w:w="2860" w:type="dxa"/>
            <w:vAlign w:val="bottom"/>
            <w:gridSpan w:val="2"/>
          </w:tcPr>
          <w:p>
            <w:pPr>
              <w:spacing w:after="0"/>
              <w:rPr>
                <w:sz w:val="20"/>
                <w:szCs w:val="20"/>
                <w:color w:val="auto"/>
              </w:rPr>
            </w:pPr>
            <w:r>
              <w:rPr>
                <w:rFonts w:ascii="Arial" w:cs="Arial" w:eastAsia="Arial" w:hAnsi="Arial"/>
                <w:sz w:val="10"/>
                <w:szCs w:val="10"/>
                <w:color w:val="auto"/>
              </w:rPr>
              <w:t>Free Cash Flow Conversion</w:t>
            </w:r>
          </w:p>
        </w:tc>
        <w:tc>
          <w:tcPr>
            <w:tcW w:w="1620" w:type="dxa"/>
            <w:vAlign w:val="bottom"/>
            <w:gridSpan w:val="2"/>
          </w:tcPr>
          <w:p>
            <w:pPr>
              <w:jc w:val="right"/>
              <w:ind w:right="512"/>
              <w:spacing w:after="0"/>
              <w:rPr>
                <w:sz w:val="20"/>
                <w:szCs w:val="20"/>
                <w:color w:val="auto"/>
              </w:rPr>
            </w:pPr>
            <w:r>
              <w:rPr>
                <w:rFonts w:ascii="Arial" w:cs="Arial" w:eastAsia="Arial" w:hAnsi="Arial"/>
                <w:sz w:val="10"/>
                <w:szCs w:val="10"/>
                <w:color w:val="auto"/>
              </w:rPr>
              <w:t>40-45%</w:t>
            </w:r>
          </w:p>
        </w:tc>
      </w:tr>
      <w:tr>
        <w:trPr>
          <w:trHeight w:val="321"/>
        </w:trPr>
        <w:tc>
          <w:tcPr>
            <w:tcW w:w="2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4"/>
                <w:szCs w:val="24"/>
                <w:color w:val="auto"/>
              </w:rPr>
            </w:pPr>
          </w:p>
        </w:tc>
      </w:tr>
      <w:tr>
        <w:trPr>
          <w:trHeight w:val="92"/>
        </w:trPr>
        <w:tc>
          <w:tcPr>
            <w:tcW w:w="2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20" w:type="dxa"/>
            <w:vAlign w:val="bottom"/>
            <w:gridSpan w:val="2"/>
          </w:tcPr>
          <w:p>
            <w:pPr>
              <w:jc w:val="right"/>
              <w:ind w:right="592"/>
              <w:spacing w:after="0" w:line="92" w:lineRule="exact"/>
              <w:rPr>
                <w:sz w:val="20"/>
                <w:szCs w:val="20"/>
                <w:color w:val="auto"/>
              </w:rPr>
            </w:pPr>
            <w:r>
              <w:rPr>
                <w:rFonts w:ascii="Arial" w:cs="Arial" w:eastAsia="Arial" w:hAnsi="Arial"/>
                <w:sz w:val="10"/>
                <w:szCs w:val="10"/>
                <w:color w:val="auto"/>
              </w:rPr>
              <w:t>Q2 2026</w:t>
            </w:r>
          </w:p>
        </w:tc>
      </w:tr>
      <w:tr>
        <w:trPr>
          <w:trHeight w:val="122"/>
        </w:trPr>
        <w:tc>
          <w:tcPr>
            <w:tcW w:w="28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2"/>
          </w:tcPr>
          <w:p>
            <w:pPr>
              <w:jc w:val="right"/>
              <w:ind w:right="572"/>
              <w:spacing w:after="0"/>
              <w:rPr>
                <w:sz w:val="20"/>
                <w:szCs w:val="20"/>
                <w:color w:val="auto"/>
              </w:rPr>
            </w:pPr>
            <w:r>
              <w:rPr>
                <w:rFonts w:ascii="Arial" w:cs="Arial" w:eastAsia="Arial" w:hAnsi="Arial"/>
                <w:sz w:val="10"/>
                <w:szCs w:val="10"/>
                <w:color w:val="auto"/>
              </w:rPr>
              <w:t>Guidance</w:t>
            </w:r>
          </w:p>
        </w:tc>
      </w:tr>
      <w:tr>
        <w:trPr>
          <w:trHeight w:val="118"/>
        </w:trPr>
        <w:tc>
          <w:tcPr>
            <w:tcW w:w="2860" w:type="dxa"/>
            <w:vAlign w:val="bottom"/>
            <w:gridSpan w:val="2"/>
          </w:tcPr>
          <w:p>
            <w:pPr>
              <w:spacing w:after="0"/>
              <w:rPr>
                <w:sz w:val="20"/>
                <w:szCs w:val="20"/>
                <w:color w:val="auto"/>
              </w:rPr>
            </w:pPr>
            <w:r>
              <w:rPr>
                <w:rFonts w:ascii="Arial" w:cs="Arial" w:eastAsia="Arial" w:hAnsi="Arial"/>
                <w:sz w:val="10"/>
                <w:szCs w:val="10"/>
                <w:color w:val="auto"/>
              </w:rPr>
              <w:t>Revenue</w:t>
            </w:r>
          </w:p>
        </w:tc>
        <w:tc>
          <w:tcPr>
            <w:tcW w:w="860" w:type="dxa"/>
            <w:vAlign w:val="bottom"/>
          </w:tcPr>
          <w:p>
            <w:pPr>
              <w:jc w:val="right"/>
              <w:spacing w:after="0"/>
              <w:rPr>
                <w:sz w:val="20"/>
                <w:szCs w:val="20"/>
                <w:color w:val="auto"/>
              </w:rPr>
            </w:pPr>
            <w:r>
              <w:rPr>
                <w:rFonts w:ascii="Arial" w:cs="Arial" w:eastAsia="Arial" w:hAnsi="Arial"/>
                <w:sz w:val="10"/>
                <w:szCs w:val="10"/>
                <w:color w:val="auto"/>
              </w:rPr>
              <w:t>$1,370</w:t>
            </w:r>
          </w:p>
        </w:tc>
        <w:tc>
          <w:tcPr>
            <w:tcW w:w="760" w:type="dxa"/>
            <w:vAlign w:val="bottom"/>
          </w:tcPr>
          <w:p>
            <w:pPr>
              <w:spacing w:after="0"/>
              <w:rPr>
                <w:sz w:val="20"/>
                <w:szCs w:val="20"/>
                <w:color w:val="auto"/>
              </w:rPr>
            </w:pPr>
            <w:r>
              <w:rPr>
                <w:rFonts w:ascii="Arial" w:cs="Arial" w:eastAsia="Arial" w:hAnsi="Arial"/>
                <w:sz w:val="10"/>
                <w:szCs w:val="10"/>
                <w:color w:val="auto"/>
              </w:rPr>
              <w:t>- $1,430</w:t>
            </w:r>
          </w:p>
        </w:tc>
      </w:tr>
      <w:tr>
        <w:trPr>
          <w:trHeight w:val="171"/>
        </w:trPr>
        <w:tc>
          <w:tcPr>
            <w:tcW w:w="2860" w:type="dxa"/>
            <w:vAlign w:val="bottom"/>
            <w:gridSpan w:val="2"/>
          </w:tcPr>
          <w:p>
            <w:pPr>
              <w:spacing w:after="0"/>
              <w:rPr>
                <w:sz w:val="20"/>
                <w:szCs w:val="20"/>
                <w:color w:val="auto"/>
              </w:rPr>
            </w:pPr>
            <w:r>
              <w:rPr>
                <w:rFonts w:ascii="Arial" w:cs="Arial" w:eastAsia="Arial" w:hAnsi="Arial"/>
                <w:sz w:val="10"/>
                <w:szCs w:val="10"/>
                <w:color w:val="auto"/>
              </w:rPr>
              <w:t>Non-GAAP Adjusted EBITDA</w:t>
            </w:r>
          </w:p>
        </w:tc>
        <w:tc>
          <w:tcPr>
            <w:tcW w:w="860" w:type="dxa"/>
            <w:vAlign w:val="bottom"/>
          </w:tcPr>
          <w:p>
            <w:pPr>
              <w:jc w:val="right"/>
              <w:spacing w:after="0"/>
              <w:rPr>
                <w:sz w:val="20"/>
                <w:szCs w:val="20"/>
                <w:color w:val="auto"/>
              </w:rPr>
            </w:pPr>
            <w:r>
              <w:rPr>
                <w:rFonts w:ascii="Arial" w:cs="Arial" w:eastAsia="Arial" w:hAnsi="Arial"/>
                <w:sz w:val="10"/>
                <w:szCs w:val="10"/>
                <w:color w:val="auto"/>
              </w:rPr>
              <w:t>$245</w:t>
            </w:r>
          </w:p>
        </w:tc>
        <w:tc>
          <w:tcPr>
            <w:tcW w:w="760" w:type="dxa"/>
            <w:vAlign w:val="bottom"/>
          </w:tcPr>
          <w:p>
            <w:pPr>
              <w:spacing w:after="0"/>
              <w:rPr>
                <w:sz w:val="20"/>
                <w:szCs w:val="20"/>
                <w:color w:val="auto"/>
              </w:rPr>
            </w:pPr>
            <w:r>
              <w:rPr>
                <w:rFonts w:ascii="Arial" w:cs="Arial" w:eastAsia="Arial" w:hAnsi="Arial"/>
                <w:sz w:val="10"/>
                <w:szCs w:val="10"/>
                <w:color w:val="auto"/>
              </w:rPr>
              <w:t>- $265</w:t>
            </w:r>
          </w:p>
        </w:tc>
      </w:tr>
      <w:tr>
        <w:trPr>
          <w:trHeight w:val="171"/>
        </w:trPr>
        <w:tc>
          <w:tcPr>
            <w:tcW w:w="2860" w:type="dxa"/>
            <w:vAlign w:val="bottom"/>
            <w:gridSpan w:val="2"/>
          </w:tcPr>
          <w:p>
            <w:pPr>
              <w:spacing w:after="0"/>
              <w:rPr>
                <w:sz w:val="20"/>
                <w:szCs w:val="20"/>
                <w:color w:val="auto"/>
              </w:rPr>
            </w:pPr>
            <w:r>
              <w:rPr>
                <w:rFonts w:ascii="Arial" w:cs="Arial" w:eastAsia="Arial" w:hAnsi="Arial"/>
                <w:sz w:val="10"/>
                <w:szCs w:val="10"/>
                <w:color w:val="auto"/>
              </w:rPr>
              <w:t>Non-GAAP EPS</w:t>
            </w:r>
          </w:p>
        </w:tc>
        <w:tc>
          <w:tcPr>
            <w:tcW w:w="860" w:type="dxa"/>
            <w:vAlign w:val="bottom"/>
          </w:tcPr>
          <w:p>
            <w:pPr>
              <w:jc w:val="right"/>
              <w:spacing w:after="0"/>
              <w:rPr>
                <w:sz w:val="20"/>
                <w:szCs w:val="20"/>
                <w:color w:val="auto"/>
              </w:rPr>
            </w:pPr>
            <w:r>
              <w:rPr>
                <w:rFonts w:ascii="Arial" w:cs="Arial" w:eastAsia="Arial" w:hAnsi="Arial"/>
                <w:sz w:val="10"/>
                <w:szCs w:val="10"/>
                <w:color w:val="auto"/>
              </w:rPr>
              <w:t>$1.85</w:t>
            </w:r>
          </w:p>
        </w:tc>
        <w:tc>
          <w:tcPr>
            <w:tcW w:w="760" w:type="dxa"/>
            <w:vAlign w:val="bottom"/>
          </w:tcPr>
          <w:p>
            <w:pPr>
              <w:spacing w:after="0"/>
              <w:rPr>
                <w:sz w:val="20"/>
                <w:szCs w:val="20"/>
                <w:color w:val="auto"/>
              </w:rPr>
            </w:pPr>
            <w:r>
              <w:rPr>
                <w:rFonts w:ascii="Arial" w:cs="Arial" w:eastAsia="Arial" w:hAnsi="Arial"/>
                <w:sz w:val="10"/>
                <w:szCs w:val="10"/>
                <w:color w:val="auto"/>
              </w:rPr>
              <w:t>- $2.25</w:t>
            </w:r>
          </w:p>
        </w:tc>
      </w:tr>
    </w:tbl>
    <w:p>
      <w:pPr>
        <w:spacing w:after="0" w:line="375" w:lineRule="exact"/>
        <w:rPr>
          <w:sz w:val="20"/>
          <w:szCs w:val="20"/>
          <w:color w:val="auto"/>
        </w:rPr>
      </w:pPr>
    </w:p>
    <w:p>
      <w:pPr>
        <w:ind w:right="120"/>
        <w:spacing w:after="0" w:line="260" w:lineRule="auto"/>
        <w:rPr>
          <w:sz w:val="20"/>
          <w:szCs w:val="20"/>
          <w:color w:val="auto"/>
        </w:rPr>
      </w:pPr>
      <w:r>
        <w:rPr>
          <w:rFonts w:ascii="Arial" w:cs="Arial" w:eastAsia="Arial" w:hAnsi="Arial"/>
          <w:sz w:val="11"/>
          <w:szCs w:val="11"/>
          <w:color w:val="auto"/>
        </w:rPr>
        <w:t>The Q2 2026 non-GAAP guidance cannot be reconciled to GAAP without unreasonable effort, as we are unable to accurately forecast certain amounts that are necessary for reconciliation, including the impact of highly inflationary accounting on our Argentina operations, expenses relating to M&amp;A transactions that may or may not occur in the quarter, and other potential non-GAAP adjusting items for which the timing and amounts are uncertain. The Q2 2026 non-GAAP guidance assumes the continuation of current economic trends and reflects management's current assumptions regarding variables that are difficult to accurately forecast, including those discussed in the Risk Factors set forth in the Company's filings with the United States Securities and Exchange Commission.</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w:t>
      </w:r>
    </w:p>
    <w:p>
      <w:pPr>
        <w:spacing w:after="0" w:line="27" w:lineRule="exact"/>
        <w:rPr>
          <w:sz w:val="20"/>
          <w:szCs w:val="20"/>
          <w:color w:val="auto"/>
        </w:rPr>
      </w:pPr>
    </w:p>
    <w:p>
      <w:pPr>
        <w:ind w:right="120"/>
        <w:spacing w:after="0" w:line="234" w:lineRule="auto"/>
        <w:rPr>
          <w:sz w:val="20"/>
          <w:szCs w:val="20"/>
          <w:color w:val="auto"/>
        </w:rPr>
      </w:pPr>
      <w:r>
        <w:rPr>
          <w:rFonts w:ascii="Arial" w:cs="Arial" w:eastAsia="Arial" w:hAnsi="Arial"/>
          <w:sz w:val="11"/>
          <w:szCs w:val="11"/>
          <w:color w:val="auto"/>
        </w:rPr>
        <w:t>Brink’s will host a conference call on Wednesday, May 6, 2026, at 9:00 a.m. (EDT) to review first-quarter financial results. The conference call can be accessed by calling 888-349-0094 (in the U.S.) or 412-902-0124 (international). Participants should join at least five minutes prior to the start of the call. Participants can pre-register at https://dpregister.com/sreg/10208418/103d8e3323a to receive a direct dial-in number for the call. The call will also be accessible at https://event.choruscall.com/mediaframe/webcast.html?webcastid=WtFtsDVo. A replay of the call will be available through May 13, 2026, at (855) 669-9658 (in the U.S.) or (412) 317-0088 (international). The conference access code is 5852169. An archived version of the webcast will also be available on our website at http://investors.brinks.com.</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721" w:right="299" w:bottom="1440" w:gutter="0" w:footer="0" w:header="0"/>
        </w:sectPr>
      </w:pPr>
    </w:p>
    <w:bookmarkStart w:id="5" w:name="page6"/>
    <w:bookmarkEnd w:id="5"/>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6786245</wp:posOffset>
            </wp:positionH>
            <wp:positionV relativeFrom="page">
              <wp:posOffset>88900</wp:posOffset>
            </wp:positionV>
            <wp:extent cx="577215"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77215" cy="9715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t>The Brink’s Company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 xml:space="preserve">(In millions, except for per share amounts) </w:t>
      </w:r>
      <w:r>
        <w:rPr>
          <w:rFonts w:ascii="Arial" w:cs="Arial" w:eastAsia="Arial" w:hAnsi="Arial"/>
          <w:sz w:val="10"/>
          <w:szCs w:val="10"/>
          <w:color w:val="auto"/>
        </w:rPr>
        <w:t>(Unaudited)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Balance Sheets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0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December 31, 2025</w:t>
            </w: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March 31, 2026</w:t>
            </w:r>
          </w:p>
        </w:tc>
      </w:tr>
      <w:tr>
        <w:trPr>
          <w:trHeight w:val="125"/>
        </w:trPr>
        <w:tc>
          <w:tcPr>
            <w:tcW w:w="3020" w:type="dxa"/>
            <w:vAlign w:val="bottom"/>
          </w:tcPr>
          <w:p>
            <w:pPr>
              <w:spacing w:after="0"/>
              <w:rPr>
                <w:sz w:val="10"/>
                <w:szCs w:val="10"/>
                <w:color w:val="auto"/>
              </w:rPr>
            </w:pPr>
          </w:p>
        </w:tc>
        <w:tc>
          <w:tcPr>
            <w:tcW w:w="6120" w:type="dxa"/>
            <w:vAlign w:val="bottom"/>
            <w:gridSpan w:val="2"/>
          </w:tcPr>
          <w:p>
            <w:pPr>
              <w:jc w:val="right"/>
              <w:ind w:right="5012"/>
              <w:spacing w:after="0"/>
              <w:rPr>
                <w:sz w:val="20"/>
                <w:szCs w:val="20"/>
                <w:color w:val="auto"/>
              </w:rPr>
            </w:pPr>
            <w:r>
              <w:rPr>
                <w:rFonts w:ascii="Arial" w:cs="Arial" w:eastAsia="Arial" w:hAnsi="Arial"/>
                <w:sz w:val="10"/>
                <w:szCs w:val="10"/>
                <w:b w:val="1"/>
                <w:bCs w:val="1"/>
                <w:color w:val="auto"/>
              </w:rPr>
              <w:t>Assets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31"/>
        </w:trPr>
        <w:tc>
          <w:tcPr>
            <w:tcW w:w="3020" w:type="dxa"/>
            <w:vAlign w:val="bottom"/>
          </w:tcPr>
          <w:p>
            <w:pPr>
              <w:spacing w:after="0"/>
              <w:rPr>
                <w:sz w:val="20"/>
                <w:szCs w:val="20"/>
                <w:color w:val="auto"/>
              </w:rPr>
            </w:pPr>
            <w:r>
              <w:rPr>
                <w:rFonts w:ascii="Arial" w:cs="Arial" w:eastAsia="Arial" w:hAnsi="Arial"/>
                <w:sz w:val="10"/>
                <w:szCs w:val="10"/>
                <w:color w:val="auto"/>
              </w:rPr>
              <w:t>Current assets:</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5"/>
        </w:trPr>
        <w:tc>
          <w:tcPr>
            <w:tcW w:w="3020" w:type="dxa"/>
            <w:vAlign w:val="bottom"/>
          </w:tcPr>
          <w:p>
            <w:pPr>
              <w:ind w:left="140"/>
              <w:spacing w:after="0"/>
              <w:rPr>
                <w:sz w:val="20"/>
                <w:szCs w:val="20"/>
                <w:color w:val="auto"/>
              </w:rPr>
            </w:pPr>
            <w:r>
              <w:rPr>
                <w:rFonts w:ascii="Arial" w:cs="Arial" w:eastAsia="Arial" w:hAnsi="Arial"/>
                <w:sz w:val="10"/>
                <w:szCs w:val="10"/>
                <w:color w:val="auto"/>
              </w:rPr>
              <w:t>Cash and cash equivalents</w:t>
            </w:r>
          </w:p>
        </w:tc>
        <w:tc>
          <w:tcPr>
            <w:tcW w:w="6120" w:type="dxa"/>
            <w:vAlign w:val="bottom"/>
            <w:gridSpan w:val="2"/>
          </w:tcPr>
          <w:p>
            <w:pPr>
              <w:jc w:val="right"/>
              <w:ind w:right="1172"/>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12"/>
              <w:spacing w:after="0"/>
              <w:rPr>
                <w:sz w:val="20"/>
                <w:szCs w:val="20"/>
                <w:color w:val="auto"/>
              </w:rPr>
            </w:pPr>
            <w:r>
              <w:rPr>
                <w:rFonts w:ascii="Arial" w:cs="Arial" w:eastAsia="Arial" w:hAnsi="Arial"/>
                <w:sz w:val="10"/>
                <w:szCs w:val="10"/>
                <w:color w:val="auto"/>
                <w:w w:val="95"/>
              </w:rPr>
              <w:t>1,725.9</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1,547.3</w:t>
            </w:r>
          </w:p>
        </w:tc>
      </w:tr>
      <w:tr>
        <w:trPr>
          <w:trHeight w:val="135"/>
        </w:trPr>
        <w:tc>
          <w:tcPr>
            <w:tcW w:w="3020" w:type="dxa"/>
            <w:vAlign w:val="bottom"/>
          </w:tcPr>
          <w:p>
            <w:pPr>
              <w:ind w:left="140"/>
              <w:spacing w:after="0"/>
              <w:rPr>
                <w:sz w:val="20"/>
                <w:szCs w:val="20"/>
                <w:color w:val="auto"/>
              </w:rPr>
            </w:pPr>
            <w:r>
              <w:rPr>
                <w:rFonts w:ascii="Arial" w:cs="Arial" w:eastAsia="Arial" w:hAnsi="Arial"/>
                <w:sz w:val="10"/>
                <w:szCs w:val="10"/>
                <w:color w:val="auto"/>
              </w:rPr>
              <w:t>Restricted cash</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541.0</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548.2</w:t>
            </w:r>
          </w:p>
        </w:tc>
      </w:tr>
      <w:tr>
        <w:trPr>
          <w:trHeight w:val="135"/>
        </w:trPr>
        <w:tc>
          <w:tcPr>
            <w:tcW w:w="3020" w:type="dxa"/>
            <w:vAlign w:val="bottom"/>
          </w:tcPr>
          <w:p>
            <w:pPr>
              <w:ind w:left="140"/>
              <w:spacing w:after="0"/>
              <w:rPr>
                <w:sz w:val="20"/>
                <w:szCs w:val="20"/>
                <w:color w:val="auto"/>
              </w:rPr>
            </w:pPr>
            <w:r>
              <w:rPr>
                <w:rFonts w:ascii="Arial" w:cs="Arial" w:eastAsia="Arial" w:hAnsi="Arial"/>
                <w:sz w:val="10"/>
                <w:szCs w:val="10"/>
                <w:color w:val="auto"/>
              </w:rPr>
              <w:t>Accounts receivable, net</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766.0</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833.3</w:t>
            </w:r>
          </w:p>
        </w:tc>
      </w:tr>
      <w:tr>
        <w:trPr>
          <w:trHeight w:val="135"/>
        </w:trPr>
        <w:tc>
          <w:tcPr>
            <w:tcW w:w="3020" w:type="dxa"/>
            <w:vAlign w:val="bottom"/>
          </w:tcPr>
          <w:p>
            <w:pPr>
              <w:ind w:left="140"/>
              <w:spacing w:after="0"/>
              <w:rPr>
                <w:sz w:val="20"/>
                <w:szCs w:val="20"/>
                <w:color w:val="auto"/>
              </w:rPr>
            </w:pPr>
            <w:r>
              <w:rPr>
                <w:rFonts w:ascii="Arial" w:cs="Arial" w:eastAsia="Arial" w:hAnsi="Arial"/>
                <w:sz w:val="10"/>
                <w:szCs w:val="10"/>
                <w:color w:val="auto"/>
              </w:rPr>
              <w:t>Prepaid expenses and other</w:t>
            </w:r>
          </w:p>
        </w:tc>
        <w:tc>
          <w:tcPr>
            <w:tcW w:w="484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296.1</w:t>
            </w: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346.1</w:t>
            </w:r>
          </w:p>
        </w:tc>
      </w:tr>
      <w:tr>
        <w:trPr>
          <w:trHeight w:val="124"/>
        </w:trPr>
        <w:tc>
          <w:tcPr>
            <w:tcW w:w="3020" w:type="dxa"/>
            <w:vAlign w:val="bottom"/>
          </w:tcPr>
          <w:p>
            <w:pPr>
              <w:ind w:left="300"/>
              <w:spacing w:after="0"/>
              <w:rPr>
                <w:sz w:val="20"/>
                <w:szCs w:val="20"/>
                <w:color w:val="auto"/>
              </w:rPr>
            </w:pPr>
            <w:r>
              <w:rPr>
                <w:rFonts w:ascii="Arial" w:cs="Arial" w:eastAsia="Arial" w:hAnsi="Arial"/>
                <w:sz w:val="10"/>
                <w:szCs w:val="10"/>
                <w:color w:val="auto"/>
              </w:rPr>
              <w:t>Total current assets</w:t>
            </w:r>
          </w:p>
        </w:tc>
        <w:tc>
          <w:tcPr>
            <w:tcW w:w="4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w w:val="95"/>
              </w:rPr>
              <w:t>3,329.0</w:t>
            </w:r>
          </w:p>
        </w:tc>
        <w:tc>
          <w:tcPr>
            <w:tcW w:w="80" w:type="dxa"/>
            <w:vAlign w:val="bottom"/>
          </w:tcPr>
          <w:p>
            <w:pPr>
              <w:spacing w:after="0"/>
              <w:rPr>
                <w:sz w:val="10"/>
                <w:szCs w:val="10"/>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3,274.9</w:t>
            </w:r>
          </w:p>
        </w:tc>
      </w:tr>
      <w:tr>
        <w:trPr>
          <w:trHeight w:val="171"/>
        </w:trPr>
        <w:tc>
          <w:tcPr>
            <w:tcW w:w="3020" w:type="dxa"/>
            <w:vAlign w:val="bottom"/>
          </w:tcPr>
          <w:p>
            <w:pPr>
              <w:spacing w:after="0"/>
              <w:rPr>
                <w:sz w:val="20"/>
                <w:szCs w:val="20"/>
                <w:color w:val="auto"/>
              </w:rPr>
            </w:pPr>
            <w:r>
              <w:rPr>
                <w:rFonts w:ascii="Arial" w:cs="Arial" w:eastAsia="Arial" w:hAnsi="Arial"/>
                <w:sz w:val="10"/>
                <w:szCs w:val="10"/>
                <w:color w:val="auto"/>
              </w:rPr>
              <w:t>Right-of-use assets, net</w:t>
            </w:r>
          </w:p>
        </w:tc>
        <w:tc>
          <w:tcPr>
            <w:tcW w:w="4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388.7</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392.7</w:t>
            </w:r>
          </w:p>
        </w:tc>
      </w:tr>
      <w:tr>
        <w:trPr>
          <w:trHeight w:val="135"/>
        </w:trPr>
        <w:tc>
          <w:tcPr>
            <w:tcW w:w="3020" w:type="dxa"/>
            <w:vAlign w:val="bottom"/>
          </w:tcPr>
          <w:p>
            <w:pPr>
              <w:spacing w:after="0"/>
              <w:rPr>
                <w:sz w:val="20"/>
                <w:szCs w:val="20"/>
                <w:color w:val="auto"/>
              </w:rPr>
            </w:pPr>
            <w:r>
              <w:rPr>
                <w:rFonts w:ascii="Arial" w:cs="Arial" w:eastAsia="Arial" w:hAnsi="Arial"/>
                <w:sz w:val="10"/>
                <w:szCs w:val="10"/>
                <w:color w:val="auto"/>
              </w:rPr>
              <w:t>Property and equipment, net</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w w:val="95"/>
              </w:rPr>
              <w:t>1,130.5</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1,116.1</w:t>
            </w:r>
          </w:p>
        </w:tc>
      </w:tr>
      <w:tr>
        <w:trPr>
          <w:trHeight w:val="135"/>
        </w:trPr>
        <w:tc>
          <w:tcPr>
            <w:tcW w:w="3020" w:type="dxa"/>
            <w:vAlign w:val="bottom"/>
          </w:tcPr>
          <w:p>
            <w:pPr>
              <w:spacing w:after="0"/>
              <w:rPr>
                <w:sz w:val="20"/>
                <w:szCs w:val="20"/>
                <w:color w:val="auto"/>
              </w:rPr>
            </w:pPr>
            <w:r>
              <w:rPr>
                <w:rFonts w:ascii="Arial" w:cs="Arial" w:eastAsia="Arial" w:hAnsi="Arial"/>
                <w:sz w:val="10"/>
                <w:szCs w:val="10"/>
                <w:color w:val="auto"/>
              </w:rPr>
              <w:t>Goodwill</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w w:val="95"/>
              </w:rPr>
              <w:t>1,515.3</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1,508.7</w:t>
            </w:r>
          </w:p>
        </w:tc>
      </w:tr>
      <w:tr>
        <w:trPr>
          <w:trHeight w:val="135"/>
        </w:trPr>
        <w:tc>
          <w:tcPr>
            <w:tcW w:w="3020" w:type="dxa"/>
            <w:vAlign w:val="bottom"/>
          </w:tcPr>
          <w:p>
            <w:pPr>
              <w:spacing w:after="0"/>
              <w:rPr>
                <w:sz w:val="20"/>
                <w:szCs w:val="20"/>
                <w:color w:val="auto"/>
              </w:rPr>
            </w:pPr>
            <w:r>
              <w:rPr>
                <w:rFonts w:ascii="Arial" w:cs="Arial" w:eastAsia="Arial" w:hAnsi="Arial"/>
                <w:sz w:val="10"/>
                <w:szCs w:val="10"/>
                <w:color w:val="auto"/>
              </w:rPr>
              <w:t>Other intangibles, net</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385.2</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368.3</w:t>
            </w:r>
          </w:p>
        </w:tc>
      </w:tr>
      <w:tr>
        <w:trPr>
          <w:trHeight w:val="135"/>
        </w:trPr>
        <w:tc>
          <w:tcPr>
            <w:tcW w:w="3020" w:type="dxa"/>
            <w:vAlign w:val="bottom"/>
          </w:tcPr>
          <w:p>
            <w:pPr>
              <w:spacing w:after="0"/>
              <w:rPr>
                <w:sz w:val="20"/>
                <w:szCs w:val="20"/>
                <w:color w:val="auto"/>
              </w:rPr>
            </w:pPr>
            <w:r>
              <w:rPr>
                <w:rFonts w:ascii="Arial" w:cs="Arial" w:eastAsia="Arial" w:hAnsi="Arial"/>
                <w:sz w:val="10"/>
                <w:szCs w:val="10"/>
                <w:color w:val="auto"/>
              </w:rPr>
              <w:t>Deferred tax assets, net</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237.3</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240.4</w:t>
            </w:r>
          </w:p>
        </w:tc>
      </w:tr>
      <w:tr>
        <w:trPr>
          <w:trHeight w:val="138"/>
        </w:trPr>
        <w:tc>
          <w:tcPr>
            <w:tcW w:w="3020" w:type="dxa"/>
            <w:vAlign w:val="bottom"/>
          </w:tcPr>
          <w:p>
            <w:pPr>
              <w:spacing w:after="0"/>
              <w:rPr>
                <w:sz w:val="20"/>
                <w:szCs w:val="20"/>
                <w:color w:val="auto"/>
              </w:rPr>
            </w:pPr>
            <w:r>
              <w:rPr>
                <w:rFonts w:ascii="Arial" w:cs="Arial" w:eastAsia="Arial" w:hAnsi="Arial"/>
                <w:sz w:val="10"/>
                <w:szCs w:val="10"/>
                <w:color w:val="auto"/>
              </w:rPr>
              <w:t>Other</w:t>
            </w:r>
          </w:p>
        </w:tc>
        <w:tc>
          <w:tcPr>
            <w:tcW w:w="4840" w:type="dxa"/>
            <w:vAlign w:val="bottom"/>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353.2</w:t>
            </w:r>
          </w:p>
        </w:tc>
        <w:tc>
          <w:tcPr>
            <w:tcW w:w="80" w:type="dxa"/>
            <w:vAlign w:val="bottom"/>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374.3</w:t>
            </w:r>
          </w:p>
        </w:tc>
      </w:tr>
      <w:tr>
        <w:trPr>
          <w:trHeight w:val="214"/>
        </w:trPr>
        <w:tc>
          <w:tcPr>
            <w:tcW w:w="3020" w:type="dxa"/>
            <w:vAlign w:val="bottom"/>
          </w:tcPr>
          <w:p>
            <w:pPr>
              <w:ind w:left="300"/>
              <w:spacing w:after="0"/>
              <w:rPr>
                <w:sz w:val="20"/>
                <w:szCs w:val="20"/>
                <w:color w:val="auto"/>
              </w:rPr>
            </w:pPr>
            <w:r>
              <w:rPr>
                <w:rFonts w:ascii="Arial" w:cs="Arial" w:eastAsia="Arial" w:hAnsi="Arial"/>
                <w:sz w:val="10"/>
                <w:szCs w:val="10"/>
                <w:color w:val="auto"/>
              </w:rPr>
              <w:t>Total assets</w:t>
            </w:r>
          </w:p>
        </w:tc>
        <w:tc>
          <w:tcPr>
            <w:tcW w:w="4840" w:type="dxa"/>
            <w:vAlign w:val="bottom"/>
          </w:tcPr>
          <w:p>
            <w:pPr>
              <w:spacing w:after="0"/>
              <w:rPr>
                <w:sz w:val="18"/>
                <w:szCs w:val="18"/>
                <w:color w:val="auto"/>
              </w:rPr>
            </w:pPr>
          </w:p>
        </w:tc>
        <w:tc>
          <w:tcPr>
            <w:tcW w:w="1280" w:type="dxa"/>
            <w:vAlign w:val="bottom"/>
            <w:tcBorders>
              <w:bottom w:val="single" w:sz="8" w:color="auto"/>
            </w:tcBorders>
          </w:tcPr>
          <w:p>
            <w:pPr>
              <w:jc w:val="right"/>
              <w:ind w:right="117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95"/>
              </w:rPr>
              <w:t>7,339.2</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7,275.4</w:t>
            </w:r>
          </w:p>
        </w:tc>
      </w:tr>
      <w:tr>
        <w:trPr>
          <w:trHeight w:val="215"/>
        </w:trPr>
        <w:tc>
          <w:tcPr>
            <w:tcW w:w="3020" w:type="dxa"/>
            <w:vAlign w:val="bottom"/>
          </w:tcPr>
          <w:p>
            <w:pPr>
              <w:spacing w:after="0"/>
              <w:rPr>
                <w:sz w:val="18"/>
                <w:szCs w:val="18"/>
                <w:color w:val="auto"/>
              </w:rPr>
            </w:pPr>
          </w:p>
        </w:tc>
        <w:tc>
          <w:tcPr>
            <w:tcW w:w="6120" w:type="dxa"/>
            <w:vAlign w:val="bottom"/>
            <w:gridSpan w:val="2"/>
          </w:tcPr>
          <w:p>
            <w:pPr>
              <w:jc w:val="right"/>
              <w:ind w:right="4692"/>
              <w:spacing w:after="0"/>
              <w:rPr>
                <w:sz w:val="20"/>
                <w:szCs w:val="20"/>
                <w:color w:val="auto"/>
              </w:rPr>
            </w:pPr>
            <w:r>
              <w:rPr>
                <w:rFonts w:ascii="Arial" w:cs="Arial" w:eastAsia="Arial" w:hAnsi="Arial"/>
                <w:sz w:val="10"/>
                <w:szCs w:val="10"/>
                <w:b w:val="1"/>
                <w:bCs w:val="1"/>
                <w:color w:val="auto"/>
              </w:rPr>
              <w:t>Liabilities and Equity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0"/>
                <w:szCs w:val="10"/>
                <w:color w:val="auto"/>
              </w:rPr>
              <w:t>Current liabilities:</w:t>
            </w:r>
          </w:p>
        </w:tc>
        <w:tc>
          <w:tcPr>
            <w:tcW w:w="4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35"/>
        </w:trPr>
        <w:tc>
          <w:tcPr>
            <w:tcW w:w="3020" w:type="dxa"/>
            <w:vAlign w:val="bottom"/>
          </w:tcPr>
          <w:p>
            <w:pPr>
              <w:ind w:left="140"/>
              <w:spacing w:after="0"/>
              <w:rPr>
                <w:sz w:val="20"/>
                <w:szCs w:val="20"/>
                <w:color w:val="auto"/>
              </w:rPr>
            </w:pPr>
            <w:r>
              <w:rPr>
                <w:rFonts w:ascii="Arial" w:cs="Arial" w:eastAsia="Arial" w:hAnsi="Arial"/>
                <w:sz w:val="10"/>
                <w:szCs w:val="10"/>
                <w:color w:val="auto"/>
              </w:rPr>
              <w:t>Short-term borrowings</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241.1</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229.2</w:t>
            </w:r>
          </w:p>
        </w:tc>
      </w:tr>
      <w:tr>
        <w:trPr>
          <w:trHeight w:val="135"/>
        </w:trPr>
        <w:tc>
          <w:tcPr>
            <w:tcW w:w="3020" w:type="dxa"/>
            <w:vAlign w:val="bottom"/>
          </w:tcPr>
          <w:p>
            <w:pPr>
              <w:ind w:left="140"/>
              <w:spacing w:after="0"/>
              <w:rPr>
                <w:sz w:val="20"/>
                <w:szCs w:val="20"/>
                <w:color w:val="auto"/>
              </w:rPr>
            </w:pPr>
            <w:r>
              <w:rPr>
                <w:rFonts w:ascii="Arial" w:cs="Arial" w:eastAsia="Arial" w:hAnsi="Arial"/>
                <w:sz w:val="10"/>
                <w:szCs w:val="10"/>
                <w:color w:val="auto"/>
              </w:rPr>
              <w:t>Current maturities of long-term debt</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163.1</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92.8</w:t>
            </w:r>
          </w:p>
        </w:tc>
      </w:tr>
      <w:tr>
        <w:trPr>
          <w:trHeight w:val="135"/>
        </w:trPr>
        <w:tc>
          <w:tcPr>
            <w:tcW w:w="3020" w:type="dxa"/>
            <w:vAlign w:val="bottom"/>
          </w:tcPr>
          <w:p>
            <w:pPr>
              <w:ind w:left="140"/>
              <w:spacing w:after="0"/>
              <w:rPr>
                <w:sz w:val="20"/>
                <w:szCs w:val="20"/>
                <w:color w:val="auto"/>
              </w:rPr>
            </w:pPr>
            <w:r>
              <w:rPr>
                <w:rFonts w:ascii="Arial" w:cs="Arial" w:eastAsia="Arial" w:hAnsi="Arial"/>
                <w:sz w:val="10"/>
                <w:szCs w:val="10"/>
                <w:color w:val="auto"/>
              </w:rPr>
              <w:t>Accounts payable</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319.3</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307.8</w:t>
            </w:r>
          </w:p>
        </w:tc>
      </w:tr>
      <w:tr>
        <w:trPr>
          <w:trHeight w:val="135"/>
        </w:trPr>
        <w:tc>
          <w:tcPr>
            <w:tcW w:w="3020" w:type="dxa"/>
            <w:vAlign w:val="bottom"/>
          </w:tcPr>
          <w:p>
            <w:pPr>
              <w:ind w:left="140"/>
              <w:spacing w:after="0"/>
              <w:rPr>
                <w:sz w:val="20"/>
                <w:szCs w:val="20"/>
                <w:color w:val="auto"/>
              </w:rPr>
            </w:pPr>
            <w:r>
              <w:rPr>
                <w:rFonts w:ascii="Arial" w:cs="Arial" w:eastAsia="Arial" w:hAnsi="Arial"/>
                <w:sz w:val="10"/>
                <w:szCs w:val="10"/>
                <w:color w:val="auto"/>
              </w:rPr>
              <w:t>Accrued liabilities</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w w:val="95"/>
              </w:rPr>
              <w:t>1,180.2</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1,218.8</w:t>
            </w:r>
          </w:p>
        </w:tc>
      </w:tr>
      <w:tr>
        <w:trPr>
          <w:trHeight w:val="135"/>
        </w:trPr>
        <w:tc>
          <w:tcPr>
            <w:tcW w:w="3020" w:type="dxa"/>
            <w:vAlign w:val="bottom"/>
          </w:tcPr>
          <w:p>
            <w:pPr>
              <w:ind w:left="140"/>
              <w:spacing w:after="0"/>
              <w:rPr>
                <w:sz w:val="20"/>
                <w:szCs w:val="20"/>
                <w:color w:val="auto"/>
              </w:rPr>
            </w:pPr>
            <w:r>
              <w:rPr>
                <w:rFonts w:ascii="Arial" w:cs="Arial" w:eastAsia="Arial" w:hAnsi="Arial"/>
                <w:sz w:val="10"/>
                <w:szCs w:val="10"/>
                <w:color w:val="auto"/>
              </w:rPr>
              <w:t>Restricted cash held for customers</w:t>
            </w:r>
          </w:p>
        </w:tc>
        <w:tc>
          <w:tcPr>
            <w:tcW w:w="484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294.2</w:t>
            </w:r>
          </w:p>
        </w:tc>
        <w:tc>
          <w:tcPr>
            <w:tcW w:w="80" w:type="dxa"/>
            <w:vAlign w:val="bottom"/>
          </w:tcPr>
          <w:p>
            <w:pPr>
              <w:spacing w:after="0"/>
              <w:rPr>
                <w:sz w:val="11"/>
                <w:szCs w:val="1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290.9</w:t>
            </w:r>
          </w:p>
        </w:tc>
      </w:tr>
      <w:tr>
        <w:trPr>
          <w:trHeight w:val="124"/>
        </w:trPr>
        <w:tc>
          <w:tcPr>
            <w:tcW w:w="3020" w:type="dxa"/>
            <w:vAlign w:val="bottom"/>
          </w:tcPr>
          <w:p>
            <w:pPr>
              <w:ind w:left="300"/>
              <w:spacing w:after="0"/>
              <w:rPr>
                <w:sz w:val="20"/>
                <w:szCs w:val="20"/>
                <w:color w:val="auto"/>
              </w:rPr>
            </w:pPr>
            <w:r>
              <w:rPr>
                <w:rFonts w:ascii="Arial" w:cs="Arial" w:eastAsia="Arial" w:hAnsi="Arial"/>
                <w:sz w:val="10"/>
                <w:szCs w:val="10"/>
                <w:color w:val="auto"/>
              </w:rPr>
              <w:t>Total current liabilities</w:t>
            </w:r>
          </w:p>
        </w:tc>
        <w:tc>
          <w:tcPr>
            <w:tcW w:w="4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w w:val="95"/>
              </w:rPr>
              <w:t>2,197.9</w:t>
            </w:r>
          </w:p>
        </w:tc>
        <w:tc>
          <w:tcPr>
            <w:tcW w:w="80" w:type="dxa"/>
            <w:vAlign w:val="bottom"/>
          </w:tcPr>
          <w:p>
            <w:pPr>
              <w:spacing w:after="0"/>
              <w:rPr>
                <w:sz w:val="10"/>
                <w:szCs w:val="10"/>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2,139.5</w:t>
            </w:r>
          </w:p>
        </w:tc>
      </w:tr>
      <w:tr>
        <w:trPr>
          <w:trHeight w:val="171"/>
        </w:trPr>
        <w:tc>
          <w:tcPr>
            <w:tcW w:w="3020" w:type="dxa"/>
            <w:vAlign w:val="bottom"/>
          </w:tcPr>
          <w:p>
            <w:pPr>
              <w:spacing w:after="0"/>
              <w:rPr>
                <w:sz w:val="20"/>
                <w:szCs w:val="20"/>
                <w:color w:val="auto"/>
              </w:rPr>
            </w:pPr>
            <w:r>
              <w:rPr>
                <w:rFonts w:ascii="Arial" w:cs="Arial" w:eastAsia="Arial" w:hAnsi="Arial"/>
                <w:sz w:val="10"/>
                <w:szCs w:val="10"/>
                <w:color w:val="auto"/>
              </w:rPr>
              <w:t>Long-term debt</w:t>
            </w:r>
          </w:p>
        </w:tc>
        <w:tc>
          <w:tcPr>
            <w:tcW w:w="4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w w:val="95"/>
              </w:rPr>
              <w:t>3,810.1</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3,833.9</w:t>
            </w:r>
          </w:p>
        </w:tc>
      </w:tr>
      <w:tr>
        <w:trPr>
          <w:trHeight w:val="135"/>
        </w:trPr>
        <w:tc>
          <w:tcPr>
            <w:tcW w:w="3020" w:type="dxa"/>
            <w:vAlign w:val="bottom"/>
          </w:tcPr>
          <w:p>
            <w:pPr>
              <w:spacing w:after="0"/>
              <w:rPr>
                <w:sz w:val="20"/>
                <w:szCs w:val="20"/>
                <w:color w:val="auto"/>
              </w:rPr>
            </w:pPr>
            <w:r>
              <w:rPr>
                <w:rFonts w:ascii="Arial" w:cs="Arial" w:eastAsia="Arial" w:hAnsi="Arial"/>
                <w:sz w:val="10"/>
                <w:szCs w:val="10"/>
                <w:color w:val="auto"/>
              </w:rPr>
              <w:t>Accrued pension costs</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147.8</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148.9</w:t>
            </w:r>
          </w:p>
        </w:tc>
      </w:tr>
      <w:tr>
        <w:trPr>
          <w:trHeight w:val="135"/>
        </w:trPr>
        <w:tc>
          <w:tcPr>
            <w:tcW w:w="3020" w:type="dxa"/>
            <w:vAlign w:val="bottom"/>
          </w:tcPr>
          <w:p>
            <w:pPr>
              <w:spacing w:after="0"/>
              <w:rPr>
                <w:sz w:val="20"/>
                <w:szCs w:val="20"/>
                <w:color w:val="auto"/>
              </w:rPr>
            </w:pPr>
            <w:r>
              <w:rPr>
                <w:rFonts w:ascii="Arial" w:cs="Arial" w:eastAsia="Arial" w:hAnsi="Arial"/>
                <w:sz w:val="10"/>
                <w:szCs w:val="10"/>
                <w:color w:val="auto"/>
              </w:rPr>
              <w:t>Retirement benefits other than pensions</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120.4</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116.4</w:t>
            </w:r>
          </w:p>
        </w:tc>
      </w:tr>
      <w:tr>
        <w:trPr>
          <w:trHeight w:val="135"/>
        </w:trPr>
        <w:tc>
          <w:tcPr>
            <w:tcW w:w="3020" w:type="dxa"/>
            <w:vAlign w:val="bottom"/>
          </w:tcPr>
          <w:p>
            <w:pPr>
              <w:spacing w:after="0"/>
              <w:rPr>
                <w:sz w:val="20"/>
                <w:szCs w:val="20"/>
                <w:color w:val="auto"/>
              </w:rPr>
            </w:pPr>
            <w:r>
              <w:rPr>
                <w:rFonts w:ascii="Arial" w:cs="Arial" w:eastAsia="Arial" w:hAnsi="Arial"/>
                <w:sz w:val="10"/>
                <w:szCs w:val="10"/>
                <w:color w:val="auto"/>
              </w:rPr>
              <w:t>Lease liabilities</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310.2</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310.6</w:t>
            </w:r>
          </w:p>
        </w:tc>
      </w:tr>
      <w:tr>
        <w:trPr>
          <w:trHeight w:val="135"/>
        </w:trPr>
        <w:tc>
          <w:tcPr>
            <w:tcW w:w="3020" w:type="dxa"/>
            <w:vAlign w:val="bottom"/>
          </w:tcPr>
          <w:p>
            <w:pPr>
              <w:spacing w:after="0"/>
              <w:rPr>
                <w:sz w:val="20"/>
                <w:szCs w:val="20"/>
                <w:color w:val="auto"/>
              </w:rPr>
            </w:pPr>
            <w:r>
              <w:rPr>
                <w:rFonts w:ascii="Arial" w:cs="Arial" w:eastAsia="Arial" w:hAnsi="Arial"/>
                <w:sz w:val="10"/>
                <w:szCs w:val="10"/>
                <w:color w:val="auto"/>
              </w:rPr>
              <w:t>Deferred tax liabilities</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66.5</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62.6</w:t>
            </w:r>
          </w:p>
        </w:tc>
      </w:tr>
      <w:tr>
        <w:trPr>
          <w:trHeight w:val="135"/>
        </w:trPr>
        <w:tc>
          <w:tcPr>
            <w:tcW w:w="3020" w:type="dxa"/>
            <w:vAlign w:val="bottom"/>
          </w:tcPr>
          <w:p>
            <w:pPr>
              <w:spacing w:after="0"/>
              <w:rPr>
                <w:sz w:val="20"/>
                <w:szCs w:val="20"/>
                <w:color w:val="auto"/>
              </w:rPr>
            </w:pPr>
            <w:r>
              <w:rPr>
                <w:rFonts w:ascii="Arial" w:cs="Arial" w:eastAsia="Arial" w:hAnsi="Arial"/>
                <w:sz w:val="10"/>
                <w:szCs w:val="10"/>
                <w:color w:val="auto"/>
              </w:rPr>
              <w:t>Other</w:t>
            </w:r>
          </w:p>
        </w:tc>
        <w:tc>
          <w:tcPr>
            <w:tcW w:w="484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279.0</w:t>
            </w:r>
          </w:p>
        </w:tc>
        <w:tc>
          <w:tcPr>
            <w:tcW w:w="80" w:type="dxa"/>
            <w:vAlign w:val="bottom"/>
          </w:tcPr>
          <w:p>
            <w:pPr>
              <w:spacing w:after="0"/>
              <w:rPr>
                <w:sz w:val="11"/>
                <w:szCs w:val="1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270.4</w:t>
            </w:r>
          </w:p>
        </w:tc>
      </w:tr>
      <w:tr>
        <w:trPr>
          <w:trHeight w:val="124"/>
        </w:trPr>
        <w:tc>
          <w:tcPr>
            <w:tcW w:w="3020" w:type="dxa"/>
            <w:vAlign w:val="bottom"/>
          </w:tcPr>
          <w:p>
            <w:pPr>
              <w:ind w:left="300"/>
              <w:spacing w:after="0"/>
              <w:rPr>
                <w:sz w:val="20"/>
                <w:szCs w:val="20"/>
                <w:color w:val="auto"/>
              </w:rPr>
            </w:pPr>
            <w:r>
              <w:rPr>
                <w:rFonts w:ascii="Arial" w:cs="Arial" w:eastAsia="Arial" w:hAnsi="Arial"/>
                <w:sz w:val="10"/>
                <w:szCs w:val="10"/>
                <w:color w:val="auto"/>
              </w:rPr>
              <w:t>Total liabilities</w:t>
            </w:r>
          </w:p>
        </w:tc>
        <w:tc>
          <w:tcPr>
            <w:tcW w:w="4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w w:val="95"/>
              </w:rPr>
              <w:t>6,931.9</w:t>
            </w:r>
          </w:p>
        </w:tc>
        <w:tc>
          <w:tcPr>
            <w:tcW w:w="80" w:type="dxa"/>
            <w:vAlign w:val="bottom"/>
          </w:tcPr>
          <w:p>
            <w:pPr>
              <w:spacing w:after="0"/>
              <w:rPr>
                <w:sz w:val="10"/>
                <w:szCs w:val="10"/>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6,882.3</w:t>
            </w:r>
          </w:p>
        </w:tc>
      </w:tr>
      <w:tr>
        <w:trPr>
          <w:trHeight w:val="234"/>
        </w:trPr>
        <w:tc>
          <w:tcPr>
            <w:tcW w:w="3020" w:type="dxa"/>
            <w:vAlign w:val="bottom"/>
          </w:tcPr>
          <w:p>
            <w:pPr>
              <w:spacing w:after="0"/>
              <w:rPr>
                <w:sz w:val="20"/>
                <w:szCs w:val="20"/>
                <w:color w:val="auto"/>
              </w:rPr>
            </w:pPr>
            <w:r>
              <w:rPr>
                <w:rFonts w:ascii="Arial" w:cs="Arial" w:eastAsia="Arial" w:hAnsi="Arial"/>
                <w:sz w:val="10"/>
                <w:szCs w:val="10"/>
                <w:color w:val="auto"/>
              </w:rPr>
              <w:t>Equity:</w:t>
            </w:r>
          </w:p>
        </w:tc>
        <w:tc>
          <w:tcPr>
            <w:tcW w:w="4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35"/>
        </w:trPr>
        <w:tc>
          <w:tcPr>
            <w:tcW w:w="3020" w:type="dxa"/>
            <w:vAlign w:val="bottom"/>
          </w:tcPr>
          <w:p>
            <w:pPr>
              <w:ind w:left="80"/>
              <w:spacing w:after="0"/>
              <w:rPr>
                <w:sz w:val="20"/>
                <w:szCs w:val="20"/>
                <w:color w:val="auto"/>
              </w:rPr>
            </w:pPr>
            <w:r>
              <w:rPr>
                <w:rFonts w:ascii="Arial" w:cs="Arial" w:eastAsia="Arial" w:hAnsi="Arial"/>
                <w:sz w:val="10"/>
                <w:szCs w:val="10"/>
                <w:color w:val="auto"/>
              </w:rPr>
              <w:t>The Brink's Company ("Brink's") shareholders:</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5"/>
        </w:trPr>
        <w:tc>
          <w:tcPr>
            <w:tcW w:w="3020" w:type="dxa"/>
            <w:vAlign w:val="bottom"/>
          </w:tcPr>
          <w:p>
            <w:pPr>
              <w:ind w:left="140"/>
              <w:spacing w:after="0"/>
              <w:rPr>
                <w:sz w:val="20"/>
                <w:szCs w:val="20"/>
                <w:color w:val="auto"/>
              </w:rPr>
            </w:pPr>
            <w:r>
              <w:rPr>
                <w:rFonts w:ascii="Arial" w:cs="Arial" w:eastAsia="Arial" w:hAnsi="Arial"/>
                <w:sz w:val="10"/>
                <w:szCs w:val="10"/>
                <w:color w:val="auto"/>
              </w:rPr>
              <w:t>Common stock, par value $1 per share:</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5"/>
        </w:trPr>
        <w:tc>
          <w:tcPr>
            <w:tcW w:w="3020" w:type="dxa"/>
            <w:vAlign w:val="bottom"/>
          </w:tcPr>
          <w:p>
            <w:pPr>
              <w:ind w:left="220"/>
              <w:spacing w:after="0"/>
              <w:rPr>
                <w:sz w:val="20"/>
                <w:szCs w:val="20"/>
                <w:color w:val="auto"/>
              </w:rPr>
            </w:pPr>
            <w:r>
              <w:rPr>
                <w:rFonts w:ascii="Arial" w:cs="Arial" w:eastAsia="Arial" w:hAnsi="Arial"/>
                <w:sz w:val="10"/>
                <w:szCs w:val="10"/>
                <w:color w:val="auto"/>
              </w:rPr>
              <w:t>Shares authorized: 100.0</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5"/>
        </w:trPr>
        <w:tc>
          <w:tcPr>
            <w:tcW w:w="3020" w:type="dxa"/>
            <w:vAlign w:val="bottom"/>
          </w:tcPr>
          <w:p>
            <w:pPr>
              <w:ind w:left="220"/>
              <w:spacing w:after="0"/>
              <w:rPr>
                <w:sz w:val="20"/>
                <w:szCs w:val="20"/>
                <w:color w:val="auto"/>
              </w:rPr>
            </w:pPr>
            <w:r>
              <w:rPr>
                <w:rFonts w:ascii="Arial" w:cs="Arial" w:eastAsia="Arial" w:hAnsi="Arial"/>
                <w:sz w:val="10"/>
                <w:szCs w:val="10"/>
                <w:color w:val="auto"/>
              </w:rPr>
              <w:t>Shares issued and outstanding: 2026 - 41.2; 2025 - 41.1</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41.1</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41.2</w:t>
            </w:r>
          </w:p>
        </w:tc>
      </w:tr>
      <w:tr>
        <w:trPr>
          <w:trHeight w:val="135"/>
        </w:trPr>
        <w:tc>
          <w:tcPr>
            <w:tcW w:w="3020" w:type="dxa"/>
            <w:vAlign w:val="bottom"/>
          </w:tcPr>
          <w:p>
            <w:pPr>
              <w:ind w:left="140"/>
              <w:spacing w:after="0"/>
              <w:rPr>
                <w:sz w:val="20"/>
                <w:szCs w:val="20"/>
                <w:color w:val="auto"/>
              </w:rPr>
            </w:pPr>
            <w:r>
              <w:rPr>
                <w:rFonts w:ascii="Arial" w:cs="Arial" w:eastAsia="Arial" w:hAnsi="Arial"/>
                <w:sz w:val="10"/>
                <w:szCs w:val="10"/>
                <w:color w:val="auto"/>
              </w:rPr>
              <w:t>Capital in excess of par value</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632.1</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619.4</w:t>
            </w:r>
          </w:p>
        </w:tc>
      </w:tr>
      <w:tr>
        <w:trPr>
          <w:trHeight w:val="135"/>
        </w:trPr>
        <w:tc>
          <w:tcPr>
            <w:tcW w:w="3020" w:type="dxa"/>
            <w:vAlign w:val="bottom"/>
          </w:tcPr>
          <w:p>
            <w:pPr>
              <w:ind w:left="140"/>
              <w:spacing w:after="0"/>
              <w:rPr>
                <w:sz w:val="20"/>
                <w:szCs w:val="20"/>
                <w:color w:val="auto"/>
              </w:rPr>
            </w:pPr>
            <w:r>
              <w:rPr>
                <w:rFonts w:ascii="Arial" w:cs="Arial" w:eastAsia="Arial" w:hAnsi="Arial"/>
                <w:sz w:val="10"/>
                <w:szCs w:val="10"/>
                <w:color w:val="auto"/>
              </w:rPr>
              <w:t>Retained earnings</w:t>
            </w:r>
          </w:p>
        </w:tc>
        <w:tc>
          <w:tcPr>
            <w:tcW w:w="4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270.1</w:t>
            </w:r>
          </w:p>
        </w:tc>
        <w:tc>
          <w:tcPr>
            <w:tcW w:w="8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265.6</w:t>
            </w:r>
          </w:p>
        </w:tc>
      </w:tr>
      <w:tr>
        <w:trPr>
          <w:trHeight w:val="135"/>
        </w:trPr>
        <w:tc>
          <w:tcPr>
            <w:tcW w:w="3020" w:type="dxa"/>
            <w:vAlign w:val="bottom"/>
          </w:tcPr>
          <w:p>
            <w:pPr>
              <w:ind w:left="140"/>
              <w:spacing w:after="0"/>
              <w:rPr>
                <w:sz w:val="20"/>
                <w:szCs w:val="20"/>
                <w:color w:val="auto"/>
              </w:rPr>
            </w:pPr>
            <w:r>
              <w:rPr>
                <w:rFonts w:ascii="Arial" w:cs="Arial" w:eastAsia="Arial" w:hAnsi="Arial"/>
                <w:sz w:val="10"/>
                <w:szCs w:val="10"/>
                <w:color w:val="auto"/>
              </w:rPr>
              <w:t>Accumulated other comprehensive income (loss)</w:t>
            </w:r>
          </w:p>
        </w:tc>
        <w:tc>
          <w:tcPr>
            <w:tcW w:w="484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(665.6)</w:t>
            </w:r>
          </w:p>
        </w:tc>
        <w:tc>
          <w:tcPr>
            <w:tcW w:w="80" w:type="dxa"/>
            <w:vAlign w:val="bottom"/>
          </w:tcPr>
          <w:p>
            <w:pPr>
              <w:spacing w:after="0"/>
              <w:rPr>
                <w:sz w:val="11"/>
                <w:szCs w:val="1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(664.2)</w:t>
            </w:r>
          </w:p>
        </w:tc>
      </w:tr>
      <w:tr>
        <w:trPr>
          <w:trHeight w:val="124"/>
        </w:trPr>
        <w:tc>
          <w:tcPr>
            <w:tcW w:w="3020" w:type="dxa"/>
            <w:vAlign w:val="bottom"/>
          </w:tcPr>
          <w:p>
            <w:pPr>
              <w:ind w:left="300"/>
              <w:spacing w:after="0"/>
              <w:rPr>
                <w:sz w:val="20"/>
                <w:szCs w:val="20"/>
                <w:color w:val="auto"/>
              </w:rPr>
            </w:pPr>
            <w:r>
              <w:rPr>
                <w:rFonts w:ascii="Arial" w:cs="Arial" w:eastAsia="Arial" w:hAnsi="Arial"/>
                <w:sz w:val="10"/>
                <w:szCs w:val="10"/>
                <w:color w:val="auto"/>
              </w:rPr>
              <w:t>Brink's shareholders</w:t>
            </w:r>
          </w:p>
        </w:tc>
        <w:tc>
          <w:tcPr>
            <w:tcW w:w="4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277.7</w:t>
            </w:r>
          </w:p>
        </w:tc>
        <w:tc>
          <w:tcPr>
            <w:tcW w:w="80" w:type="dxa"/>
            <w:vAlign w:val="bottom"/>
          </w:tcPr>
          <w:p>
            <w:pPr>
              <w:spacing w:after="0"/>
              <w:rPr>
                <w:sz w:val="10"/>
                <w:szCs w:val="10"/>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262.0</w:t>
            </w:r>
          </w:p>
        </w:tc>
      </w:tr>
      <w:tr>
        <w:trPr>
          <w:trHeight w:val="174"/>
        </w:trPr>
        <w:tc>
          <w:tcPr>
            <w:tcW w:w="3020" w:type="dxa"/>
            <w:vAlign w:val="bottom"/>
          </w:tcPr>
          <w:p>
            <w:pPr>
              <w:spacing w:after="0"/>
              <w:rPr>
                <w:sz w:val="20"/>
                <w:szCs w:val="20"/>
                <w:color w:val="auto"/>
              </w:rPr>
            </w:pPr>
            <w:r>
              <w:rPr>
                <w:rFonts w:ascii="Arial" w:cs="Arial" w:eastAsia="Arial" w:hAnsi="Arial"/>
                <w:sz w:val="10"/>
                <w:szCs w:val="10"/>
                <w:color w:val="auto"/>
              </w:rPr>
              <w:t>Noncontrolling interests</w:t>
            </w:r>
          </w:p>
        </w:tc>
        <w:tc>
          <w:tcPr>
            <w:tcW w:w="48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129.6</w:t>
            </w:r>
          </w:p>
        </w:tc>
        <w:tc>
          <w:tcPr>
            <w:tcW w:w="8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131.1</w:t>
            </w:r>
          </w:p>
        </w:tc>
      </w:tr>
      <w:tr>
        <w:trPr>
          <w:trHeight w:val="151"/>
        </w:trPr>
        <w:tc>
          <w:tcPr>
            <w:tcW w:w="3020" w:type="dxa"/>
            <w:vAlign w:val="bottom"/>
          </w:tcPr>
          <w:p>
            <w:pPr>
              <w:spacing w:after="0"/>
              <w:rPr>
                <w:sz w:val="20"/>
                <w:szCs w:val="20"/>
                <w:color w:val="auto"/>
              </w:rPr>
            </w:pPr>
            <w:r>
              <w:rPr>
                <w:rFonts w:ascii="Arial" w:cs="Arial" w:eastAsia="Arial" w:hAnsi="Arial"/>
                <w:sz w:val="10"/>
                <w:szCs w:val="10"/>
                <w:color w:val="auto"/>
              </w:rPr>
              <w:t>Total equity</w:t>
            </w:r>
          </w:p>
        </w:tc>
        <w:tc>
          <w:tcPr>
            <w:tcW w:w="484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407.3</w:t>
            </w:r>
          </w:p>
        </w:tc>
        <w:tc>
          <w:tcPr>
            <w:tcW w:w="80" w:type="dxa"/>
            <w:vAlign w:val="bottom"/>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393.1</w:t>
            </w:r>
          </w:p>
        </w:tc>
      </w:tr>
      <w:tr>
        <w:trPr>
          <w:trHeight w:val="214"/>
        </w:trPr>
        <w:tc>
          <w:tcPr>
            <w:tcW w:w="3020" w:type="dxa"/>
            <w:vAlign w:val="bottom"/>
          </w:tcPr>
          <w:p>
            <w:pPr>
              <w:ind w:left="300"/>
              <w:spacing w:after="0"/>
              <w:rPr>
                <w:sz w:val="20"/>
                <w:szCs w:val="20"/>
                <w:color w:val="auto"/>
              </w:rPr>
            </w:pPr>
            <w:r>
              <w:rPr>
                <w:rFonts w:ascii="Arial" w:cs="Arial" w:eastAsia="Arial" w:hAnsi="Arial"/>
                <w:sz w:val="10"/>
                <w:szCs w:val="10"/>
                <w:color w:val="auto"/>
              </w:rPr>
              <w:t>Total liabilities and equity</w:t>
            </w:r>
          </w:p>
        </w:tc>
        <w:tc>
          <w:tcPr>
            <w:tcW w:w="4840" w:type="dxa"/>
            <w:vAlign w:val="bottom"/>
          </w:tcPr>
          <w:p>
            <w:pPr>
              <w:spacing w:after="0"/>
              <w:rPr>
                <w:sz w:val="18"/>
                <w:szCs w:val="18"/>
                <w:color w:val="auto"/>
              </w:rPr>
            </w:pPr>
          </w:p>
        </w:tc>
        <w:tc>
          <w:tcPr>
            <w:tcW w:w="1280" w:type="dxa"/>
            <w:vAlign w:val="bottom"/>
            <w:tcBorders>
              <w:bottom w:val="single" w:sz="8" w:color="auto"/>
            </w:tcBorders>
          </w:tcPr>
          <w:p>
            <w:pPr>
              <w:jc w:val="right"/>
              <w:ind w:right="117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95"/>
              </w:rPr>
              <w:t>7,339.2</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7,275.4</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725" w:right="29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6786245</wp:posOffset>
            </wp:positionH>
            <wp:positionV relativeFrom="page">
              <wp:posOffset>88900</wp:posOffset>
            </wp:positionV>
            <wp:extent cx="577215" cy="97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77215" cy="9715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t>The Brink’s Company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 xml:space="preserve">(In millions) </w:t>
      </w:r>
      <w:r>
        <w:rPr>
          <w:rFonts w:ascii="Arial" w:cs="Arial" w:eastAsia="Arial" w:hAnsi="Arial"/>
          <w:sz w:val="10"/>
          <w:szCs w:val="10"/>
          <w:color w:val="auto"/>
        </w:rPr>
        <w:t>(Unaudited)</w:t>
      </w:r>
    </w:p>
    <w:p>
      <w:pPr>
        <w:jc w:val="center"/>
        <w:spacing w:after="0"/>
        <w:rPr>
          <w:sz w:val="20"/>
          <w:szCs w:val="20"/>
          <w:color w:val="auto"/>
        </w:rPr>
      </w:pPr>
      <w:r>
        <w:rPr>
          <w:rFonts w:ascii="Arial" w:cs="Arial" w:eastAsia="Arial" w:hAnsi="Arial"/>
          <w:sz w:val="11"/>
          <w:szCs w:val="11"/>
          <w:b w:val="1"/>
          <w:bCs w:val="1"/>
          <w:color w:val="auto"/>
        </w:rPr>
        <w:t>Condensed Consolidated Statements of Cash Flows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10"/>
        </w:trPr>
        <w:tc>
          <w:tcPr>
            <w:tcW w:w="7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80" w:type="dxa"/>
            <w:vAlign w:val="bottom"/>
            <w:gridSpan w:val="5"/>
          </w:tcPr>
          <w:p>
            <w:pPr>
              <w:ind w:left="100"/>
              <w:spacing w:after="0"/>
              <w:rPr>
                <w:sz w:val="20"/>
                <w:szCs w:val="20"/>
                <w:color w:val="auto"/>
              </w:rPr>
            </w:pPr>
            <w:r>
              <w:rPr>
                <w:rFonts w:ascii="Arial" w:cs="Arial" w:eastAsia="Arial" w:hAnsi="Arial"/>
                <w:sz w:val="8"/>
                <w:szCs w:val="8"/>
                <w:color w:val="auto"/>
              </w:rPr>
              <w:t>Three Months Ended March 31,</w:t>
            </w:r>
          </w:p>
        </w:tc>
        <w:tc>
          <w:tcPr>
            <w:tcW w:w="1020" w:type="dxa"/>
            <w:vAlign w:val="bottom"/>
          </w:tcPr>
          <w:p>
            <w:pPr>
              <w:spacing w:after="0"/>
              <w:rPr>
                <w:sz w:val="9"/>
                <w:szCs w:val="9"/>
                <w:color w:val="auto"/>
              </w:rPr>
            </w:pPr>
          </w:p>
        </w:tc>
      </w:tr>
      <w:tr>
        <w:trPr>
          <w:trHeight w:val="117"/>
        </w:trPr>
        <w:tc>
          <w:tcPr>
            <w:tcW w:w="7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bottom w:val="single" w:sz="8" w:color="auto"/>
            </w:tcBorders>
          </w:tcPr>
          <w:p>
            <w:pPr>
              <w:jc w:val="right"/>
              <w:ind w:right="67"/>
              <w:spacing w:after="0"/>
              <w:rPr>
                <w:sz w:val="20"/>
                <w:szCs w:val="20"/>
                <w:color w:val="auto"/>
              </w:rPr>
            </w:pPr>
            <w:r>
              <w:rPr>
                <w:rFonts w:ascii="Arial" w:cs="Arial" w:eastAsia="Arial" w:hAnsi="Arial"/>
                <w:sz w:val="8"/>
                <w:szCs w:val="8"/>
                <w:color w:val="auto"/>
              </w:rPr>
              <w:t>2025</w:t>
            </w: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698"/>
              <w:spacing w:after="0"/>
              <w:rPr>
                <w:sz w:val="20"/>
                <w:szCs w:val="20"/>
                <w:color w:val="auto"/>
              </w:rPr>
            </w:pPr>
            <w:r>
              <w:rPr>
                <w:rFonts w:ascii="Arial" w:cs="Arial" w:eastAsia="Arial" w:hAnsi="Arial"/>
                <w:sz w:val="8"/>
                <w:szCs w:val="8"/>
                <w:color w:val="auto"/>
              </w:rPr>
              <w:t>2026</w:t>
            </w:r>
          </w:p>
        </w:tc>
      </w:tr>
      <w:tr>
        <w:trPr>
          <w:trHeight w:val="101"/>
        </w:trPr>
        <w:tc>
          <w:tcPr>
            <w:tcW w:w="7840" w:type="dxa"/>
            <w:vAlign w:val="bottom"/>
            <w:gridSpan w:val="2"/>
          </w:tcPr>
          <w:p>
            <w:pPr>
              <w:spacing w:after="0"/>
              <w:rPr>
                <w:sz w:val="20"/>
                <w:szCs w:val="20"/>
                <w:color w:val="auto"/>
              </w:rPr>
            </w:pPr>
            <w:r>
              <w:rPr>
                <w:rFonts w:ascii="Arial" w:cs="Arial" w:eastAsia="Arial" w:hAnsi="Arial"/>
                <w:sz w:val="8"/>
                <w:szCs w:val="8"/>
                <w:b w:val="1"/>
                <w:bCs w:val="1"/>
                <w:color w:val="auto"/>
              </w:rPr>
              <w:t>Cash flows from operating activities:</w:t>
            </w: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13"/>
        </w:trPr>
        <w:tc>
          <w:tcPr>
            <w:tcW w:w="7840" w:type="dxa"/>
            <w:vAlign w:val="bottom"/>
            <w:gridSpan w:val="2"/>
          </w:tcPr>
          <w:p>
            <w:pPr>
              <w:spacing w:after="0"/>
              <w:rPr>
                <w:sz w:val="20"/>
                <w:szCs w:val="20"/>
                <w:color w:val="auto"/>
              </w:rPr>
            </w:pPr>
            <w:r>
              <w:rPr>
                <w:rFonts w:ascii="Arial" w:cs="Arial" w:eastAsia="Arial" w:hAnsi="Arial"/>
                <w:sz w:val="8"/>
                <w:szCs w:val="8"/>
                <w:color w:val="auto"/>
              </w:rPr>
              <w:t>Net income</w:t>
            </w:r>
          </w:p>
        </w:tc>
        <w:tc>
          <w:tcPr>
            <w:tcW w:w="1020" w:type="dxa"/>
            <w:vAlign w:val="bottom"/>
          </w:tcPr>
          <w:p>
            <w:pPr>
              <w:jc w:val="right"/>
              <w:ind w:right="947"/>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rPr>
                <w:sz w:val="20"/>
                <w:szCs w:val="20"/>
                <w:color w:val="auto"/>
              </w:rPr>
            </w:pPr>
            <w:r>
              <w:rPr>
                <w:rFonts w:ascii="Arial" w:cs="Arial" w:eastAsia="Arial" w:hAnsi="Arial"/>
                <w:sz w:val="8"/>
                <w:szCs w:val="8"/>
                <w:color w:val="auto"/>
              </w:rPr>
              <w:t>53.9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34.8</w:t>
            </w:r>
          </w:p>
        </w:tc>
      </w:tr>
      <w:tr>
        <w:trPr>
          <w:trHeight w:val="117"/>
        </w:trPr>
        <w:tc>
          <w:tcPr>
            <w:tcW w:w="7840" w:type="dxa"/>
            <w:vAlign w:val="bottom"/>
            <w:gridSpan w:val="2"/>
          </w:tcPr>
          <w:p>
            <w:pPr>
              <w:spacing w:after="0"/>
              <w:rPr>
                <w:sz w:val="20"/>
                <w:szCs w:val="20"/>
                <w:color w:val="auto"/>
              </w:rPr>
            </w:pPr>
            <w:r>
              <w:rPr>
                <w:rFonts w:ascii="Arial" w:cs="Arial" w:eastAsia="Arial" w:hAnsi="Arial"/>
                <w:sz w:val="8"/>
                <w:szCs w:val="8"/>
                <w:color w:val="auto"/>
              </w:rPr>
              <w:t>Adjustments to reconcile net income to net cash provided by (used in) operating activities:</w:t>
            </w: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Depreciation and amortization</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70.7</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79.7</w:t>
            </w: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Share-based compensation expense</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5.7</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7.1</w:t>
            </w: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Deferred income taxes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0.3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(8.7)</w:t>
            </w: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(Gain) loss on marketable securities, sale of property and equipment and derivatives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(8.6)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1.6</w:t>
            </w: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Impairment losses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0.5</w:t>
            </w: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Retirement benefit funding (more) less than expense:</w:t>
            </w: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17"/>
        </w:trPr>
        <w:tc>
          <w:tcPr>
            <w:tcW w:w="7840" w:type="dxa"/>
            <w:vAlign w:val="bottom"/>
            <w:gridSpan w:val="2"/>
          </w:tcPr>
          <w:p>
            <w:pPr>
              <w:ind w:left="280"/>
              <w:spacing w:after="0"/>
              <w:rPr>
                <w:sz w:val="20"/>
                <w:szCs w:val="20"/>
                <w:color w:val="auto"/>
              </w:rPr>
            </w:pPr>
            <w:r>
              <w:rPr>
                <w:rFonts w:ascii="Arial" w:cs="Arial" w:eastAsia="Arial" w:hAnsi="Arial"/>
                <w:sz w:val="8"/>
                <w:szCs w:val="8"/>
                <w:color w:val="auto"/>
              </w:rPr>
              <w:t>Pension</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1.2</w:t>
            </w:r>
          </w:p>
        </w:tc>
      </w:tr>
      <w:tr>
        <w:trPr>
          <w:trHeight w:val="117"/>
        </w:trPr>
        <w:tc>
          <w:tcPr>
            <w:tcW w:w="7840" w:type="dxa"/>
            <w:vAlign w:val="bottom"/>
            <w:gridSpan w:val="2"/>
          </w:tcPr>
          <w:p>
            <w:pPr>
              <w:ind w:left="280"/>
              <w:spacing w:after="0"/>
              <w:rPr>
                <w:sz w:val="20"/>
                <w:szCs w:val="20"/>
                <w:color w:val="auto"/>
              </w:rPr>
            </w:pPr>
            <w:r>
              <w:rPr>
                <w:rFonts w:ascii="Arial" w:cs="Arial" w:eastAsia="Arial" w:hAnsi="Arial"/>
                <w:sz w:val="8"/>
                <w:szCs w:val="8"/>
                <w:color w:val="auto"/>
              </w:rPr>
              <w:t>Other than pension</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(4.1)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(4.6)</w:t>
            </w: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Unrealized foreign currency losses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15.6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0.6</w:t>
            </w: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Other operating</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(5.6)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2.0</w:t>
            </w: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Changes in operating assets and liabilities, net of effects of acquisitions:</w:t>
            </w: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17"/>
        </w:trPr>
        <w:tc>
          <w:tcPr>
            <w:tcW w:w="7840" w:type="dxa"/>
            <w:vAlign w:val="bottom"/>
            <w:gridSpan w:val="2"/>
          </w:tcPr>
          <w:p>
            <w:pPr>
              <w:ind w:left="280"/>
              <w:spacing w:after="0"/>
              <w:rPr>
                <w:sz w:val="20"/>
                <w:szCs w:val="20"/>
                <w:color w:val="auto"/>
              </w:rPr>
            </w:pPr>
            <w:r>
              <w:rPr>
                <w:rFonts w:ascii="Arial" w:cs="Arial" w:eastAsia="Arial" w:hAnsi="Arial"/>
                <w:sz w:val="8"/>
                <w:szCs w:val="8"/>
                <w:color w:val="auto"/>
              </w:rPr>
              <w:t>Increase in accounts receivable and income taxes receivable</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(53.1)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(78.1)</w:t>
            </w:r>
          </w:p>
        </w:tc>
      </w:tr>
      <w:tr>
        <w:trPr>
          <w:trHeight w:val="117"/>
        </w:trPr>
        <w:tc>
          <w:tcPr>
            <w:tcW w:w="7840" w:type="dxa"/>
            <w:vAlign w:val="bottom"/>
            <w:gridSpan w:val="2"/>
          </w:tcPr>
          <w:p>
            <w:pPr>
              <w:ind w:left="280"/>
              <w:spacing w:after="0"/>
              <w:rPr>
                <w:sz w:val="20"/>
                <w:szCs w:val="20"/>
                <w:color w:val="auto"/>
              </w:rPr>
            </w:pPr>
            <w:r>
              <w:rPr>
                <w:rFonts w:ascii="Arial" w:cs="Arial" w:eastAsia="Arial" w:hAnsi="Arial"/>
                <w:sz w:val="8"/>
                <w:szCs w:val="8"/>
                <w:color w:val="auto"/>
              </w:rPr>
              <w:t>Increase (decrease) in accounts payable, income taxes payable and accrued liabilities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(91.1)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4.4</w:t>
            </w:r>
          </w:p>
        </w:tc>
      </w:tr>
      <w:tr>
        <w:trPr>
          <w:trHeight w:val="117"/>
        </w:trPr>
        <w:tc>
          <w:tcPr>
            <w:tcW w:w="7840" w:type="dxa"/>
            <w:vAlign w:val="bottom"/>
            <w:gridSpan w:val="2"/>
          </w:tcPr>
          <w:p>
            <w:pPr>
              <w:ind w:left="280"/>
              <w:spacing w:after="0"/>
              <w:rPr>
                <w:sz w:val="20"/>
                <w:szCs w:val="20"/>
                <w:color w:val="auto"/>
              </w:rPr>
            </w:pPr>
            <w:r>
              <w:rPr>
                <w:rFonts w:ascii="Arial" w:cs="Arial" w:eastAsia="Arial" w:hAnsi="Arial"/>
                <w:sz w:val="8"/>
                <w:szCs w:val="8"/>
                <w:color w:val="auto"/>
              </w:rPr>
              <w:t>Increase (decrease) in restricted cash held for customers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(45.0)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3.2</w:t>
            </w:r>
          </w:p>
        </w:tc>
      </w:tr>
      <w:tr>
        <w:trPr>
          <w:trHeight w:val="117"/>
        </w:trPr>
        <w:tc>
          <w:tcPr>
            <w:tcW w:w="7840" w:type="dxa"/>
            <w:vAlign w:val="bottom"/>
            <w:gridSpan w:val="2"/>
          </w:tcPr>
          <w:p>
            <w:pPr>
              <w:ind w:left="280"/>
              <w:spacing w:after="0"/>
              <w:rPr>
                <w:sz w:val="20"/>
                <w:szCs w:val="20"/>
                <w:color w:val="auto"/>
              </w:rPr>
            </w:pPr>
            <w:r>
              <w:rPr>
                <w:rFonts w:ascii="Arial" w:cs="Arial" w:eastAsia="Arial" w:hAnsi="Arial"/>
                <w:sz w:val="8"/>
                <w:szCs w:val="8"/>
                <w:color w:val="auto"/>
              </w:rPr>
              <w:t>Increase in customer obligations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38.9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30.0</w:t>
            </w:r>
          </w:p>
        </w:tc>
      </w:tr>
      <w:tr>
        <w:trPr>
          <w:trHeight w:val="117"/>
        </w:trPr>
        <w:tc>
          <w:tcPr>
            <w:tcW w:w="7840" w:type="dxa"/>
            <w:vAlign w:val="bottom"/>
            <w:gridSpan w:val="2"/>
          </w:tcPr>
          <w:p>
            <w:pPr>
              <w:ind w:left="280"/>
              <w:spacing w:after="0"/>
              <w:rPr>
                <w:sz w:val="20"/>
                <w:szCs w:val="20"/>
                <w:color w:val="auto"/>
              </w:rPr>
            </w:pPr>
            <w:r>
              <w:rPr>
                <w:rFonts w:ascii="Arial" w:cs="Arial" w:eastAsia="Arial" w:hAnsi="Arial"/>
                <w:sz w:val="8"/>
                <w:szCs w:val="8"/>
                <w:color w:val="auto"/>
              </w:rPr>
              <w:t>Increase in prepaid and other current assets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(27.5)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(31.1)</w:t>
            </w:r>
          </w:p>
        </w:tc>
      </w:tr>
      <w:tr>
        <w:trPr>
          <w:trHeight w:val="117"/>
        </w:trPr>
        <w:tc>
          <w:tcPr>
            <w:tcW w:w="7840" w:type="dxa"/>
            <w:vAlign w:val="bottom"/>
            <w:gridSpan w:val="2"/>
          </w:tcPr>
          <w:p>
            <w:pPr>
              <w:ind w:left="280"/>
              <w:spacing w:after="0"/>
              <w:rPr>
                <w:sz w:val="20"/>
                <w:szCs w:val="20"/>
                <w:color w:val="auto"/>
              </w:rPr>
            </w:pPr>
            <w:r>
              <w:rPr>
                <w:rFonts w:ascii="Arial" w:cs="Arial" w:eastAsia="Arial" w:hAnsi="Arial"/>
                <w:sz w:val="8"/>
                <w:szCs w:val="8"/>
                <w:color w:val="auto"/>
              </w:rPr>
              <w:t>Other</w:t>
            </w:r>
          </w:p>
        </w:tc>
        <w:tc>
          <w:tcPr>
            <w:tcW w:w="10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(10.9)</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(13.9)</w:t>
            </w:r>
          </w:p>
        </w:tc>
      </w:tr>
      <w:tr>
        <w:trPr>
          <w:trHeight w:val="109"/>
        </w:trPr>
        <w:tc>
          <w:tcPr>
            <w:tcW w:w="7840" w:type="dxa"/>
            <w:vAlign w:val="bottom"/>
            <w:gridSpan w:val="2"/>
          </w:tcPr>
          <w:p>
            <w:pPr>
              <w:ind w:left="280"/>
              <w:spacing w:after="0"/>
              <w:rPr>
                <w:sz w:val="20"/>
                <w:szCs w:val="20"/>
                <w:color w:val="auto"/>
              </w:rPr>
            </w:pPr>
            <w:r>
              <w:rPr>
                <w:rFonts w:ascii="Arial" w:cs="Arial" w:eastAsia="Arial" w:hAnsi="Arial"/>
                <w:sz w:val="8"/>
                <w:szCs w:val="8"/>
                <w:color w:val="auto"/>
              </w:rPr>
              <w:t>Net cash provided by (used in) operating activities</w:t>
            </w:r>
          </w:p>
        </w:tc>
        <w:tc>
          <w:tcPr>
            <w:tcW w:w="10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(60.2)</w:t>
            </w: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28.7</w:t>
            </w:r>
          </w:p>
        </w:tc>
      </w:tr>
      <w:tr>
        <w:trPr>
          <w:trHeight w:val="134"/>
        </w:trPr>
        <w:tc>
          <w:tcPr>
            <w:tcW w:w="7840" w:type="dxa"/>
            <w:vAlign w:val="bottom"/>
            <w:gridSpan w:val="2"/>
          </w:tcPr>
          <w:p>
            <w:pPr>
              <w:spacing w:after="0"/>
              <w:rPr>
                <w:sz w:val="20"/>
                <w:szCs w:val="20"/>
                <w:color w:val="auto"/>
              </w:rPr>
            </w:pPr>
            <w:r>
              <w:rPr>
                <w:rFonts w:ascii="Arial" w:cs="Arial" w:eastAsia="Arial" w:hAnsi="Arial"/>
                <w:sz w:val="8"/>
                <w:szCs w:val="8"/>
                <w:b w:val="1"/>
                <w:bCs w:val="1"/>
                <w:color w:val="auto"/>
              </w:rPr>
              <w:t>Cash flows from investing activities:</w:t>
            </w: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13"/>
        </w:trPr>
        <w:tc>
          <w:tcPr>
            <w:tcW w:w="7840" w:type="dxa"/>
            <w:vAlign w:val="bottom"/>
            <w:gridSpan w:val="2"/>
          </w:tcPr>
          <w:p>
            <w:pPr>
              <w:spacing w:after="0"/>
              <w:rPr>
                <w:sz w:val="20"/>
                <w:szCs w:val="20"/>
                <w:color w:val="auto"/>
              </w:rPr>
            </w:pPr>
            <w:r>
              <w:rPr>
                <w:rFonts w:ascii="Arial" w:cs="Arial" w:eastAsia="Arial" w:hAnsi="Arial"/>
                <w:sz w:val="8"/>
                <w:szCs w:val="8"/>
                <w:color w:val="auto"/>
              </w:rPr>
              <w:t>Capital expenditures</w:t>
            </w:r>
          </w:p>
        </w:tc>
        <w:tc>
          <w:tcPr>
            <w:tcW w:w="102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(58.9)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(40.1)</w:t>
            </w:r>
          </w:p>
        </w:tc>
      </w:tr>
      <w:tr>
        <w:trPr>
          <w:trHeight w:val="117"/>
        </w:trPr>
        <w:tc>
          <w:tcPr>
            <w:tcW w:w="7840" w:type="dxa"/>
            <w:vAlign w:val="bottom"/>
            <w:gridSpan w:val="2"/>
          </w:tcPr>
          <w:p>
            <w:pPr>
              <w:spacing w:after="0"/>
              <w:rPr>
                <w:sz w:val="20"/>
                <w:szCs w:val="20"/>
                <w:color w:val="auto"/>
              </w:rPr>
            </w:pPr>
            <w:r>
              <w:rPr>
                <w:rFonts w:ascii="Arial" w:cs="Arial" w:eastAsia="Arial" w:hAnsi="Arial"/>
                <w:sz w:val="8"/>
                <w:szCs w:val="8"/>
                <w:color w:val="auto"/>
              </w:rPr>
              <w:t>Acquisitions, net of cash acquired</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(5.3)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17"/>
        </w:trPr>
        <w:tc>
          <w:tcPr>
            <w:tcW w:w="7840" w:type="dxa"/>
            <w:vAlign w:val="bottom"/>
            <w:gridSpan w:val="2"/>
          </w:tcPr>
          <w:p>
            <w:pPr>
              <w:spacing w:after="0"/>
              <w:rPr>
                <w:sz w:val="20"/>
                <w:szCs w:val="20"/>
                <w:color w:val="auto"/>
              </w:rPr>
            </w:pPr>
            <w:r>
              <w:rPr>
                <w:rFonts w:ascii="Arial" w:cs="Arial" w:eastAsia="Arial" w:hAnsi="Arial"/>
                <w:sz w:val="8"/>
                <w:szCs w:val="8"/>
                <w:color w:val="auto"/>
              </w:rPr>
              <w:t>Marketable securities:</w:t>
            </w: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Purchases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(12.7)</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(18.8)</w:t>
            </w: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Sales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14.3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18.4</w:t>
            </w:r>
          </w:p>
        </w:tc>
      </w:tr>
      <w:tr>
        <w:trPr>
          <w:trHeight w:val="117"/>
        </w:trPr>
        <w:tc>
          <w:tcPr>
            <w:tcW w:w="7840" w:type="dxa"/>
            <w:vAlign w:val="bottom"/>
            <w:gridSpan w:val="2"/>
          </w:tcPr>
          <w:p>
            <w:pPr>
              <w:spacing w:after="0"/>
              <w:rPr>
                <w:sz w:val="20"/>
                <w:szCs w:val="20"/>
                <w:color w:val="auto"/>
              </w:rPr>
            </w:pPr>
            <w:r>
              <w:rPr>
                <w:rFonts w:ascii="Arial" w:cs="Arial" w:eastAsia="Arial" w:hAnsi="Arial"/>
                <w:sz w:val="8"/>
                <w:szCs w:val="8"/>
                <w:color w:val="auto"/>
              </w:rPr>
              <w:t>Cash proceeds from sale of property and equipment</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2.6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3.3</w:t>
            </w:r>
          </w:p>
        </w:tc>
      </w:tr>
      <w:tr>
        <w:trPr>
          <w:trHeight w:val="117"/>
        </w:trPr>
        <w:tc>
          <w:tcPr>
            <w:tcW w:w="7840" w:type="dxa"/>
            <w:vAlign w:val="bottom"/>
            <w:gridSpan w:val="2"/>
          </w:tcPr>
          <w:p>
            <w:pPr>
              <w:spacing w:after="0"/>
              <w:rPr>
                <w:sz w:val="20"/>
                <w:szCs w:val="20"/>
                <w:color w:val="auto"/>
              </w:rPr>
            </w:pPr>
            <w:r>
              <w:rPr>
                <w:rFonts w:ascii="Arial" w:cs="Arial" w:eastAsia="Arial" w:hAnsi="Arial"/>
                <w:sz w:val="8"/>
                <w:szCs w:val="8"/>
                <w:color w:val="auto"/>
              </w:rPr>
              <w:t>Net change in loans held for investment</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1.5</w:t>
            </w:r>
          </w:p>
        </w:tc>
      </w:tr>
      <w:tr>
        <w:trPr>
          <w:trHeight w:val="117"/>
        </w:trPr>
        <w:tc>
          <w:tcPr>
            <w:tcW w:w="7840" w:type="dxa"/>
            <w:vAlign w:val="bottom"/>
            <w:gridSpan w:val="2"/>
          </w:tcPr>
          <w:p>
            <w:pPr>
              <w:spacing w:after="0"/>
              <w:rPr>
                <w:sz w:val="20"/>
                <w:szCs w:val="20"/>
                <w:color w:val="auto"/>
              </w:rPr>
            </w:pPr>
            <w:r>
              <w:rPr>
                <w:rFonts w:ascii="Arial" w:cs="Arial" w:eastAsia="Arial" w:hAnsi="Arial"/>
                <w:sz w:val="8"/>
                <w:szCs w:val="8"/>
                <w:color w:val="auto"/>
              </w:rPr>
              <w:t>Net change in economic hedges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9.0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(1.2)</w:t>
            </w:r>
          </w:p>
        </w:tc>
      </w:tr>
      <w:tr>
        <w:trPr>
          <w:trHeight w:val="117"/>
        </w:trPr>
        <w:tc>
          <w:tcPr>
            <w:tcW w:w="7840" w:type="dxa"/>
            <w:vAlign w:val="bottom"/>
            <w:gridSpan w:val="2"/>
          </w:tcPr>
          <w:p>
            <w:pPr>
              <w:spacing w:after="0"/>
              <w:rPr>
                <w:sz w:val="20"/>
                <w:szCs w:val="20"/>
                <w:color w:val="auto"/>
              </w:rPr>
            </w:pPr>
            <w:r>
              <w:rPr>
                <w:rFonts w:ascii="Arial" w:cs="Arial" w:eastAsia="Arial" w:hAnsi="Arial"/>
                <w:sz w:val="8"/>
                <w:szCs w:val="8"/>
                <w:color w:val="auto"/>
              </w:rPr>
              <w:t>Other</w:t>
            </w:r>
          </w:p>
        </w:tc>
        <w:tc>
          <w:tcPr>
            <w:tcW w:w="10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0.7</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0.7</w:t>
            </w:r>
          </w:p>
        </w:tc>
      </w:tr>
      <w:tr>
        <w:trPr>
          <w:trHeight w:val="109"/>
        </w:trPr>
        <w:tc>
          <w:tcPr>
            <w:tcW w:w="7840" w:type="dxa"/>
            <w:vAlign w:val="bottom"/>
            <w:gridSpan w:val="2"/>
          </w:tcPr>
          <w:p>
            <w:pPr>
              <w:ind w:left="280"/>
              <w:spacing w:after="0"/>
              <w:rPr>
                <w:sz w:val="20"/>
                <w:szCs w:val="20"/>
                <w:color w:val="auto"/>
              </w:rPr>
            </w:pPr>
            <w:r>
              <w:rPr>
                <w:rFonts w:ascii="Arial" w:cs="Arial" w:eastAsia="Arial" w:hAnsi="Arial"/>
                <w:sz w:val="8"/>
                <w:szCs w:val="8"/>
                <w:color w:val="auto"/>
              </w:rPr>
              <w:t>Net cash used in investing activities</w:t>
            </w:r>
          </w:p>
        </w:tc>
        <w:tc>
          <w:tcPr>
            <w:tcW w:w="10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(48.7)</w:t>
            </w: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(36.2)</w:t>
            </w:r>
          </w:p>
        </w:tc>
      </w:tr>
      <w:tr>
        <w:trPr>
          <w:trHeight w:val="134"/>
        </w:trPr>
        <w:tc>
          <w:tcPr>
            <w:tcW w:w="7840" w:type="dxa"/>
            <w:vAlign w:val="bottom"/>
            <w:gridSpan w:val="2"/>
          </w:tcPr>
          <w:p>
            <w:pPr>
              <w:spacing w:after="0"/>
              <w:rPr>
                <w:sz w:val="20"/>
                <w:szCs w:val="20"/>
                <w:color w:val="auto"/>
              </w:rPr>
            </w:pPr>
            <w:r>
              <w:rPr>
                <w:rFonts w:ascii="Arial" w:cs="Arial" w:eastAsia="Arial" w:hAnsi="Arial"/>
                <w:sz w:val="8"/>
                <w:szCs w:val="8"/>
                <w:b w:val="1"/>
                <w:bCs w:val="1"/>
                <w:color w:val="auto"/>
              </w:rPr>
              <w:t>Cash flows from financing activities:</w:t>
            </w: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13"/>
        </w:trPr>
        <w:tc>
          <w:tcPr>
            <w:tcW w:w="7840" w:type="dxa"/>
            <w:vAlign w:val="bottom"/>
            <w:gridSpan w:val="2"/>
          </w:tcPr>
          <w:p>
            <w:pPr>
              <w:spacing w:after="0"/>
              <w:rPr>
                <w:sz w:val="20"/>
                <w:szCs w:val="20"/>
                <w:color w:val="auto"/>
              </w:rPr>
            </w:pPr>
            <w:r>
              <w:rPr>
                <w:rFonts w:ascii="Arial" w:cs="Arial" w:eastAsia="Arial" w:hAnsi="Arial"/>
                <w:sz w:val="8"/>
                <w:szCs w:val="8"/>
                <w:color w:val="auto"/>
              </w:rPr>
              <w:t>Borrowings (repayments) of debt:</w:t>
            </w: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Short-term borrowings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(16.5)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(11.3)</w:t>
            </w: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Long-term revolving credit facilities:</w:t>
            </w: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17"/>
        </w:trPr>
        <w:tc>
          <w:tcPr>
            <w:tcW w:w="7840" w:type="dxa"/>
            <w:vAlign w:val="bottom"/>
            <w:gridSpan w:val="2"/>
          </w:tcPr>
          <w:p>
            <w:pPr>
              <w:ind w:left="280"/>
              <w:spacing w:after="0"/>
              <w:rPr>
                <w:sz w:val="20"/>
                <w:szCs w:val="20"/>
                <w:color w:val="auto"/>
              </w:rPr>
            </w:pPr>
            <w:r>
              <w:rPr>
                <w:rFonts w:ascii="Arial" w:cs="Arial" w:eastAsia="Arial" w:hAnsi="Arial"/>
                <w:sz w:val="8"/>
                <w:szCs w:val="8"/>
                <w:color w:val="auto"/>
              </w:rPr>
              <w:t>Borrowings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3,620.0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4,589.1</w:t>
            </w:r>
          </w:p>
        </w:tc>
      </w:tr>
      <w:tr>
        <w:trPr>
          <w:trHeight w:val="117"/>
        </w:trPr>
        <w:tc>
          <w:tcPr>
            <w:tcW w:w="7840" w:type="dxa"/>
            <w:vAlign w:val="bottom"/>
            <w:gridSpan w:val="2"/>
          </w:tcPr>
          <w:p>
            <w:pPr>
              <w:ind w:left="280"/>
              <w:spacing w:after="0"/>
              <w:rPr>
                <w:sz w:val="20"/>
                <w:szCs w:val="20"/>
                <w:color w:val="auto"/>
              </w:rPr>
            </w:pPr>
            <w:r>
              <w:rPr>
                <w:rFonts w:ascii="Arial" w:cs="Arial" w:eastAsia="Arial" w:hAnsi="Arial"/>
                <w:sz w:val="8"/>
                <w:szCs w:val="8"/>
                <w:color w:val="auto"/>
              </w:rPr>
              <w:t>Repayments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(3,627.0)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(4,628.3)</w:t>
            </w: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Other long-term debt:</w:t>
            </w: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17"/>
        </w:trPr>
        <w:tc>
          <w:tcPr>
            <w:tcW w:w="7840" w:type="dxa"/>
            <w:vAlign w:val="bottom"/>
            <w:gridSpan w:val="2"/>
          </w:tcPr>
          <w:p>
            <w:pPr>
              <w:ind w:left="280"/>
              <w:spacing w:after="0"/>
              <w:rPr>
                <w:sz w:val="20"/>
                <w:szCs w:val="20"/>
                <w:color w:val="auto"/>
              </w:rPr>
            </w:pPr>
            <w:r>
              <w:rPr>
                <w:rFonts w:ascii="Arial" w:cs="Arial" w:eastAsia="Arial" w:hAnsi="Arial"/>
                <w:sz w:val="8"/>
                <w:szCs w:val="8"/>
                <w:color w:val="auto"/>
              </w:rPr>
              <w:t>Borrowings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8.1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5.6</w:t>
            </w:r>
          </w:p>
        </w:tc>
      </w:tr>
      <w:tr>
        <w:trPr>
          <w:trHeight w:val="117"/>
        </w:trPr>
        <w:tc>
          <w:tcPr>
            <w:tcW w:w="7840" w:type="dxa"/>
            <w:vAlign w:val="bottom"/>
            <w:gridSpan w:val="2"/>
          </w:tcPr>
          <w:p>
            <w:pPr>
              <w:ind w:left="280"/>
              <w:spacing w:after="0"/>
              <w:rPr>
                <w:sz w:val="20"/>
                <w:szCs w:val="20"/>
                <w:color w:val="auto"/>
              </w:rPr>
            </w:pPr>
            <w:r>
              <w:rPr>
                <w:rFonts w:ascii="Arial" w:cs="Arial" w:eastAsia="Arial" w:hAnsi="Arial"/>
                <w:sz w:val="8"/>
                <w:szCs w:val="8"/>
                <w:color w:val="auto"/>
              </w:rPr>
              <w:t>Repayments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(28.4)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(27.5)</w:t>
            </w:r>
          </w:p>
        </w:tc>
      </w:tr>
      <w:tr>
        <w:trPr>
          <w:trHeight w:val="117"/>
        </w:trPr>
        <w:tc>
          <w:tcPr>
            <w:tcW w:w="7840" w:type="dxa"/>
            <w:vAlign w:val="bottom"/>
            <w:gridSpan w:val="2"/>
          </w:tcPr>
          <w:p>
            <w:pPr>
              <w:spacing w:after="0"/>
              <w:rPr>
                <w:sz w:val="20"/>
                <w:szCs w:val="20"/>
                <w:color w:val="auto"/>
              </w:rPr>
            </w:pPr>
            <w:r>
              <w:rPr>
                <w:rFonts w:ascii="Arial" w:cs="Arial" w:eastAsia="Arial" w:hAnsi="Arial"/>
                <w:sz w:val="8"/>
                <w:szCs w:val="8"/>
                <w:color w:val="auto"/>
              </w:rPr>
              <w:t>Acquisition of noncontrolling interest</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(6.6)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17"/>
        </w:trPr>
        <w:tc>
          <w:tcPr>
            <w:tcW w:w="7840" w:type="dxa"/>
            <w:vAlign w:val="bottom"/>
            <w:gridSpan w:val="2"/>
          </w:tcPr>
          <w:p>
            <w:pPr>
              <w:spacing w:after="0"/>
              <w:rPr>
                <w:sz w:val="20"/>
                <w:szCs w:val="20"/>
                <w:color w:val="auto"/>
              </w:rPr>
            </w:pPr>
            <w:r>
              <w:rPr>
                <w:rFonts w:ascii="Arial" w:cs="Arial" w:eastAsia="Arial" w:hAnsi="Arial"/>
                <w:sz w:val="8"/>
                <w:szCs w:val="8"/>
                <w:color w:val="auto"/>
              </w:rPr>
              <w:t>Debt financing costs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(0.8)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(20.6)</w:t>
            </w:r>
          </w:p>
        </w:tc>
      </w:tr>
      <w:tr>
        <w:trPr>
          <w:trHeight w:val="117"/>
        </w:trPr>
        <w:tc>
          <w:tcPr>
            <w:tcW w:w="7840" w:type="dxa"/>
            <w:vAlign w:val="bottom"/>
            <w:gridSpan w:val="2"/>
          </w:tcPr>
          <w:p>
            <w:pPr>
              <w:spacing w:after="0"/>
              <w:rPr>
                <w:sz w:val="20"/>
                <w:szCs w:val="20"/>
                <w:color w:val="auto"/>
              </w:rPr>
            </w:pPr>
            <w:r>
              <w:rPr>
                <w:rFonts w:ascii="Arial" w:cs="Arial" w:eastAsia="Arial" w:hAnsi="Arial"/>
                <w:sz w:val="8"/>
                <w:szCs w:val="8"/>
                <w:color w:val="auto"/>
              </w:rPr>
              <w:t>Repurchase shares of Brink's common stock</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(44.8)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(30.2)</w:t>
            </w:r>
          </w:p>
        </w:tc>
      </w:tr>
      <w:tr>
        <w:trPr>
          <w:trHeight w:val="117"/>
        </w:trPr>
        <w:tc>
          <w:tcPr>
            <w:tcW w:w="7840" w:type="dxa"/>
            <w:vAlign w:val="bottom"/>
            <w:gridSpan w:val="2"/>
          </w:tcPr>
          <w:p>
            <w:pPr>
              <w:spacing w:after="0"/>
              <w:rPr>
                <w:sz w:val="20"/>
                <w:szCs w:val="20"/>
                <w:color w:val="auto"/>
              </w:rPr>
            </w:pPr>
            <w:r>
              <w:rPr>
                <w:rFonts w:ascii="Arial" w:cs="Arial" w:eastAsia="Arial" w:hAnsi="Arial"/>
                <w:sz w:val="8"/>
                <w:szCs w:val="8"/>
                <w:color w:val="auto"/>
              </w:rPr>
              <w:t>Dividends to:</w:t>
            </w: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Shareholders of Brink’s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(10.4)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(10.5)</w:t>
            </w:r>
          </w:p>
        </w:tc>
      </w:tr>
      <w:tr>
        <w:trPr>
          <w:trHeight w:val="117"/>
        </w:trPr>
        <w:tc>
          <w:tcPr>
            <w:tcW w:w="7840" w:type="dxa"/>
            <w:vAlign w:val="bottom"/>
            <w:gridSpan w:val="2"/>
          </w:tcPr>
          <w:p>
            <w:pPr>
              <w:ind w:left="140"/>
              <w:spacing w:after="0"/>
              <w:rPr>
                <w:sz w:val="20"/>
                <w:szCs w:val="20"/>
                <w:color w:val="auto"/>
              </w:rPr>
            </w:pPr>
            <w:r>
              <w:rPr>
                <w:rFonts w:ascii="Arial" w:cs="Arial" w:eastAsia="Arial" w:hAnsi="Arial"/>
                <w:sz w:val="8"/>
                <w:szCs w:val="8"/>
                <w:color w:val="auto"/>
              </w:rPr>
              <w:t>Noncontrolling interests in subsidiaries</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(0.4)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(0.2)</w:t>
            </w:r>
          </w:p>
        </w:tc>
      </w:tr>
      <w:tr>
        <w:trPr>
          <w:trHeight w:val="117"/>
        </w:trPr>
        <w:tc>
          <w:tcPr>
            <w:tcW w:w="7840" w:type="dxa"/>
            <w:vAlign w:val="bottom"/>
            <w:gridSpan w:val="2"/>
          </w:tcPr>
          <w:p>
            <w:pPr>
              <w:spacing w:after="0"/>
              <w:rPr>
                <w:sz w:val="20"/>
                <w:szCs w:val="20"/>
                <w:color w:val="auto"/>
              </w:rPr>
            </w:pPr>
            <w:r>
              <w:rPr>
                <w:rFonts w:ascii="Arial" w:cs="Arial" w:eastAsia="Arial" w:hAnsi="Arial"/>
                <w:sz w:val="8"/>
                <w:szCs w:val="8"/>
                <w:color w:val="auto"/>
              </w:rPr>
              <w:t>Proceeds from exercise of stock options</w:t>
            </w:r>
          </w:p>
        </w:tc>
        <w:tc>
          <w:tcPr>
            <w:tcW w:w="1020" w:type="dxa"/>
            <w:vAlign w:val="bottom"/>
          </w:tcPr>
          <w:p>
            <w:pPr>
              <w:spacing w:after="0"/>
              <w:rPr>
                <w:sz w:val="10"/>
                <w:szCs w:val="10"/>
                <w:color w:val="auto"/>
              </w:rPr>
            </w:pPr>
          </w:p>
        </w:tc>
        <w:tc>
          <w:tcPr>
            <w:tcW w:w="1380" w:type="dxa"/>
            <w:vAlign w:val="bottom"/>
            <w:gridSpan w:val="5"/>
          </w:tcPr>
          <w:p>
            <w:pPr>
              <w:jc w:val="right"/>
              <w:ind w:right="780"/>
              <w:spacing w:after="0"/>
              <w:rPr>
                <w:sz w:val="20"/>
                <w:szCs w:val="20"/>
                <w:color w:val="auto"/>
              </w:rPr>
            </w:pPr>
            <w:r>
              <w:rPr>
                <w:rFonts w:ascii="Arial" w:cs="Arial" w:eastAsia="Arial" w:hAnsi="Arial"/>
                <w:sz w:val="8"/>
                <w:szCs w:val="8"/>
                <w:color w:val="auto"/>
              </w:rPr>
              <w:t>—</w:t>
            </w:r>
          </w:p>
        </w:tc>
        <w:tc>
          <w:tcPr>
            <w:tcW w:w="1020" w:type="dxa"/>
            <w:vAlign w:val="bottom"/>
          </w:tcPr>
          <w:p>
            <w:pPr>
              <w:jc w:val="right"/>
              <w:spacing w:after="0"/>
              <w:rPr>
                <w:sz w:val="20"/>
                <w:szCs w:val="20"/>
                <w:color w:val="auto"/>
              </w:rPr>
            </w:pPr>
            <w:r>
              <w:rPr>
                <w:rFonts w:ascii="Arial" w:cs="Arial" w:eastAsia="Arial" w:hAnsi="Arial"/>
                <w:sz w:val="8"/>
                <w:szCs w:val="8"/>
                <w:color w:val="auto"/>
              </w:rPr>
              <w:t>0.2</w:t>
            </w:r>
          </w:p>
        </w:tc>
      </w:tr>
      <w:tr>
        <w:trPr>
          <w:trHeight w:val="117"/>
        </w:trPr>
        <w:tc>
          <w:tcPr>
            <w:tcW w:w="7840" w:type="dxa"/>
            <w:vAlign w:val="bottom"/>
            <w:gridSpan w:val="2"/>
          </w:tcPr>
          <w:p>
            <w:pPr>
              <w:spacing w:after="0"/>
              <w:rPr>
                <w:sz w:val="20"/>
                <w:szCs w:val="20"/>
                <w:color w:val="auto"/>
              </w:rPr>
            </w:pPr>
            <w:r>
              <w:rPr>
                <w:rFonts w:ascii="Arial" w:cs="Arial" w:eastAsia="Arial" w:hAnsi="Arial"/>
                <w:sz w:val="8"/>
                <w:szCs w:val="8"/>
                <w:color w:val="auto"/>
              </w:rPr>
              <w:t>Tax withholdings associated with share-based compensation</w:t>
            </w:r>
          </w:p>
        </w:tc>
        <w:tc>
          <w:tcPr>
            <w:tcW w:w="10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(17.3)</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(18.1)</w:t>
            </w:r>
          </w:p>
        </w:tc>
      </w:tr>
      <w:tr>
        <w:trPr>
          <w:trHeight w:val="112"/>
        </w:trPr>
        <w:tc>
          <w:tcPr>
            <w:tcW w:w="7840" w:type="dxa"/>
            <w:vAlign w:val="bottom"/>
            <w:gridSpan w:val="2"/>
          </w:tcPr>
          <w:p>
            <w:pPr>
              <w:ind w:left="280"/>
              <w:spacing w:after="0"/>
              <w:rPr>
                <w:sz w:val="20"/>
                <w:szCs w:val="20"/>
                <w:color w:val="auto"/>
              </w:rPr>
            </w:pPr>
            <w:r>
              <w:rPr>
                <w:rFonts w:ascii="Arial" w:cs="Arial" w:eastAsia="Arial" w:hAnsi="Arial"/>
                <w:sz w:val="8"/>
                <w:szCs w:val="8"/>
                <w:color w:val="auto"/>
              </w:rPr>
              <w:t>Net cash used in financing activities</w:t>
            </w:r>
          </w:p>
        </w:tc>
        <w:tc>
          <w:tcPr>
            <w:tcW w:w="10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(124.1)</w:t>
            </w: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(151.8)</w:t>
            </w:r>
          </w:p>
        </w:tc>
      </w:tr>
      <w:tr>
        <w:trPr>
          <w:trHeight w:val="127"/>
        </w:trPr>
        <w:tc>
          <w:tcPr>
            <w:tcW w:w="7840" w:type="dxa"/>
            <w:vAlign w:val="bottom"/>
            <w:gridSpan w:val="2"/>
          </w:tcPr>
          <w:p>
            <w:pPr>
              <w:spacing w:after="0"/>
              <w:rPr>
                <w:sz w:val="20"/>
                <w:szCs w:val="20"/>
                <w:color w:val="auto"/>
              </w:rPr>
            </w:pPr>
            <w:r>
              <w:rPr>
                <w:rFonts w:ascii="Arial" w:cs="Arial" w:eastAsia="Arial" w:hAnsi="Arial"/>
                <w:sz w:val="8"/>
                <w:szCs w:val="8"/>
                <w:color w:val="auto"/>
              </w:rPr>
              <w:t>Effect of exchange rate changes on cash</w:t>
            </w:r>
          </w:p>
        </w:tc>
        <w:tc>
          <w:tcPr>
            <w:tcW w:w="10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32.9</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(12.1)</w:t>
            </w:r>
          </w:p>
        </w:tc>
      </w:tr>
      <w:tr>
        <w:trPr>
          <w:trHeight w:val="106"/>
        </w:trPr>
        <w:tc>
          <w:tcPr>
            <w:tcW w:w="7840" w:type="dxa"/>
            <w:vAlign w:val="bottom"/>
            <w:gridSpan w:val="2"/>
          </w:tcPr>
          <w:p>
            <w:pPr>
              <w:spacing w:after="0"/>
              <w:rPr>
                <w:sz w:val="20"/>
                <w:szCs w:val="20"/>
                <w:color w:val="auto"/>
              </w:rPr>
            </w:pPr>
            <w:r>
              <w:rPr>
                <w:rFonts w:ascii="Arial" w:cs="Arial" w:eastAsia="Arial" w:hAnsi="Arial"/>
                <w:sz w:val="8"/>
                <w:szCs w:val="8"/>
                <w:color w:val="auto"/>
              </w:rPr>
              <w:t>Cash, cash equivalents and restricted cash:</w:t>
            </w: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17"/>
        </w:trPr>
        <w:tc>
          <w:tcPr>
            <w:tcW w:w="7840" w:type="dxa"/>
            <w:vAlign w:val="bottom"/>
            <w:gridSpan w:val="2"/>
          </w:tcPr>
          <w:p>
            <w:pPr>
              <w:ind w:left="120"/>
              <w:spacing w:after="0"/>
              <w:rPr>
                <w:sz w:val="20"/>
                <w:szCs w:val="20"/>
                <w:color w:val="auto"/>
              </w:rPr>
            </w:pPr>
            <w:r>
              <w:rPr>
                <w:rFonts w:ascii="Arial" w:cs="Arial" w:eastAsia="Arial" w:hAnsi="Arial"/>
                <w:sz w:val="8"/>
                <w:szCs w:val="8"/>
                <w:color w:val="auto"/>
              </w:rPr>
              <w:t>Decrease</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(200.1)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(171.4)</w:t>
            </w:r>
          </w:p>
        </w:tc>
      </w:tr>
      <w:tr>
        <w:trPr>
          <w:trHeight w:val="117"/>
        </w:trPr>
        <w:tc>
          <w:tcPr>
            <w:tcW w:w="7840" w:type="dxa"/>
            <w:vAlign w:val="bottom"/>
            <w:gridSpan w:val="2"/>
          </w:tcPr>
          <w:p>
            <w:pPr>
              <w:ind w:left="120"/>
              <w:spacing w:after="0"/>
              <w:rPr>
                <w:sz w:val="20"/>
                <w:szCs w:val="20"/>
                <w:color w:val="auto"/>
              </w:rPr>
            </w:pPr>
            <w:r>
              <w:rPr>
                <w:rFonts w:ascii="Arial" w:cs="Arial" w:eastAsia="Arial" w:hAnsi="Arial"/>
                <w:sz w:val="8"/>
                <w:szCs w:val="8"/>
                <w:color w:val="auto"/>
              </w:rPr>
              <w:t>Balance at beginning of period</w:t>
            </w:r>
          </w:p>
        </w:tc>
        <w:tc>
          <w:tcPr>
            <w:tcW w:w="10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1,840.4</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2,266.9</w:t>
            </w:r>
          </w:p>
        </w:tc>
      </w:tr>
      <w:tr>
        <w:trPr>
          <w:trHeight w:val="112"/>
        </w:trPr>
        <w:tc>
          <w:tcPr>
            <w:tcW w:w="7840" w:type="dxa"/>
            <w:vAlign w:val="bottom"/>
            <w:gridSpan w:val="2"/>
          </w:tcPr>
          <w:p>
            <w:pPr>
              <w:ind w:left="300"/>
              <w:spacing w:after="0"/>
              <w:rPr>
                <w:sz w:val="20"/>
                <w:szCs w:val="20"/>
                <w:color w:val="auto"/>
              </w:rPr>
            </w:pPr>
            <w:r>
              <w:rPr>
                <w:rFonts w:ascii="Arial" w:cs="Arial" w:eastAsia="Arial" w:hAnsi="Arial"/>
                <w:sz w:val="8"/>
                <w:szCs w:val="8"/>
                <w:color w:val="auto"/>
              </w:rPr>
              <w:t>Balance at end of period</w:t>
            </w:r>
          </w:p>
        </w:tc>
        <w:tc>
          <w:tcPr>
            <w:tcW w:w="1020" w:type="dxa"/>
            <w:vAlign w:val="bottom"/>
            <w:tcBorders>
              <w:bottom w:val="single" w:sz="8" w:color="auto"/>
            </w:tcBorders>
          </w:tcPr>
          <w:p>
            <w:pPr>
              <w:jc w:val="right"/>
              <w:ind w:right="947"/>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1,640.3</w:t>
            </w: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2,095.5</w:t>
            </w:r>
          </w:p>
        </w:tc>
      </w:tr>
      <w:tr>
        <w:trPr>
          <w:trHeight w:val="329"/>
        </w:trPr>
        <w:tc>
          <w:tcPr>
            <w:tcW w:w="7840" w:type="dxa"/>
            <w:vAlign w:val="bottom"/>
            <w:gridSpan w:val="2"/>
          </w:tcPr>
          <w:p>
            <w:pPr>
              <w:ind w:left="3160"/>
              <w:spacing w:after="0"/>
              <w:rPr>
                <w:sz w:val="20"/>
                <w:szCs w:val="20"/>
                <w:color w:val="auto"/>
              </w:rPr>
            </w:pPr>
            <w:r>
              <w:rPr>
                <w:rFonts w:ascii="Arial" w:cs="Arial" w:eastAsia="Arial" w:hAnsi="Arial"/>
                <w:sz w:val="8"/>
                <w:szCs w:val="8"/>
                <w:b w:val="1"/>
                <w:bCs w:val="1"/>
                <w:color w:val="auto"/>
              </w:rPr>
              <w:t>Supplemental Cash Flow Information</w:t>
            </w:r>
          </w:p>
        </w:tc>
        <w:tc>
          <w:tcPr>
            <w:tcW w:w="1020" w:type="dxa"/>
            <w:vAlign w:val="bottom"/>
          </w:tcPr>
          <w:p>
            <w:pPr>
              <w:spacing w:after="0"/>
              <w:rPr>
                <w:sz w:val="24"/>
                <w:szCs w:val="24"/>
                <w:color w:val="auto"/>
              </w:rPr>
            </w:pPr>
          </w:p>
        </w:tc>
        <w:tc>
          <w:tcPr>
            <w:tcW w:w="1380" w:type="dxa"/>
            <w:vAlign w:val="bottom"/>
            <w:gridSpan w:val="5"/>
          </w:tcPr>
          <w:p>
            <w:pPr>
              <w:ind w:left="80"/>
              <w:spacing w:after="0"/>
              <w:rPr>
                <w:sz w:val="20"/>
                <w:szCs w:val="20"/>
                <w:color w:val="auto"/>
              </w:rPr>
            </w:pPr>
            <w:r>
              <w:rPr>
                <w:rFonts w:ascii="Arial" w:cs="Arial" w:eastAsia="Arial" w:hAnsi="Arial"/>
                <w:sz w:val="8"/>
                <w:szCs w:val="8"/>
                <w:color w:val="auto"/>
              </w:rPr>
              <w:t>Three Months Ended March 31,</w:t>
            </w:r>
          </w:p>
        </w:tc>
        <w:tc>
          <w:tcPr>
            <w:tcW w:w="1020" w:type="dxa"/>
            <w:vAlign w:val="bottom"/>
          </w:tcPr>
          <w:p>
            <w:pPr>
              <w:spacing w:after="0"/>
              <w:rPr>
                <w:sz w:val="24"/>
                <w:szCs w:val="24"/>
                <w:color w:val="auto"/>
              </w:rPr>
            </w:pPr>
          </w:p>
        </w:tc>
      </w:tr>
      <w:tr>
        <w:trPr>
          <w:trHeight w:val="113"/>
        </w:trPr>
        <w:tc>
          <w:tcPr>
            <w:tcW w:w="78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67"/>
              <w:spacing w:after="0"/>
              <w:rPr>
                <w:sz w:val="20"/>
                <w:szCs w:val="20"/>
                <w:color w:val="auto"/>
              </w:rPr>
            </w:pPr>
            <w:r>
              <w:rPr>
                <w:rFonts w:ascii="Arial" w:cs="Arial" w:eastAsia="Arial" w:hAnsi="Arial"/>
                <w:sz w:val="8"/>
                <w:szCs w:val="8"/>
                <w:color w:val="auto"/>
              </w:rPr>
              <w:t>2025</w:t>
            </w: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698"/>
              <w:spacing w:after="0"/>
              <w:rPr>
                <w:sz w:val="20"/>
                <w:szCs w:val="20"/>
                <w:color w:val="auto"/>
              </w:rPr>
            </w:pPr>
            <w:r>
              <w:rPr>
                <w:rFonts w:ascii="Arial" w:cs="Arial" w:eastAsia="Arial" w:hAnsi="Arial"/>
                <w:sz w:val="8"/>
                <w:szCs w:val="8"/>
                <w:color w:val="auto"/>
              </w:rPr>
              <w:t>2026</w:t>
            </w:r>
          </w:p>
        </w:tc>
      </w:tr>
      <w:tr>
        <w:trPr>
          <w:trHeight w:val="109"/>
        </w:trPr>
        <w:tc>
          <w:tcPr>
            <w:tcW w:w="7820" w:type="dxa"/>
            <w:vAlign w:val="bottom"/>
          </w:tcPr>
          <w:p>
            <w:pPr>
              <w:spacing w:after="0"/>
              <w:rPr>
                <w:sz w:val="20"/>
                <w:szCs w:val="20"/>
                <w:color w:val="auto"/>
              </w:rPr>
            </w:pPr>
            <w:r>
              <w:rPr>
                <w:rFonts w:ascii="Arial" w:cs="Arial" w:eastAsia="Arial" w:hAnsi="Arial"/>
                <w:sz w:val="8"/>
                <w:szCs w:val="8"/>
                <w:color w:val="auto"/>
              </w:rPr>
              <w:t>Cash paid for income taxes, net</w:t>
            </w:r>
          </w:p>
        </w:tc>
        <w:tc>
          <w:tcPr>
            <w:tcW w:w="20" w:type="dxa"/>
            <w:vAlign w:val="bottom"/>
          </w:tcPr>
          <w:p>
            <w:pPr>
              <w:spacing w:after="0"/>
              <w:rPr>
                <w:sz w:val="9"/>
                <w:szCs w:val="9"/>
                <w:color w:val="auto"/>
              </w:rPr>
            </w:pPr>
          </w:p>
        </w:tc>
        <w:tc>
          <w:tcPr>
            <w:tcW w:w="1020" w:type="dxa"/>
            <w:vAlign w:val="bottom"/>
          </w:tcPr>
          <w:p>
            <w:pPr>
              <w:jc w:val="right"/>
              <w:ind w:right="947"/>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rPr>
                <w:sz w:val="20"/>
                <w:szCs w:val="20"/>
                <w:color w:val="auto"/>
              </w:rPr>
            </w:pPr>
            <w:r>
              <w:rPr>
                <w:rFonts w:ascii="Arial" w:cs="Arial" w:eastAsia="Arial" w:hAnsi="Arial"/>
                <w:sz w:val="8"/>
                <w:szCs w:val="8"/>
                <w:color w:val="auto"/>
              </w:rPr>
              <w:t>(28.3)</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(30.4)</w:t>
            </w:r>
          </w:p>
        </w:tc>
      </w:tr>
      <w:tr>
        <w:trPr>
          <w:trHeight w:val="114"/>
        </w:trPr>
        <w:tc>
          <w:tcPr>
            <w:tcW w:w="7840" w:type="dxa"/>
            <w:vAlign w:val="bottom"/>
            <w:gridSpan w:val="2"/>
          </w:tcPr>
          <w:p>
            <w:pPr>
              <w:spacing w:after="0"/>
              <w:rPr>
                <w:sz w:val="20"/>
                <w:szCs w:val="20"/>
                <w:color w:val="auto"/>
              </w:rPr>
            </w:pPr>
            <w:r>
              <w:rPr>
                <w:rFonts w:ascii="Arial" w:cs="Arial" w:eastAsia="Arial" w:hAnsi="Arial"/>
                <w:sz w:val="8"/>
                <w:szCs w:val="8"/>
                <w:color w:val="auto"/>
              </w:rPr>
              <w:t>Cash paid for interest</w:t>
            </w:r>
          </w:p>
        </w:tc>
        <w:tc>
          <w:tcPr>
            <w:tcW w:w="102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(52.9)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(55.9)</w:t>
            </w:r>
          </w:p>
        </w:tc>
      </w:tr>
      <w:tr>
        <w:trPr>
          <w:trHeight w:val="117"/>
        </w:trPr>
        <w:tc>
          <w:tcPr>
            <w:tcW w:w="7840" w:type="dxa"/>
            <w:vAlign w:val="bottom"/>
            <w:gridSpan w:val="2"/>
          </w:tcPr>
          <w:p>
            <w:pPr>
              <w:spacing w:after="0"/>
              <w:rPr>
                <w:sz w:val="20"/>
                <w:szCs w:val="20"/>
                <w:color w:val="auto"/>
              </w:rPr>
            </w:pPr>
            <w:r>
              <w:rPr>
                <w:rFonts w:ascii="Arial" w:cs="Arial" w:eastAsia="Arial" w:hAnsi="Arial"/>
                <w:sz w:val="8"/>
                <w:szCs w:val="8"/>
                <w:color w:val="auto"/>
              </w:rPr>
              <w:t>Proceeds from lessor debt financing</w:t>
            </w:r>
          </w:p>
        </w:tc>
        <w:tc>
          <w:tcPr>
            <w:tcW w:w="10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8.1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3.2</w:t>
            </w:r>
          </w:p>
        </w:tc>
      </w:tr>
    </w:tbl>
    <w:p>
      <w:pPr>
        <w:spacing w:after="0" w:line="3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725" w:right="29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6786245</wp:posOffset>
            </wp:positionH>
            <wp:positionV relativeFrom="page">
              <wp:posOffset>88900</wp:posOffset>
            </wp:positionV>
            <wp:extent cx="577215" cy="97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77215" cy="9715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t>The Brink’s Company and subsidiaries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(In millions, except for per share amounts) </w:t>
      </w:r>
      <w:r>
        <w:rPr>
          <w:rFonts w:ascii="Arial" w:cs="Arial" w:eastAsia="Arial" w:hAnsi="Arial"/>
          <w:sz w:val="12"/>
          <w:szCs w:val="12"/>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First-Quarter 2026 vs. 2025</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40" w:type="dxa"/>
            <w:vAlign w:val="bottom"/>
            <w:tcBorders>
              <w:top w:val="single" w:sz="8" w:color="auto"/>
              <w:left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left="172"/>
              <w:spacing w:after="0"/>
              <w:rPr>
                <w:sz w:val="20"/>
                <w:szCs w:val="20"/>
                <w:color w:val="auto"/>
              </w:rPr>
            </w:pPr>
            <w:r>
              <w:rPr>
                <w:rFonts w:ascii="Arial" w:cs="Arial" w:eastAsia="Arial" w:hAnsi="Arial"/>
                <w:sz w:val="10"/>
                <w:szCs w:val="10"/>
                <w:color w:val="auto"/>
                <w:w w:val="97"/>
              </w:rPr>
              <w:t>Impact of</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ind w:left="620"/>
              <w:spacing w:after="0"/>
              <w:rPr>
                <w:sz w:val="20"/>
                <w:szCs w:val="20"/>
                <w:color w:val="auto"/>
              </w:rPr>
            </w:pPr>
            <w:r>
              <w:rPr>
                <w:rFonts w:ascii="Arial" w:cs="Arial" w:eastAsia="Arial" w:hAnsi="Arial"/>
                <w:sz w:val="10"/>
                <w:szCs w:val="10"/>
                <w:color w:val="auto"/>
                <w:w w:val="94"/>
              </w:rPr>
              <w:t>% Change</w:t>
            </w: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500" w:type="dxa"/>
            <w:vAlign w:val="bottom"/>
            <w:gridSpan w:val="2"/>
          </w:tcPr>
          <w:p>
            <w:pPr>
              <w:spacing w:after="0"/>
              <w:rPr>
                <w:sz w:val="20"/>
                <w:szCs w:val="20"/>
                <w:color w:val="auto"/>
              </w:rPr>
            </w:pPr>
            <w:r>
              <w:rPr>
                <w:rFonts w:ascii="Arial" w:cs="Arial" w:eastAsia="Arial" w:hAnsi="Arial"/>
                <w:sz w:val="10"/>
                <w:szCs w:val="10"/>
                <w:color w:val="auto"/>
              </w:rPr>
              <w:t>GAAP</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left="172"/>
              <w:spacing w:after="0"/>
              <w:rPr>
                <w:sz w:val="20"/>
                <w:szCs w:val="20"/>
                <w:color w:val="auto"/>
              </w:rPr>
            </w:pPr>
            <w:r>
              <w:rPr>
                <w:rFonts w:ascii="Arial" w:cs="Arial" w:eastAsia="Arial" w:hAnsi="Arial"/>
                <w:sz w:val="10"/>
                <w:szCs w:val="10"/>
                <w:color w:val="auto"/>
                <w:w w:val="96"/>
              </w:rPr>
              <w:t>Organic</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jc w:val="center"/>
              <w:ind w:left="172"/>
              <w:spacing w:after="0"/>
              <w:rPr>
                <w:sz w:val="20"/>
                <w:szCs w:val="20"/>
                <w:color w:val="auto"/>
              </w:rPr>
            </w:pPr>
            <w:r>
              <w:rPr>
                <w:rFonts w:ascii="Arial" w:cs="Arial" w:eastAsia="Arial" w:hAnsi="Arial"/>
                <w:sz w:val="10"/>
                <w:szCs w:val="10"/>
                <w:color w:val="auto"/>
                <w:w w:val="94"/>
              </w:rPr>
              <w:t>Acquisitions /</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left="152"/>
              <w:spacing w:after="0"/>
              <w:rPr>
                <w:sz w:val="20"/>
                <w:szCs w:val="20"/>
                <w:color w:val="auto"/>
              </w:rPr>
            </w:pPr>
            <w:r>
              <w:rPr>
                <w:rFonts w:ascii="Arial" w:cs="Arial" w:eastAsia="Arial" w:hAnsi="Arial"/>
                <w:sz w:val="10"/>
                <w:szCs w:val="10"/>
                <w:color w:val="auto"/>
                <w:w w:val="93"/>
              </w:rPr>
              <w:t>Currency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0"/>
                <w:szCs w:val="10"/>
                <w:color w:val="auto"/>
                <w:w w:val="96"/>
              </w:rPr>
              <w:t>Organic</w:t>
            </w: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ind w:left="120"/>
              <w:spacing w:after="0"/>
              <w:rPr>
                <w:sz w:val="20"/>
                <w:szCs w:val="20"/>
                <w:color w:val="auto"/>
              </w:rPr>
            </w:pPr>
            <w:r>
              <w:rPr>
                <w:rFonts w:ascii="Arial" w:cs="Arial" w:eastAsia="Arial" w:hAnsi="Arial"/>
                <w:sz w:val="10"/>
                <w:szCs w:val="10"/>
                <w:color w:val="auto"/>
              </w:rPr>
              <w:t>1Q'25</w:t>
            </w:r>
          </w:p>
        </w:tc>
        <w:tc>
          <w:tcPr>
            <w:tcW w:w="640" w:type="dxa"/>
            <w:vAlign w:val="bottom"/>
          </w:tcPr>
          <w:p>
            <w:pPr>
              <w:jc w:val="center"/>
              <w:ind w:left="152"/>
              <w:spacing w:after="0"/>
              <w:rPr>
                <w:sz w:val="20"/>
                <w:szCs w:val="20"/>
                <w:color w:val="auto"/>
              </w:rPr>
            </w:pPr>
            <w:r>
              <w:rPr>
                <w:rFonts w:ascii="Arial" w:cs="Arial" w:eastAsia="Arial" w:hAnsi="Arial"/>
                <w:sz w:val="10"/>
                <w:szCs w:val="10"/>
                <w:color w:val="auto"/>
                <w:w w:val="89"/>
              </w:rPr>
              <w:t>Change</w:t>
            </w:r>
            <w:r>
              <w:rPr>
                <w:rFonts w:ascii="Arial" w:cs="Arial" w:eastAsia="Arial" w:hAnsi="Arial"/>
                <w:sz w:val="12"/>
                <w:szCs w:val="12"/>
                <w:color w:val="auto"/>
                <w:w w:val="89"/>
                <w:vertAlign w:val="superscript"/>
              </w:rPr>
              <w:t>(a)</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left="172"/>
              <w:spacing w:after="0"/>
              <w:rPr>
                <w:sz w:val="20"/>
                <w:szCs w:val="20"/>
                <w:color w:val="auto"/>
              </w:rPr>
            </w:pPr>
            <w:r>
              <w:rPr>
                <w:rFonts w:ascii="Arial" w:cs="Arial" w:eastAsia="Arial" w:hAnsi="Arial"/>
                <w:sz w:val="10"/>
                <w:szCs w:val="10"/>
                <w:color w:val="auto"/>
                <w:w w:val="94"/>
              </w:rPr>
              <w:t>Dispositions</w:t>
            </w:r>
            <w:r>
              <w:rPr>
                <w:rFonts w:ascii="Arial" w:cs="Arial" w:eastAsia="Arial" w:hAnsi="Arial"/>
                <w:sz w:val="12"/>
                <w:szCs w:val="12"/>
                <w:color w:val="auto"/>
                <w:w w:val="94"/>
                <w:vertAlign w:val="superscript"/>
              </w:rPr>
              <w:t>(b)</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left="152"/>
              <w:spacing w:after="0"/>
              <w:rPr>
                <w:sz w:val="20"/>
                <w:szCs w:val="20"/>
                <w:color w:val="auto"/>
              </w:rPr>
            </w:pPr>
            <w:r>
              <w:rPr>
                <w:rFonts w:ascii="Arial" w:cs="Arial" w:eastAsia="Arial" w:hAnsi="Arial"/>
                <w:sz w:val="10"/>
                <w:szCs w:val="10"/>
                <w:color w:val="auto"/>
                <w:w w:val="85"/>
              </w:rPr>
              <w:t>Effect</w:t>
            </w:r>
            <w:r>
              <w:rPr>
                <w:rFonts w:ascii="Arial" w:cs="Arial" w:eastAsia="Arial" w:hAnsi="Arial"/>
                <w:sz w:val="12"/>
                <w:szCs w:val="12"/>
                <w:color w:val="auto"/>
                <w:w w:val="85"/>
                <w:vertAlign w:val="superscript"/>
              </w:rPr>
              <w:t>(c)</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12"/>
              <w:spacing w:after="0"/>
              <w:rPr>
                <w:sz w:val="20"/>
                <w:szCs w:val="20"/>
                <w:color w:val="auto"/>
              </w:rPr>
            </w:pPr>
            <w:r>
              <w:rPr>
                <w:rFonts w:ascii="Arial" w:cs="Arial" w:eastAsia="Arial" w:hAnsi="Arial"/>
                <w:sz w:val="10"/>
                <w:szCs w:val="10"/>
                <w:b w:val="1"/>
                <w:bCs w:val="1"/>
                <w:color w:val="auto"/>
              </w:rPr>
              <w:t>1Q'26</w:t>
            </w:r>
          </w:p>
        </w:tc>
        <w:tc>
          <w:tcPr>
            <w:tcW w:w="100" w:type="dxa"/>
            <w:vAlign w:val="bottom"/>
          </w:tcPr>
          <w:p>
            <w:pPr>
              <w:spacing w:after="0"/>
              <w:rPr>
                <w:sz w:val="12"/>
                <w:szCs w:val="12"/>
                <w:color w:val="auto"/>
              </w:rPr>
            </w:pPr>
          </w:p>
        </w:tc>
        <w:tc>
          <w:tcPr>
            <w:tcW w:w="1080" w:type="dxa"/>
            <w:vAlign w:val="bottom"/>
            <w:gridSpan w:val="3"/>
          </w:tcPr>
          <w:p>
            <w:pPr>
              <w:ind w:left="300"/>
              <w:spacing w:after="0"/>
              <w:rPr>
                <w:sz w:val="20"/>
                <w:szCs w:val="20"/>
                <w:color w:val="auto"/>
              </w:rPr>
            </w:pPr>
            <w:r>
              <w:rPr>
                <w:rFonts w:ascii="Arial" w:cs="Arial" w:eastAsia="Arial" w:hAnsi="Arial"/>
                <w:sz w:val="10"/>
                <w:szCs w:val="10"/>
                <w:color w:val="auto"/>
              </w:rPr>
              <w:t>Total</w:t>
            </w:r>
          </w:p>
        </w:tc>
        <w:tc>
          <w:tcPr>
            <w:tcW w:w="7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0"/>
                <w:szCs w:val="10"/>
                <w:color w:val="auto"/>
                <w:w w:val="90"/>
              </w:rPr>
              <w:t>Growth</w:t>
            </w:r>
            <w:r>
              <w:rPr>
                <w:rFonts w:ascii="Arial" w:cs="Arial" w:eastAsia="Arial" w:hAnsi="Arial"/>
                <w:sz w:val="12"/>
                <w:szCs w:val="12"/>
                <w:color w:val="auto"/>
                <w:w w:val="90"/>
                <w:vertAlign w:val="superscript"/>
              </w:rPr>
              <w:t>(a)</w:t>
            </w: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450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Revenues:</w:t>
            </w: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rPr>
              <w:t>440</w:t>
            </w:r>
          </w:p>
        </w:tc>
        <w:tc>
          <w:tcPr>
            <w:tcW w:w="1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500" w:type="dxa"/>
            <w:vAlign w:val="bottom"/>
            <w:gridSpan w:val="2"/>
          </w:tcPr>
          <w:p>
            <w:pPr>
              <w:ind w:left="200"/>
              <w:spacing w:after="0"/>
              <w:rPr>
                <w:sz w:val="20"/>
                <w:szCs w:val="20"/>
                <w:color w:val="auto"/>
              </w:rPr>
            </w:pPr>
            <w:r>
              <w:rPr>
                <w:rFonts w:ascii="Arial" w:cs="Arial" w:eastAsia="Arial" w:hAnsi="Arial"/>
                <w:sz w:val="10"/>
                <w:szCs w:val="10"/>
                <w:color w:val="auto"/>
              </w:rPr>
              <w:t>North America</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418</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20</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gridSpan w:val="3"/>
          </w:tcPr>
          <w:p>
            <w:pPr>
              <w:jc w:val="right"/>
              <w:ind w:right="792"/>
              <w:spacing w:after="0"/>
              <w:rPr>
                <w:sz w:val="20"/>
                <w:szCs w:val="20"/>
                <w:color w:val="auto"/>
              </w:rPr>
            </w:pP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w:t>
            </w: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500" w:type="dxa"/>
            <w:vAlign w:val="bottom"/>
            <w:gridSpan w:val="2"/>
          </w:tcPr>
          <w:p>
            <w:pPr>
              <w:ind w:left="200"/>
              <w:spacing w:after="0"/>
              <w:rPr>
                <w:sz w:val="20"/>
                <w:szCs w:val="20"/>
                <w:color w:val="auto"/>
              </w:rPr>
            </w:pPr>
            <w:r>
              <w:rPr>
                <w:rFonts w:ascii="Arial" w:cs="Arial" w:eastAsia="Arial" w:hAnsi="Arial"/>
                <w:sz w:val="10"/>
                <w:szCs w:val="10"/>
                <w:color w:val="auto"/>
              </w:rPr>
              <w:t>Latin America</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308</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11</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24</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344</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12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w:t>
            </w: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500" w:type="dxa"/>
            <w:vAlign w:val="bottom"/>
            <w:gridSpan w:val="2"/>
          </w:tcPr>
          <w:p>
            <w:pPr>
              <w:ind w:left="200"/>
              <w:spacing w:after="0"/>
              <w:rPr>
                <w:sz w:val="20"/>
                <w:szCs w:val="20"/>
                <w:color w:val="auto"/>
              </w:rPr>
            </w:pPr>
            <w:r>
              <w:rPr>
                <w:rFonts w:ascii="Arial" w:cs="Arial" w:eastAsia="Arial" w:hAnsi="Arial"/>
                <w:sz w:val="10"/>
                <w:szCs w:val="10"/>
                <w:color w:val="auto"/>
              </w:rPr>
              <w:t>Europe</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319</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11</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35</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366</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15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w:t>
            </w: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500" w:type="dxa"/>
            <w:vAlign w:val="bottom"/>
            <w:gridSpan w:val="2"/>
          </w:tcPr>
          <w:p>
            <w:pPr>
              <w:ind w:left="200"/>
              <w:spacing w:after="0"/>
              <w:rPr>
                <w:sz w:val="20"/>
                <w:szCs w:val="20"/>
                <w:color w:val="auto"/>
              </w:rPr>
            </w:pPr>
            <w:r>
              <w:rPr>
                <w:rFonts w:ascii="Arial" w:cs="Arial" w:eastAsia="Arial" w:hAnsi="Arial"/>
                <w:sz w:val="10"/>
                <w:szCs w:val="10"/>
                <w:color w:val="auto"/>
              </w:rPr>
              <w:t>Rest of World</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203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gridSpan w:val="3"/>
          </w:tcPr>
          <w:p>
            <w:pPr>
              <w:jc w:val="right"/>
              <w:ind w:right="792"/>
              <w:spacing w:after="0"/>
              <w:rPr>
                <w:sz w:val="20"/>
                <w:szCs w:val="20"/>
                <w:color w:val="auto"/>
              </w:rPr>
            </w:pP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226</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12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7</w:t>
            </w: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240" w:type="dxa"/>
            <w:vAlign w:val="bottom"/>
          </w:tcPr>
          <w:p>
            <w:pPr>
              <w:ind w:left="160"/>
              <w:spacing w:after="0"/>
              <w:rPr>
                <w:sz w:val="20"/>
                <w:szCs w:val="20"/>
                <w:color w:val="auto"/>
              </w:rPr>
            </w:pPr>
            <w:r>
              <w:rPr>
                <w:rFonts w:ascii="Arial" w:cs="Arial" w:eastAsia="Arial" w:hAnsi="Arial"/>
                <w:sz w:val="10"/>
                <w:szCs w:val="10"/>
                <w:b w:val="1"/>
                <w:bCs w:val="1"/>
                <w:color w:val="auto"/>
              </w:rPr>
              <w:t>Segment revenues</w:t>
            </w:r>
          </w:p>
        </w:tc>
        <w:tc>
          <w:tcPr>
            <w:tcW w:w="16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1,247</w:t>
            </w: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56</w:t>
            </w:r>
          </w:p>
        </w:tc>
        <w:tc>
          <w:tcPr>
            <w:tcW w:w="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71</w:t>
            </w:r>
          </w:p>
        </w:tc>
        <w:tc>
          <w:tcPr>
            <w:tcW w:w="80" w:type="dxa"/>
            <w:vAlign w:val="bottom"/>
          </w:tcPr>
          <w:p>
            <w:pPr>
              <w:spacing w:after="0"/>
              <w:rPr>
                <w:sz w:val="10"/>
                <w:szCs w:val="1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1,375</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w:t>
            </w: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40" w:type="dxa"/>
            <w:vAlign w:val="bottom"/>
            <w:tcBorders>
              <w:lef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240" w:type="dxa"/>
            <w:vAlign w:val="bottom"/>
            <w:vMerge w:val="restart"/>
          </w:tcPr>
          <w:p>
            <w:pPr>
              <w:ind w:left="160"/>
              <w:spacing w:after="0"/>
              <w:rPr>
                <w:sz w:val="20"/>
                <w:szCs w:val="20"/>
                <w:color w:val="auto"/>
              </w:rPr>
            </w:pPr>
            <w:r>
              <w:rPr>
                <w:rFonts w:ascii="Arial" w:cs="Arial" w:eastAsia="Arial" w:hAnsi="Arial"/>
                <w:sz w:val="10"/>
                <w:szCs w:val="10"/>
                <w:b w:val="1"/>
                <w:bCs w:val="1"/>
                <w:color w:val="auto"/>
              </w:rPr>
              <w:t>Revenues</w:t>
            </w: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4</w:t>
            </w:r>
          </w:p>
        </w:tc>
        <w:tc>
          <w:tcPr>
            <w:tcW w:w="1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1,247</w:t>
            </w:r>
          </w:p>
        </w:tc>
        <w:tc>
          <w:tcPr>
            <w:tcW w:w="8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w:t>
            </w:r>
          </w:p>
        </w:tc>
        <w:tc>
          <w:tcPr>
            <w:tcW w:w="8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w:t>
            </w:r>
          </w:p>
        </w:tc>
        <w:tc>
          <w:tcPr>
            <w:tcW w:w="80" w:type="dxa"/>
            <w:vAlign w:val="bottom"/>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1,375</w:t>
            </w: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0" w:type="dxa"/>
            <w:vAlign w:val="bottom"/>
            <w:tcBorders>
              <w:left w:val="single" w:sz="8" w:color="auto"/>
            </w:tcBorders>
          </w:tcPr>
          <w:p>
            <w:pPr>
              <w:spacing w:after="0"/>
              <w:rPr>
                <w:sz w:val="13"/>
                <w:szCs w:val="13"/>
                <w:color w:val="auto"/>
              </w:rPr>
            </w:pPr>
          </w:p>
        </w:tc>
        <w:tc>
          <w:tcPr>
            <w:tcW w:w="4500" w:type="dxa"/>
            <w:vAlign w:val="bottom"/>
            <w:gridSpan w:val="2"/>
          </w:tcPr>
          <w:p>
            <w:pPr>
              <w:ind w:left="80"/>
              <w:spacing w:after="0"/>
              <w:rPr>
                <w:sz w:val="20"/>
                <w:szCs w:val="20"/>
                <w:color w:val="auto"/>
              </w:rPr>
            </w:pPr>
            <w:r>
              <w:rPr>
                <w:rFonts w:ascii="Arial" w:cs="Arial" w:eastAsia="Arial" w:hAnsi="Arial"/>
                <w:sz w:val="10"/>
                <w:szCs w:val="10"/>
                <w:b w:val="1"/>
                <w:bCs w:val="1"/>
                <w:color w:val="auto"/>
              </w:rPr>
              <w:t>Operating profit:</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500" w:type="dxa"/>
            <w:vAlign w:val="bottom"/>
            <w:gridSpan w:val="2"/>
          </w:tcPr>
          <w:p>
            <w:pPr>
              <w:ind w:left="200"/>
              <w:spacing w:after="0"/>
              <w:rPr>
                <w:sz w:val="20"/>
                <w:szCs w:val="20"/>
                <w:color w:val="auto"/>
              </w:rPr>
            </w:pPr>
            <w:r>
              <w:rPr>
                <w:rFonts w:ascii="Arial" w:cs="Arial" w:eastAsia="Arial" w:hAnsi="Arial"/>
                <w:sz w:val="10"/>
                <w:szCs w:val="10"/>
                <w:color w:val="auto"/>
              </w:rPr>
              <w:t>North America</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53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gridSpan w:val="3"/>
          </w:tcPr>
          <w:p>
            <w:pPr>
              <w:jc w:val="right"/>
              <w:ind w:right="792"/>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61</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15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15</w:t>
            </w: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500" w:type="dxa"/>
            <w:vAlign w:val="bottom"/>
            <w:gridSpan w:val="2"/>
          </w:tcPr>
          <w:p>
            <w:pPr>
              <w:ind w:left="200"/>
              <w:spacing w:after="0"/>
              <w:rPr>
                <w:sz w:val="20"/>
                <w:szCs w:val="20"/>
                <w:color w:val="auto"/>
              </w:rPr>
            </w:pPr>
            <w:r>
              <w:rPr>
                <w:rFonts w:ascii="Arial" w:cs="Arial" w:eastAsia="Arial" w:hAnsi="Arial"/>
                <w:sz w:val="10"/>
                <w:szCs w:val="10"/>
                <w:color w:val="auto"/>
              </w:rPr>
              <w:t>Latin America</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gridSpan w:val="3"/>
          </w:tcPr>
          <w:p>
            <w:pPr>
              <w:jc w:val="right"/>
              <w:ind w:right="792"/>
              <w:spacing w:after="0"/>
              <w:rPr>
                <w:sz w:val="20"/>
                <w:szCs w:val="20"/>
                <w:color w:val="auto"/>
              </w:rPr>
            </w:pP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57</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w:t>
            </w: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500" w:type="dxa"/>
            <w:vAlign w:val="bottom"/>
            <w:gridSpan w:val="2"/>
          </w:tcPr>
          <w:p>
            <w:pPr>
              <w:ind w:left="200"/>
              <w:spacing w:after="0"/>
              <w:rPr>
                <w:sz w:val="20"/>
                <w:szCs w:val="20"/>
                <w:color w:val="auto"/>
              </w:rPr>
            </w:pPr>
            <w:r>
              <w:rPr>
                <w:rFonts w:ascii="Arial" w:cs="Arial" w:eastAsia="Arial" w:hAnsi="Arial"/>
                <w:sz w:val="10"/>
                <w:szCs w:val="10"/>
                <w:color w:val="auto"/>
              </w:rPr>
              <w:t>Europe</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28</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40</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42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27</w:t>
            </w: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500" w:type="dxa"/>
            <w:vAlign w:val="bottom"/>
            <w:gridSpan w:val="2"/>
          </w:tcPr>
          <w:p>
            <w:pPr>
              <w:ind w:left="200"/>
              <w:spacing w:after="0"/>
              <w:rPr>
                <w:sz w:val="20"/>
                <w:szCs w:val="20"/>
                <w:color w:val="auto"/>
              </w:rPr>
            </w:pPr>
            <w:r>
              <w:rPr>
                <w:rFonts w:ascii="Arial" w:cs="Arial" w:eastAsia="Arial" w:hAnsi="Arial"/>
                <w:sz w:val="10"/>
                <w:szCs w:val="10"/>
                <w:color w:val="auto"/>
              </w:rPr>
              <w:t>Rest of World</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w:t>
            </w:r>
          </w:p>
        </w:tc>
        <w:tc>
          <w:tcPr>
            <w:tcW w:w="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55</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17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13</w:t>
            </w: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240" w:type="dxa"/>
            <w:vAlign w:val="bottom"/>
          </w:tcPr>
          <w:p>
            <w:pPr>
              <w:ind w:left="20"/>
              <w:spacing w:after="0"/>
              <w:rPr>
                <w:sz w:val="20"/>
                <w:szCs w:val="20"/>
                <w:color w:val="auto"/>
              </w:rPr>
            </w:pPr>
            <w:r>
              <w:rPr>
                <w:rFonts w:ascii="Arial" w:cs="Arial" w:eastAsia="Arial" w:hAnsi="Arial"/>
                <w:sz w:val="10"/>
                <w:szCs w:val="10"/>
                <w:b w:val="1"/>
                <w:bCs w:val="1"/>
                <w:color w:val="auto"/>
              </w:rPr>
              <w:t>Segment operating profit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182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22</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gridSpan w:val="3"/>
          </w:tcPr>
          <w:p>
            <w:pPr>
              <w:jc w:val="right"/>
              <w:ind w:right="792"/>
              <w:spacing w:after="0"/>
              <w:rPr>
                <w:sz w:val="20"/>
                <w:szCs w:val="20"/>
                <w:color w:val="auto"/>
              </w:rPr>
            </w:pP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213</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17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12</w:t>
            </w: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4500" w:type="dxa"/>
            <w:vAlign w:val="bottom"/>
            <w:gridSpan w:val="2"/>
          </w:tcPr>
          <w:p>
            <w:pPr>
              <w:ind w:left="200"/>
              <w:spacing w:after="0"/>
              <w:rPr>
                <w:sz w:val="20"/>
                <w:szCs w:val="20"/>
                <w:color w:val="auto"/>
              </w:rPr>
            </w:pPr>
            <w:r>
              <w:rPr>
                <w:rFonts w:ascii="Arial" w:cs="Arial" w:eastAsia="Arial" w:hAnsi="Arial"/>
                <w:sz w:val="10"/>
                <w:szCs w:val="10"/>
                <w:color w:val="auto"/>
              </w:rPr>
              <w:t>Corporate expenses</w:t>
            </w:r>
            <w:r>
              <w:rPr>
                <w:rFonts w:ascii="Arial" w:cs="Arial" w:eastAsia="Arial" w:hAnsi="Arial"/>
                <w:sz w:val="12"/>
                <w:szCs w:val="12"/>
                <w:color w:val="auto"/>
                <w:vertAlign w:val="superscript"/>
              </w:rPr>
              <w:t>(d)</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w w:val="89"/>
              </w:rPr>
              <w:t>(12)</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gridSpan w:val="3"/>
          </w:tcPr>
          <w:p>
            <w:pPr>
              <w:jc w:val="right"/>
              <w:ind w:right="792"/>
              <w:spacing w:after="0"/>
              <w:rPr>
                <w:sz w:val="20"/>
                <w:szCs w:val="20"/>
                <w:color w:val="auto"/>
              </w:rPr>
            </w:pP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(45)</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41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36</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 w:type="dxa"/>
            <w:vAlign w:val="bottom"/>
            <w:tcBorders>
              <w:left w:val="single" w:sz="8" w:color="auto"/>
            </w:tcBorders>
          </w:tcPr>
          <w:p>
            <w:pPr>
              <w:spacing w:after="0"/>
              <w:rPr>
                <w:sz w:val="12"/>
                <w:szCs w:val="12"/>
                <w:color w:val="auto"/>
              </w:rPr>
            </w:pPr>
          </w:p>
        </w:tc>
        <w:tc>
          <w:tcPr>
            <w:tcW w:w="4500" w:type="dxa"/>
            <w:vAlign w:val="bottom"/>
            <w:gridSpan w:val="2"/>
          </w:tcPr>
          <w:p>
            <w:pPr>
              <w:ind w:left="200"/>
              <w:spacing w:after="0"/>
              <w:rPr>
                <w:sz w:val="20"/>
                <w:szCs w:val="20"/>
                <w:color w:val="auto"/>
              </w:rPr>
            </w:pPr>
            <w:r>
              <w:rPr>
                <w:rFonts w:ascii="Arial" w:cs="Arial" w:eastAsia="Arial" w:hAnsi="Arial"/>
                <w:sz w:val="10"/>
                <w:szCs w:val="10"/>
                <w:color w:val="auto"/>
              </w:rPr>
              <w:t>Other items not allocated to segments</w:t>
            </w:r>
            <w:r>
              <w:rPr>
                <w:rFonts w:ascii="Arial" w:cs="Arial" w:eastAsia="Arial" w:hAnsi="Arial"/>
                <w:sz w:val="12"/>
                <w:szCs w:val="12"/>
                <w:color w:val="auto"/>
                <w:vertAlign w:val="superscript"/>
              </w:rPr>
              <w:t>(d)</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w w:val="89"/>
              </w:rPr>
              <w:t>(30)</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(58)</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85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96</w:t>
            </w: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0" w:type="dxa"/>
            <w:vAlign w:val="bottom"/>
            <w:tcBorders>
              <w:lef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240" w:type="dxa"/>
            <w:vAlign w:val="bottom"/>
          </w:tcPr>
          <w:p>
            <w:pPr>
              <w:ind w:left="160"/>
              <w:spacing w:after="0"/>
              <w:rPr>
                <w:sz w:val="20"/>
                <w:szCs w:val="20"/>
                <w:color w:val="auto"/>
              </w:rPr>
            </w:pPr>
            <w:r>
              <w:rPr>
                <w:rFonts w:ascii="Arial" w:cs="Arial" w:eastAsia="Arial" w:hAnsi="Arial"/>
                <w:sz w:val="10"/>
                <w:szCs w:val="10"/>
                <w:b w:val="1"/>
                <w:bCs w:val="1"/>
                <w:color w:val="auto"/>
              </w:rPr>
              <w:t>Operating profit</w:t>
            </w: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119</w:t>
            </w: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89"/>
              </w:rPr>
              <w:t>(19)</w:t>
            </w:r>
          </w:p>
        </w:tc>
        <w:tc>
          <w:tcPr>
            <w:tcW w:w="80" w:type="dxa"/>
            <w:vAlign w:val="bottom"/>
          </w:tcPr>
          <w:p>
            <w:pPr>
              <w:spacing w:after="0"/>
              <w:rPr>
                <w:sz w:val="10"/>
                <w:szCs w:val="10"/>
                <w:color w:val="auto"/>
              </w:rPr>
            </w:pPr>
          </w:p>
        </w:tc>
        <w:tc>
          <w:tcPr>
            <w:tcW w:w="98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w:t>
            </w:r>
          </w:p>
        </w:tc>
        <w:tc>
          <w:tcPr>
            <w:tcW w:w="8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110</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(16)</w:t>
            </w: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0"/>
        <w:spacing w:after="0"/>
        <w:rPr>
          <w:sz w:val="20"/>
          <w:szCs w:val="20"/>
          <w:color w:val="auto"/>
        </w:rPr>
      </w:pPr>
      <w:r>
        <w:rPr>
          <w:rFonts w:ascii="Arial" w:cs="Arial" w:eastAsia="Arial" w:hAnsi="Arial"/>
          <w:sz w:val="8"/>
          <w:szCs w:val="8"/>
          <w:color w:val="auto"/>
        </w:rPr>
        <w:t>Amounts may not add due to rounding.</w:t>
      </w:r>
    </w:p>
    <w:p>
      <w:pPr>
        <w:spacing w:after="0" w:line="153" w:lineRule="exact"/>
        <w:rPr>
          <w:sz w:val="20"/>
          <w:szCs w:val="20"/>
          <w:color w:val="auto"/>
        </w:rPr>
      </w:pPr>
    </w:p>
    <w:p>
      <w:pPr>
        <w:ind w:left="420" w:hanging="212"/>
        <w:spacing w:after="0"/>
        <w:tabs>
          <w:tab w:leader="none" w:pos="420" w:val="left"/>
        </w:tabs>
        <w:numPr>
          <w:ilvl w:val="0"/>
          <w:numId w:val="4"/>
        </w:numPr>
        <w:rPr>
          <w:rFonts w:ascii="Arial" w:cs="Arial" w:eastAsia="Arial" w:hAnsi="Arial"/>
          <w:sz w:val="8"/>
          <w:szCs w:val="8"/>
          <w:color w:val="auto"/>
        </w:rPr>
      </w:pPr>
      <w:r>
        <w:rPr>
          <w:rFonts w:ascii="Arial" w:cs="Arial" w:eastAsia="Arial" w:hAnsi="Arial"/>
          <w:sz w:val="8"/>
          <w:szCs w:val="8"/>
          <w:color w:val="auto"/>
        </w:rPr>
        <w:t>Organic change and organic growth are supplemental financial measures that are not required by, or presented in accordance with, GAAP, and are described in more detail on page 11.</w:t>
      </w:r>
    </w:p>
    <w:p>
      <w:pPr>
        <w:spacing w:after="0" w:line="15" w:lineRule="exact"/>
        <w:rPr>
          <w:rFonts w:ascii="Arial" w:cs="Arial" w:eastAsia="Arial" w:hAnsi="Arial"/>
          <w:sz w:val="8"/>
          <w:szCs w:val="8"/>
          <w:color w:val="auto"/>
        </w:rPr>
      </w:pPr>
    </w:p>
    <w:p>
      <w:pPr>
        <w:ind w:left="420" w:hanging="212"/>
        <w:spacing w:after="0"/>
        <w:tabs>
          <w:tab w:leader="none" w:pos="420" w:val="left"/>
        </w:tabs>
        <w:numPr>
          <w:ilvl w:val="0"/>
          <w:numId w:val="4"/>
        </w:numPr>
        <w:rPr>
          <w:rFonts w:ascii="Arial" w:cs="Arial" w:eastAsia="Arial" w:hAnsi="Arial"/>
          <w:sz w:val="8"/>
          <w:szCs w:val="8"/>
          <w:color w:val="auto"/>
        </w:rPr>
      </w:pPr>
      <w:r>
        <w:rPr>
          <w:rFonts w:ascii="Arial" w:cs="Arial" w:eastAsia="Arial" w:hAnsi="Arial"/>
          <w:sz w:val="8"/>
          <w:szCs w:val="8"/>
          <w:color w:val="auto"/>
        </w:rPr>
        <w:t>Amounts include the impact of prior year comparable period results for acquired and disposed businesses. This measure is not required by, or presented in accordance with, GAAP and is described in more detail on page 11.</w:t>
      </w:r>
    </w:p>
    <w:p>
      <w:pPr>
        <w:spacing w:after="0" w:line="7" w:lineRule="exact"/>
        <w:rPr>
          <w:rFonts w:ascii="Arial" w:cs="Arial" w:eastAsia="Arial" w:hAnsi="Arial"/>
          <w:sz w:val="8"/>
          <w:szCs w:val="8"/>
          <w:color w:val="auto"/>
        </w:rPr>
      </w:pPr>
    </w:p>
    <w:p>
      <w:pPr>
        <w:ind w:left="420" w:hanging="212"/>
        <w:spacing w:after="0"/>
        <w:tabs>
          <w:tab w:leader="none" w:pos="420" w:val="left"/>
        </w:tabs>
        <w:numPr>
          <w:ilvl w:val="0"/>
          <w:numId w:val="4"/>
        </w:numPr>
        <w:rPr>
          <w:rFonts w:ascii="Arial" w:cs="Arial" w:eastAsia="Arial" w:hAnsi="Arial"/>
          <w:sz w:val="8"/>
          <w:szCs w:val="8"/>
          <w:color w:val="auto"/>
        </w:rPr>
      </w:pPr>
      <w:r>
        <w:rPr>
          <w:rFonts w:ascii="Arial" w:cs="Arial" w:eastAsia="Arial" w:hAnsi="Arial"/>
          <w:sz w:val="8"/>
          <w:szCs w:val="8"/>
          <w:color w:val="auto"/>
        </w:rPr>
        <w:t>The amounts in the “Currency” column consist of the effects of Argentina devaluations under highly inflationary accounting and the sum of monthly currency changes. This measure is not required by, or presented in accordance with, GAAP and is described in more detail on page 11.</w:t>
      </w:r>
    </w:p>
    <w:p>
      <w:pPr>
        <w:spacing w:after="0" w:line="7" w:lineRule="exact"/>
        <w:rPr>
          <w:rFonts w:ascii="Arial" w:cs="Arial" w:eastAsia="Arial" w:hAnsi="Arial"/>
          <w:sz w:val="8"/>
          <w:szCs w:val="8"/>
          <w:color w:val="auto"/>
        </w:rPr>
      </w:pPr>
    </w:p>
    <w:p>
      <w:pPr>
        <w:ind w:left="420" w:hanging="212"/>
        <w:spacing w:after="0"/>
        <w:tabs>
          <w:tab w:leader="none" w:pos="420" w:val="left"/>
        </w:tabs>
        <w:numPr>
          <w:ilvl w:val="0"/>
          <w:numId w:val="4"/>
        </w:numPr>
        <w:rPr>
          <w:rFonts w:ascii="Arial" w:cs="Arial" w:eastAsia="Arial" w:hAnsi="Arial"/>
          <w:sz w:val="8"/>
          <w:szCs w:val="8"/>
          <w:color w:val="auto"/>
        </w:rPr>
      </w:pPr>
      <w:r>
        <w:rPr>
          <w:rFonts w:ascii="Arial" w:cs="Arial" w:eastAsia="Arial" w:hAnsi="Arial"/>
          <w:sz w:val="8"/>
          <w:szCs w:val="8"/>
          <w:color w:val="auto"/>
        </w:rPr>
        <w:t>See pages 9-10 for further information, where these items are discussed in more detail.</w:t>
      </w: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About The Brink’s Company</w:t>
      </w:r>
    </w:p>
    <w:p>
      <w:pPr>
        <w:spacing w:after="0" w:line="19" w:lineRule="exact"/>
        <w:rPr>
          <w:sz w:val="20"/>
          <w:szCs w:val="20"/>
          <w:color w:val="auto"/>
        </w:rPr>
      </w:pPr>
    </w:p>
    <w:p>
      <w:pPr>
        <w:ind w:right="220"/>
        <w:spacing w:after="0" w:line="276" w:lineRule="auto"/>
        <w:rPr>
          <w:sz w:val="20"/>
          <w:szCs w:val="20"/>
          <w:color w:val="auto"/>
        </w:rPr>
      </w:pPr>
      <w:r>
        <w:rPr>
          <w:rFonts w:ascii="Arial" w:cs="Arial" w:eastAsia="Arial" w:hAnsi="Arial"/>
          <w:sz w:val="11"/>
          <w:szCs w:val="11"/>
          <w:color w:val="auto"/>
        </w:rPr>
        <w:t>The Brink’s Company (NYSE:BCO) is a leading global provider of cash and valuables management, digital retail solutions, and ATM managed services. Our customers include financial institutions, retailers, government agencies, mints, jewelers and other commercial operations. Our network of operations in 51 countries serves customers in more than 100 countries. For more information, please visit our website at www.brinks.com or call 804-289-9709.</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719" w:right="29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6786245</wp:posOffset>
            </wp:positionH>
            <wp:positionV relativeFrom="page">
              <wp:posOffset>88900</wp:posOffset>
            </wp:positionV>
            <wp:extent cx="577215" cy="97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77215" cy="9715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t>Forward-Looking Statements</w:t>
      </w:r>
    </w:p>
    <w:p>
      <w:pPr>
        <w:spacing w:after="0" w:line="19" w:lineRule="exact"/>
        <w:rPr>
          <w:sz w:val="20"/>
          <w:szCs w:val="20"/>
          <w:color w:val="auto"/>
        </w:rPr>
      </w:pPr>
    </w:p>
    <w:p>
      <w:pPr>
        <w:spacing w:after="0" w:line="264" w:lineRule="auto"/>
        <w:rPr>
          <w:sz w:val="20"/>
          <w:szCs w:val="20"/>
          <w:color w:val="auto"/>
        </w:rPr>
      </w:pPr>
      <w:r>
        <w:rPr>
          <w:rFonts w:ascii="Arial" w:cs="Arial" w:eastAsia="Arial" w:hAnsi="Arial"/>
          <w:sz w:val="11"/>
          <w:szCs w:val="11"/>
          <w:color w:val="auto"/>
        </w:rPr>
        <w:t>This release contains forward-looking information. Words such as "anticipate," "assume," "estimate," "expect," “target,” "project," "predict," "intend," "plan," "believe," "potential," "may," "should" and similar expressions may identify forward-looking information. Forward-looking information in this release includes, but is not limited to: statements made in Mr. Eubanks' quote; second quarter 2026 outlook, including revenue, adjusted EBITDA, and non-GAAP earnings per share (and drivers thereof); full-year 2026 guidance framework, including organic revenue growth, AMS/DRS organic revenue growth, adjusted EBITDA margin expansion, free cash flow conversion and shareholder returns (and the drivers thereof); capital allocation priorities; the impact of U.S. and global macroeconomic conditions; the impact of tariffs and foreign inflation; expected impact from deployment of technology-enabled solutions, including AMS and DRS; the effect of pending legal matters, including the Chile antitrust matter; the impacts of the operating environment in Argentina; the proposed acquisition of NCR Atleos, Inc. ("NCR Atleos"), including: the expected timing and conditions to closing (including receipt of regulatory approvals), the anticipated benefits and synergies of the transaction, the expected financing thereof and the related indebtedness expected to be incurred in connection with the transaction and the ability to service and repay such indebtedness, and effectiveness of the registration statement on Form S-4 and the filing of the related joint proxy statement; and strategic priorities and initiatives, including the Brink’s Business System and technology and systems investments.</w:t>
      </w:r>
    </w:p>
    <w:p>
      <w:pPr>
        <w:spacing w:after="0" w:line="137" w:lineRule="exact"/>
        <w:rPr>
          <w:sz w:val="20"/>
          <w:szCs w:val="20"/>
          <w:color w:val="auto"/>
        </w:rPr>
      </w:pPr>
    </w:p>
    <w:p>
      <w:pPr>
        <w:ind w:right="20"/>
        <w:spacing w:after="0" w:line="260" w:lineRule="auto"/>
        <w:rPr>
          <w:sz w:val="20"/>
          <w:szCs w:val="20"/>
          <w:color w:val="auto"/>
        </w:rPr>
      </w:pPr>
      <w:r>
        <w:rPr>
          <w:rFonts w:ascii="Arial" w:cs="Arial" w:eastAsia="Arial" w:hAnsi="Arial"/>
          <w:sz w:val="11"/>
          <w:szCs w:val="11"/>
          <w:color w:val="auto"/>
        </w:rPr>
        <w:t>Forward-looking information in this document is subject to known and unknown risks, uncertainties and contingencies, which are difficult to predict or quantify, and which could cause actual results, performance or achievements to differ materially from those that are anticipated. These risks, uncertainties and contingencies, many of which are beyond our control, include, but are not limited to: our ability to improve profitability and execute further cost and operational improvement and efficiencies in our core businesses; our ability to improve service levels and quality in our core businesses; market volatility and commodity price fluctuations; general economic issues, including supply chain disruptions, fuel price increases, new or increased international tariffs and/or trade barriers, inflation, recessionary conditions and changes in interest rates; seasonality, pricing and other competitive industry factors; investment in information technology (“IT”) and its impact on revenue and profit growth; risks associated with the usage of artificial intelligence (“AI”) technologies; our ability to maintain an effective IT infrastructure and safeguard confidential information and risks related to a failure of our IT systems and networks, including cloud-based applications, and risks associated with current and emerging technology threats, and damage from computer viruses, unauthorized access and cyber and ransomware attacks, including increasingly sophisticated cyber attacks incorporating the use of AI and other similar disruptions; our ability to effectively develop and implement solutions for our customers; risks associated with operating in foreign countries, including changing political, labor and economic conditions (including political conflict or unrest), regulatory issues (including the imposition of international sanctions, including by the U.S. government), military conflicts (including but not limited to the conflict in Israel, Iran and surrounding areas, as well as the possible expansion of such conflicts and potential geopolitical consequences), currency restrictions and devaluations, restrictions on and cost of repatriating earnings and capital, impact on the Company’s financial results as a result of jurisdictions' higher-than-expected inflation and those determined to be highly inflationary, and restrictive government actions, including nationalization; labor issues, including labor shortages, negotiations with organized labor and work stoppages; pandemics, acts of terrorism, strikes or other extraordinary events that negatively affect global or regional cash commerce; anticipated cash needs in light of our current liquidity position; the strength of the U.S. dollar relative to foreign currencies and foreign currency exchange rates; our ability to identify, evaluate and complete acquisitions and other strategic transactions and to successfully integrate acquired companies; risks related to the proposed acquisition of NCR Atleos, including: the occurrence of any event, change or other circumstance that could give rise to the termination of the merger agreement; the inability to complete the proposed transaction due to the failure to obtain regulatory or shareholder approval or the failure to satisfy other conditions to closing; risks that the proposed transaction disrupts current plans and operations; the focus of management's time and attention on the transaction and other disruptions arising from the proposed transaction; the ability to recognize the anticipated benefits and synergies of the proposed transaction; the amount of the costs, fees, expenses, and charges related to the proposed transaction and financing obtained in connection with the proposed transaction; the ability to obtain regulatory approvals on the terms expected or anticipated schedule; the risk that the proposed transaction and its announcement could have an adverse effect on the ability of the Company to retain customers, retain and hire key personnel and maintain relationships with suppliers, customers and other business relationships and on operating results and business generally; the risk of litigation and/or regulatory actions related to the proposed transaction; costs related to dispositions and product or market exits; our ability to obtain appropriate insurance coverage, positions taken by insurers relative to claims and the financial condition of insurers; safety and security performance and loss experience; employee, environmental and other liabilities in connection with former coal operations, including black lung claims; the impact of the American Rescue Plan Act and Patient Protection and Affordable Care Act on legacy liabilities and ongoing operations; funding requirements, accounting treatment, and investment performance of our pension plans, the VEBA and other employee benefits; changes to estimated liabilities and assets in actuarial assumptions; the nature of hedging relationships and counterparty risk; access to the capital and credit markets; our ability to realize deferred tax assets; the impact of foreign tax credit regulations; the impact of the One Big Beautiful Bill Act; the outcome of pending and future claims, litigation, and administrative proceedings; our ability to comply with regulatory compliance obligations; public perception of our business, reputation and brand; our ability to identify, recruit and retain key employees; changes in estimates and assumptions underlying our critical accounting policies; and the promulgation and adoption of new accounting standards, new government regulations and interpretation of existing standards and regulations.</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719" w:right="299" w:bottom="1440" w:gutter="0" w:footer="0" w:header="0"/>
        </w:sectPr>
      </w:pPr>
    </w:p>
    <w:bookmarkStart w:id="9" w:name="page10"/>
    <w:bookmarkEnd w:id="9"/>
    <w:p>
      <w:pPr>
        <w:ind w:right="120"/>
        <w:spacing w:after="0" w:line="26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6786245</wp:posOffset>
            </wp:positionH>
            <wp:positionV relativeFrom="page">
              <wp:posOffset>88900</wp:posOffset>
            </wp:positionV>
            <wp:extent cx="577215"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77215" cy="9715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t>This list of risks, uncertainties and contingencies is not intended to be exhaustive. Additional factors that could cause our results to differ materially from those described in the forward-looking statements can be found under "Risk Factors" in Item 1A of our Annual Report on Form 10-K for the period ended December 31, 2025, and in the registration statement on Form S-4 filed in connection with the proposed acquisition of NCR Atleos, and in related disclosures in our other public filings with the Securities and Exchange Commission. All risk factors and uncertainties described herein and therein should be considered in evaluating forward-looking statements, and all of the forward-looking statements in this document are expressly qualified by the cautionary statements contained or referred to herein and therein. The actual results or developments anticipated may not be realized or, even if substantially realized, they may not have the expected consequences to or effects on the Company or our business or operations. Readers are cautioned not to rely too heavily on the forward-looking statements contained in this document. The forward-looking information included in this document is representative only as of the date of this document and The Brink's Company undertakes no obligation to update, revise or clarify any information contained in this document or forward-looking statements that may be made from time to time on our behalf, whether as a result of new information, future events or otherwise, except as required by law.</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557"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6786245</wp:posOffset>
            </wp:positionH>
            <wp:positionV relativeFrom="page">
              <wp:posOffset>88900</wp:posOffset>
            </wp:positionV>
            <wp:extent cx="577215" cy="97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77215" cy="9715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t>The Brink’s Company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Results: 2025 and 2026 (Unaudited)</w:t>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(In millions, except for percentages)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640"/>
              <w:spacing w:after="0"/>
              <w:rPr>
                <w:sz w:val="20"/>
                <w:szCs w:val="20"/>
                <w:color w:val="auto"/>
              </w:rPr>
            </w:pPr>
            <w:r>
              <w:rPr>
                <w:rFonts w:ascii="Arial" w:cs="Arial" w:eastAsia="Arial" w:hAnsi="Arial"/>
                <w:sz w:val="10"/>
                <w:szCs w:val="10"/>
                <w:b w:val="1"/>
                <w:bCs w:val="1"/>
                <w:color w:val="auto"/>
              </w:rPr>
              <w:t>Revenues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6"/>
        </w:trPr>
        <w:tc>
          <w:tcPr>
            <w:tcW w:w="58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2026</w:t>
            </w:r>
          </w:p>
        </w:tc>
      </w:tr>
      <w:tr>
        <w:trPr>
          <w:trHeight w:val="123"/>
        </w:trPr>
        <w:tc>
          <w:tcPr>
            <w:tcW w:w="5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ind w:left="140"/>
              <w:spacing w:after="0"/>
              <w:rPr>
                <w:sz w:val="20"/>
                <w:szCs w:val="20"/>
                <w:color w:val="auto"/>
              </w:rPr>
            </w:pPr>
            <w:r>
              <w:rPr>
                <w:rFonts w:ascii="Arial" w:cs="Arial" w:eastAsia="Arial" w:hAnsi="Arial"/>
                <w:sz w:val="10"/>
                <w:szCs w:val="10"/>
                <w:b w:val="1"/>
                <w:bCs w:val="1"/>
                <w:color w:val="auto"/>
              </w:rPr>
              <w:t>1Q</w:t>
            </w:r>
          </w:p>
        </w:tc>
        <w:tc>
          <w:tcPr>
            <w:tcW w:w="920" w:type="dxa"/>
            <w:vAlign w:val="bottom"/>
            <w:gridSpan w:val="2"/>
          </w:tcPr>
          <w:p>
            <w:pPr>
              <w:ind w:left="340"/>
              <w:spacing w:after="0"/>
              <w:rPr>
                <w:sz w:val="20"/>
                <w:szCs w:val="20"/>
                <w:color w:val="auto"/>
              </w:rPr>
            </w:pPr>
            <w:r>
              <w:rPr>
                <w:rFonts w:ascii="Arial" w:cs="Arial" w:eastAsia="Arial" w:hAnsi="Arial"/>
                <w:sz w:val="10"/>
                <w:szCs w:val="10"/>
                <w:b w:val="1"/>
                <w:bCs w:val="1"/>
                <w:color w:val="auto"/>
              </w:rPr>
              <w:t>2Q</w:t>
            </w:r>
          </w:p>
        </w:tc>
        <w:tc>
          <w:tcPr>
            <w:tcW w:w="118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rPr>
              <w:t>3Q</w:t>
            </w:r>
          </w:p>
        </w:tc>
        <w:tc>
          <w:tcPr>
            <w:tcW w:w="640" w:type="dxa"/>
            <w:vAlign w:val="bottom"/>
            <w:gridSpan w:val="2"/>
          </w:tcPr>
          <w:p>
            <w:pPr>
              <w:ind w:left="80"/>
              <w:spacing w:after="0"/>
              <w:rPr>
                <w:sz w:val="20"/>
                <w:szCs w:val="20"/>
                <w:color w:val="auto"/>
              </w:rPr>
            </w:pPr>
            <w:r>
              <w:rPr>
                <w:rFonts w:ascii="Arial" w:cs="Arial" w:eastAsia="Arial" w:hAnsi="Arial"/>
                <w:sz w:val="10"/>
                <w:szCs w:val="10"/>
                <w:b w:val="1"/>
                <w:bCs w:val="1"/>
                <w:color w:val="auto"/>
              </w:rPr>
              <w:t>4Q</w:t>
            </w:r>
          </w:p>
        </w:tc>
        <w:tc>
          <w:tcPr>
            <w:tcW w:w="920" w:type="dxa"/>
            <w:vAlign w:val="bottom"/>
            <w:gridSpan w:val="2"/>
          </w:tcPr>
          <w:p>
            <w:pPr>
              <w:ind w:left="220"/>
              <w:spacing w:after="0"/>
              <w:rPr>
                <w:sz w:val="20"/>
                <w:szCs w:val="20"/>
                <w:color w:val="auto"/>
              </w:rPr>
            </w:pPr>
            <w:r>
              <w:rPr>
                <w:rFonts w:ascii="Arial" w:cs="Arial" w:eastAsia="Arial" w:hAnsi="Arial"/>
                <w:sz w:val="10"/>
                <w:szCs w:val="10"/>
                <w:b w:val="1"/>
                <w:bCs w:val="1"/>
                <w:color w:val="auto"/>
              </w:rPr>
              <w:t>Full Year</w:t>
            </w:r>
          </w:p>
        </w:tc>
        <w:tc>
          <w:tcPr>
            <w:tcW w:w="200" w:type="dxa"/>
            <w:vAlign w:val="bottom"/>
          </w:tcPr>
          <w:p>
            <w:pPr>
              <w:spacing w:after="0"/>
              <w:rPr>
                <w:sz w:val="10"/>
                <w:szCs w:val="10"/>
                <w:color w:val="auto"/>
              </w:rPr>
            </w:pPr>
          </w:p>
        </w:tc>
        <w:tc>
          <w:tcPr>
            <w:tcW w:w="640" w:type="dxa"/>
            <w:vAlign w:val="bottom"/>
          </w:tcPr>
          <w:p>
            <w:pPr>
              <w:jc w:val="center"/>
              <w:ind w:right="152"/>
              <w:spacing w:after="0"/>
              <w:rPr>
                <w:sz w:val="20"/>
                <w:szCs w:val="20"/>
                <w:color w:val="auto"/>
              </w:rPr>
            </w:pPr>
            <w:r>
              <w:rPr>
                <w:rFonts w:ascii="Arial" w:cs="Arial" w:eastAsia="Arial" w:hAnsi="Arial"/>
                <w:sz w:val="10"/>
                <w:szCs w:val="10"/>
                <w:b w:val="1"/>
                <w:bCs w:val="1"/>
                <w:color w:val="auto"/>
                <w:w w:val="89"/>
              </w:rPr>
              <w:t>1Q</w:t>
            </w:r>
          </w:p>
        </w:tc>
      </w:tr>
      <w:tr>
        <w:trPr>
          <w:trHeight w:val="115"/>
        </w:trPr>
        <w:tc>
          <w:tcPr>
            <w:tcW w:w="5880" w:type="dxa"/>
            <w:vAlign w:val="bottom"/>
          </w:tcPr>
          <w:p>
            <w:pPr>
              <w:spacing w:after="0"/>
              <w:rPr>
                <w:sz w:val="20"/>
                <w:szCs w:val="20"/>
                <w:color w:val="auto"/>
              </w:rPr>
            </w:pPr>
            <w:r>
              <w:rPr>
                <w:rFonts w:ascii="Arial" w:cs="Arial" w:eastAsia="Arial" w:hAnsi="Arial"/>
                <w:sz w:val="10"/>
                <w:szCs w:val="10"/>
                <w:b w:val="1"/>
                <w:bCs w:val="1"/>
                <w:color w:val="auto"/>
              </w:rPr>
              <w:t>Revenues:</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r>
      <w:tr>
        <w:trPr>
          <w:trHeight w:val="131"/>
        </w:trPr>
        <w:tc>
          <w:tcPr>
            <w:tcW w:w="5880" w:type="dxa"/>
            <w:vAlign w:val="bottom"/>
          </w:tcPr>
          <w:p>
            <w:pPr>
              <w:ind w:left="80"/>
              <w:spacing w:after="0"/>
              <w:rPr>
                <w:sz w:val="20"/>
                <w:szCs w:val="20"/>
                <w:color w:val="auto"/>
              </w:rPr>
            </w:pPr>
            <w:r>
              <w:rPr>
                <w:rFonts w:ascii="Arial" w:cs="Arial" w:eastAsia="Arial" w:hAnsi="Arial"/>
                <w:sz w:val="10"/>
                <w:szCs w:val="10"/>
                <w:color w:val="auto"/>
              </w:rPr>
              <w:t>North America</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417.6</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434.3</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434.8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455.9</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1,742.6</w:t>
            </w:r>
          </w:p>
        </w:tc>
        <w:tc>
          <w:tcPr>
            <w:tcW w:w="80" w:type="dxa"/>
            <w:vAlign w:val="bottom"/>
          </w:tcPr>
          <w:p>
            <w:pPr>
              <w:spacing w:after="0"/>
              <w:rPr>
                <w:sz w:val="11"/>
                <w:szCs w:val="11"/>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439.6</w:t>
            </w:r>
          </w:p>
        </w:tc>
      </w:tr>
      <w:tr>
        <w:trPr>
          <w:trHeight w:val="135"/>
        </w:trPr>
        <w:tc>
          <w:tcPr>
            <w:tcW w:w="5880" w:type="dxa"/>
            <w:vAlign w:val="bottom"/>
          </w:tcPr>
          <w:p>
            <w:pPr>
              <w:ind w:left="80"/>
              <w:spacing w:after="0"/>
              <w:rPr>
                <w:sz w:val="20"/>
                <w:szCs w:val="20"/>
                <w:color w:val="auto"/>
              </w:rPr>
            </w:pPr>
            <w:r>
              <w:rPr>
                <w:rFonts w:ascii="Arial" w:cs="Arial" w:eastAsia="Arial" w:hAnsi="Arial"/>
                <w:sz w:val="10"/>
                <w:szCs w:val="10"/>
                <w:color w:val="auto"/>
              </w:rPr>
              <w:t>Latin America</w:t>
            </w: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307.6</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319.4</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326.8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335.8</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1,289.6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343.8</w:t>
            </w:r>
          </w:p>
        </w:tc>
      </w:tr>
      <w:tr>
        <w:trPr>
          <w:trHeight w:val="153"/>
        </w:trPr>
        <w:tc>
          <w:tcPr>
            <w:tcW w:w="5880" w:type="dxa"/>
            <w:vAlign w:val="bottom"/>
          </w:tcPr>
          <w:p>
            <w:pPr>
              <w:ind w:left="80"/>
              <w:spacing w:after="0"/>
              <w:rPr>
                <w:sz w:val="20"/>
                <w:szCs w:val="20"/>
                <w:color w:val="auto"/>
              </w:rPr>
            </w:pPr>
            <w:r>
              <w:rPr>
                <w:rFonts w:ascii="Arial" w:cs="Arial" w:eastAsia="Arial" w:hAnsi="Arial"/>
                <w:sz w:val="10"/>
                <w:szCs w:val="10"/>
                <w:color w:val="auto"/>
              </w:rPr>
              <w:t>Europe</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319.0</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358.0</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375.3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377.2</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1,429.5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365.9</w:t>
            </w:r>
          </w:p>
        </w:tc>
      </w:tr>
      <w:tr>
        <w:trPr>
          <w:trHeight w:val="153"/>
        </w:trPr>
        <w:tc>
          <w:tcPr>
            <w:tcW w:w="5880" w:type="dxa"/>
            <w:vAlign w:val="bottom"/>
          </w:tcPr>
          <w:p>
            <w:pPr>
              <w:ind w:left="80"/>
              <w:spacing w:after="0"/>
              <w:rPr>
                <w:sz w:val="20"/>
                <w:szCs w:val="20"/>
                <w:color w:val="auto"/>
              </w:rPr>
            </w:pPr>
            <w:r>
              <w:rPr>
                <w:rFonts w:ascii="Arial" w:cs="Arial" w:eastAsia="Arial" w:hAnsi="Arial"/>
                <w:sz w:val="10"/>
                <w:szCs w:val="10"/>
                <w:color w:val="auto"/>
              </w:rPr>
              <w:t>Rest of World</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202.5</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188.8</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198.1</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210.1</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799.5</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225.8</w:t>
            </w:r>
          </w:p>
        </w:tc>
      </w:tr>
      <w:tr>
        <w:trPr>
          <w:trHeight w:val="129"/>
        </w:trPr>
        <w:tc>
          <w:tcPr>
            <w:tcW w:w="5880" w:type="dxa"/>
            <w:vAlign w:val="bottom"/>
          </w:tcPr>
          <w:p>
            <w:pPr>
              <w:ind w:left="220"/>
              <w:spacing w:after="0"/>
              <w:rPr>
                <w:sz w:val="20"/>
                <w:szCs w:val="20"/>
                <w:color w:val="auto"/>
              </w:rPr>
            </w:pPr>
            <w:r>
              <w:rPr>
                <w:rFonts w:ascii="Arial" w:cs="Arial" w:eastAsia="Arial" w:hAnsi="Arial"/>
                <w:sz w:val="10"/>
                <w:szCs w:val="10"/>
                <w:b w:val="1"/>
                <w:bCs w:val="1"/>
                <w:color w:val="auto"/>
              </w:rPr>
              <w:t>Segment revenues</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1,246.7</w:t>
            </w:r>
          </w:p>
        </w:tc>
        <w:tc>
          <w:tcPr>
            <w:tcW w:w="100" w:type="dxa"/>
            <w:vAlign w:val="bottom"/>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1,300.5</w:t>
            </w:r>
          </w:p>
        </w:tc>
        <w:tc>
          <w:tcPr>
            <w:tcW w:w="100" w:type="dxa"/>
            <w:vAlign w:val="bottom"/>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1,335.0</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1,379.0</w:t>
            </w:r>
          </w:p>
        </w:tc>
        <w:tc>
          <w:tcPr>
            <w:tcW w:w="80" w:type="dxa"/>
            <w:vAlign w:val="bottom"/>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5,261.2</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1,375.1</w:t>
            </w:r>
          </w:p>
        </w:tc>
      </w:tr>
    </w:tbl>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ind w:left="500"/>
              <w:spacing w:after="0"/>
              <w:rPr>
                <w:sz w:val="20"/>
                <w:szCs w:val="20"/>
                <w:color w:val="auto"/>
              </w:rPr>
            </w:pPr>
            <w:r>
              <w:rPr>
                <w:rFonts w:ascii="Arial" w:cs="Arial" w:eastAsia="Arial" w:hAnsi="Arial"/>
                <w:sz w:val="10"/>
                <w:szCs w:val="10"/>
                <w:b w:val="1"/>
                <w:bCs w:val="1"/>
                <w:color w:val="auto"/>
                <w:w w:val="94"/>
              </w:rPr>
              <w:t>Operating Profit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6"/>
        </w:trPr>
        <w:tc>
          <w:tcPr>
            <w:tcW w:w="58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2026</w:t>
            </w:r>
          </w:p>
        </w:tc>
      </w:tr>
      <w:tr>
        <w:trPr>
          <w:trHeight w:val="123"/>
        </w:trPr>
        <w:tc>
          <w:tcPr>
            <w:tcW w:w="58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1Q</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ind w:left="340"/>
              <w:spacing w:after="0"/>
              <w:rPr>
                <w:sz w:val="20"/>
                <w:szCs w:val="20"/>
                <w:color w:val="auto"/>
              </w:rPr>
            </w:pPr>
            <w:r>
              <w:rPr>
                <w:rFonts w:ascii="Arial" w:cs="Arial" w:eastAsia="Arial" w:hAnsi="Arial"/>
                <w:sz w:val="10"/>
                <w:szCs w:val="10"/>
                <w:b w:val="1"/>
                <w:bCs w:val="1"/>
                <w:color w:val="auto"/>
              </w:rPr>
              <w:t>2Q</w:t>
            </w:r>
          </w:p>
        </w:tc>
        <w:tc>
          <w:tcPr>
            <w:tcW w:w="124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rPr>
              <w:t>3Q</w:t>
            </w:r>
          </w:p>
        </w:tc>
        <w:tc>
          <w:tcPr>
            <w:tcW w:w="580" w:type="dxa"/>
            <w:vAlign w:val="bottom"/>
            <w:gridSpan w:val="2"/>
          </w:tcPr>
          <w:p>
            <w:pPr>
              <w:ind w:left="20"/>
              <w:spacing w:after="0"/>
              <w:rPr>
                <w:sz w:val="20"/>
                <w:szCs w:val="20"/>
                <w:color w:val="auto"/>
              </w:rPr>
            </w:pPr>
            <w:r>
              <w:rPr>
                <w:rFonts w:ascii="Arial" w:cs="Arial" w:eastAsia="Arial" w:hAnsi="Arial"/>
                <w:sz w:val="10"/>
                <w:szCs w:val="10"/>
                <w:b w:val="1"/>
                <w:bCs w:val="1"/>
                <w:color w:val="auto"/>
              </w:rPr>
              <w:t>4Q</w:t>
            </w:r>
          </w:p>
        </w:tc>
        <w:tc>
          <w:tcPr>
            <w:tcW w:w="920" w:type="dxa"/>
            <w:vAlign w:val="bottom"/>
            <w:gridSpan w:val="2"/>
          </w:tcPr>
          <w:p>
            <w:pPr>
              <w:ind w:left="220"/>
              <w:spacing w:after="0"/>
              <w:rPr>
                <w:sz w:val="20"/>
                <w:szCs w:val="20"/>
                <w:color w:val="auto"/>
              </w:rPr>
            </w:pPr>
            <w:r>
              <w:rPr>
                <w:rFonts w:ascii="Arial" w:cs="Arial" w:eastAsia="Arial" w:hAnsi="Arial"/>
                <w:sz w:val="10"/>
                <w:szCs w:val="10"/>
                <w:b w:val="1"/>
                <w:bCs w:val="1"/>
                <w:color w:val="auto"/>
              </w:rPr>
              <w:t>Full Year</w:t>
            </w:r>
          </w:p>
        </w:tc>
        <w:tc>
          <w:tcPr>
            <w:tcW w:w="200" w:type="dxa"/>
            <w:vAlign w:val="bottom"/>
          </w:tcPr>
          <w:p>
            <w:pPr>
              <w:spacing w:after="0"/>
              <w:rPr>
                <w:sz w:val="10"/>
                <w:szCs w:val="10"/>
                <w:color w:val="auto"/>
              </w:rPr>
            </w:pPr>
          </w:p>
        </w:tc>
        <w:tc>
          <w:tcPr>
            <w:tcW w:w="640" w:type="dxa"/>
            <w:vAlign w:val="bottom"/>
          </w:tcPr>
          <w:p>
            <w:pPr>
              <w:jc w:val="center"/>
              <w:ind w:right="152"/>
              <w:spacing w:after="0"/>
              <w:rPr>
                <w:sz w:val="20"/>
                <w:szCs w:val="20"/>
                <w:color w:val="auto"/>
              </w:rPr>
            </w:pPr>
            <w:r>
              <w:rPr>
                <w:rFonts w:ascii="Arial" w:cs="Arial" w:eastAsia="Arial" w:hAnsi="Arial"/>
                <w:sz w:val="10"/>
                <w:szCs w:val="10"/>
                <w:b w:val="1"/>
                <w:bCs w:val="1"/>
                <w:color w:val="auto"/>
                <w:w w:val="89"/>
              </w:rPr>
              <w:t>1Q</w:t>
            </w:r>
          </w:p>
        </w:tc>
      </w:tr>
      <w:tr>
        <w:trPr>
          <w:trHeight w:val="115"/>
        </w:trPr>
        <w:tc>
          <w:tcPr>
            <w:tcW w:w="5880" w:type="dxa"/>
            <w:vAlign w:val="bottom"/>
          </w:tcPr>
          <w:p>
            <w:pPr>
              <w:spacing w:after="0"/>
              <w:rPr>
                <w:sz w:val="20"/>
                <w:szCs w:val="20"/>
                <w:color w:val="auto"/>
              </w:rPr>
            </w:pPr>
            <w:r>
              <w:rPr>
                <w:rFonts w:ascii="Arial" w:cs="Arial" w:eastAsia="Arial" w:hAnsi="Arial"/>
                <w:sz w:val="10"/>
                <w:szCs w:val="10"/>
                <w:b w:val="1"/>
                <w:bCs w:val="1"/>
                <w:color w:val="auto"/>
              </w:rPr>
              <w:t>Operating profit:</w:t>
            </w:r>
          </w:p>
        </w:tc>
        <w:tc>
          <w:tcPr>
            <w:tcW w:w="5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r>
      <w:tr>
        <w:trPr>
          <w:trHeight w:val="131"/>
        </w:trPr>
        <w:tc>
          <w:tcPr>
            <w:tcW w:w="5880" w:type="dxa"/>
            <w:vAlign w:val="bottom"/>
          </w:tcPr>
          <w:p>
            <w:pPr>
              <w:ind w:left="80"/>
              <w:spacing w:after="0"/>
              <w:rPr>
                <w:sz w:val="20"/>
                <w:szCs w:val="20"/>
                <w:color w:val="auto"/>
              </w:rPr>
            </w:pPr>
            <w:r>
              <w:rPr>
                <w:rFonts w:ascii="Arial" w:cs="Arial" w:eastAsia="Arial" w:hAnsi="Arial"/>
                <w:sz w:val="10"/>
                <w:szCs w:val="10"/>
                <w:color w:val="auto"/>
              </w:rPr>
              <w:t>North America</w:t>
            </w: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0"/>
                <w:szCs w:val="10"/>
                <w:color w:val="auto"/>
              </w:rPr>
              <w:t>53.1</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62.3</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56.8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74.5</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246.7</w:t>
            </w:r>
          </w:p>
        </w:tc>
        <w:tc>
          <w:tcPr>
            <w:tcW w:w="80" w:type="dxa"/>
            <w:vAlign w:val="bottom"/>
          </w:tcPr>
          <w:p>
            <w:pPr>
              <w:spacing w:after="0"/>
              <w:rPr>
                <w:sz w:val="11"/>
                <w:szCs w:val="11"/>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60.9</w:t>
            </w:r>
          </w:p>
        </w:tc>
      </w:tr>
      <w:tr>
        <w:trPr>
          <w:trHeight w:val="135"/>
        </w:trPr>
        <w:tc>
          <w:tcPr>
            <w:tcW w:w="5880" w:type="dxa"/>
            <w:vAlign w:val="bottom"/>
          </w:tcPr>
          <w:p>
            <w:pPr>
              <w:ind w:left="80"/>
              <w:spacing w:after="0"/>
              <w:rPr>
                <w:sz w:val="20"/>
                <w:szCs w:val="20"/>
                <w:color w:val="auto"/>
              </w:rPr>
            </w:pPr>
            <w:r>
              <w:rPr>
                <w:rFonts w:ascii="Arial" w:cs="Arial" w:eastAsia="Arial" w:hAnsi="Arial"/>
                <w:sz w:val="10"/>
                <w:szCs w:val="10"/>
                <w:color w:val="auto"/>
              </w:rPr>
              <w:t>Latin America</w:t>
            </w:r>
          </w:p>
        </w:tc>
        <w:tc>
          <w:tcPr>
            <w:tcW w:w="5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53.9</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55.0</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65.9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69.1</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243.9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57.4</w:t>
            </w:r>
          </w:p>
        </w:tc>
      </w:tr>
      <w:tr>
        <w:trPr>
          <w:trHeight w:val="153"/>
        </w:trPr>
        <w:tc>
          <w:tcPr>
            <w:tcW w:w="5880" w:type="dxa"/>
            <w:vAlign w:val="bottom"/>
          </w:tcPr>
          <w:p>
            <w:pPr>
              <w:ind w:left="80"/>
              <w:spacing w:after="0"/>
              <w:rPr>
                <w:sz w:val="20"/>
                <w:szCs w:val="20"/>
                <w:color w:val="auto"/>
              </w:rPr>
            </w:pPr>
            <w:r>
              <w:rPr>
                <w:rFonts w:ascii="Arial" w:cs="Arial" w:eastAsia="Arial" w:hAnsi="Arial"/>
                <w:sz w:val="10"/>
                <w:szCs w:val="10"/>
                <w:color w:val="auto"/>
              </w:rPr>
              <w:t>Europe</w:t>
            </w:r>
          </w:p>
        </w:tc>
        <w:tc>
          <w:tcPr>
            <w:tcW w:w="5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28.1</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42.4</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49.9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56.8</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177.2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39.9</w:t>
            </w:r>
          </w:p>
        </w:tc>
      </w:tr>
      <w:tr>
        <w:trPr>
          <w:trHeight w:val="153"/>
        </w:trPr>
        <w:tc>
          <w:tcPr>
            <w:tcW w:w="5880" w:type="dxa"/>
            <w:vAlign w:val="bottom"/>
          </w:tcPr>
          <w:p>
            <w:pPr>
              <w:ind w:left="80"/>
              <w:spacing w:after="0"/>
              <w:rPr>
                <w:sz w:val="20"/>
                <w:szCs w:val="20"/>
                <w:color w:val="auto"/>
              </w:rPr>
            </w:pPr>
            <w:r>
              <w:rPr>
                <w:rFonts w:ascii="Arial" w:cs="Arial" w:eastAsia="Arial" w:hAnsi="Arial"/>
                <w:sz w:val="10"/>
                <w:szCs w:val="10"/>
                <w:color w:val="auto"/>
              </w:rPr>
              <w:t>Rest of World</w:t>
            </w: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47.2</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38.3</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44.1</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48.6</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178.2</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55.0</w:t>
            </w:r>
          </w:p>
        </w:tc>
      </w:tr>
      <w:tr>
        <w:trPr>
          <w:trHeight w:val="128"/>
        </w:trPr>
        <w:tc>
          <w:tcPr>
            <w:tcW w:w="5880" w:type="dxa"/>
            <w:vAlign w:val="bottom"/>
          </w:tcPr>
          <w:p>
            <w:pPr>
              <w:ind w:left="220"/>
              <w:spacing w:after="0"/>
              <w:rPr>
                <w:sz w:val="20"/>
                <w:szCs w:val="20"/>
                <w:color w:val="auto"/>
              </w:rPr>
            </w:pPr>
            <w:r>
              <w:rPr>
                <w:rFonts w:ascii="Arial" w:cs="Arial" w:eastAsia="Arial" w:hAnsi="Arial"/>
                <w:sz w:val="10"/>
                <w:szCs w:val="10"/>
                <w:b w:val="1"/>
                <w:bCs w:val="1"/>
                <w:color w:val="auto"/>
              </w:rPr>
              <w:t>Segment operating profit</w:t>
            </w:r>
          </w:p>
        </w:tc>
        <w:tc>
          <w:tcPr>
            <w:tcW w:w="5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182.3</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198.0</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216.7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249.0</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846.0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213.2</w:t>
            </w:r>
          </w:p>
        </w:tc>
      </w:tr>
      <w:tr>
        <w:trPr>
          <w:trHeight w:val="131"/>
        </w:trPr>
        <w:tc>
          <w:tcPr>
            <w:tcW w:w="5880" w:type="dxa"/>
            <w:vAlign w:val="bottom"/>
          </w:tcPr>
          <w:p>
            <w:pPr>
              <w:ind w:left="80"/>
              <w:spacing w:after="0"/>
              <w:rPr>
                <w:sz w:val="20"/>
                <w:szCs w:val="20"/>
                <w:color w:val="auto"/>
              </w:rPr>
            </w:pPr>
            <w:r>
              <w:rPr>
                <w:rFonts w:ascii="Arial" w:cs="Arial" w:eastAsia="Arial" w:hAnsi="Arial"/>
                <w:sz w:val="10"/>
                <w:szCs w:val="10"/>
                <w:color w:val="auto"/>
              </w:rPr>
              <w:t>Corporate expenses</w:t>
            </w:r>
            <w:r>
              <w:rPr>
                <w:rFonts w:ascii="Arial" w:cs="Arial" w:eastAsia="Arial" w:hAnsi="Arial"/>
                <w:sz w:val="6"/>
                <w:szCs w:val="6"/>
                <w:color w:val="auto"/>
              </w:rPr>
              <w:t>(a)</w:t>
            </w:r>
          </w:p>
        </w:tc>
        <w:tc>
          <w:tcPr>
            <w:tcW w:w="5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(31.7)</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(33.5)</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(28.5)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(42.4)</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(136.1)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(44.8)</w:t>
            </w:r>
          </w:p>
        </w:tc>
      </w:tr>
      <w:tr>
        <w:trPr>
          <w:trHeight w:val="144"/>
        </w:trPr>
        <w:tc>
          <w:tcPr>
            <w:tcW w:w="5880" w:type="dxa"/>
            <w:vAlign w:val="bottom"/>
          </w:tcPr>
          <w:p>
            <w:pPr>
              <w:ind w:left="80"/>
              <w:spacing w:after="0"/>
              <w:rPr>
                <w:sz w:val="20"/>
                <w:szCs w:val="20"/>
                <w:color w:val="auto"/>
              </w:rPr>
            </w:pPr>
            <w:r>
              <w:rPr>
                <w:rFonts w:ascii="Arial" w:cs="Arial" w:eastAsia="Arial" w:hAnsi="Arial"/>
                <w:sz w:val="10"/>
                <w:szCs w:val="10"/>
                <w:color w:val="auto"/>
              </w:rPr>
              <w:t>Other items not allocated to segments</w:t>
            </w:r>
            <w:r>
              <w:rPr>
                <w:rFonts w:ascii="Arial" w:cs="Arial" w:eastAsia="Arial" w:hAnsi="Arial"/>
                <w:sz w:val="6"/>
                <w:szCs w:val="6"/>
                <w:color w:val="auto"/>
              </w:rPr>
              <w:t>(a)</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2"/>
        </w:trPr>
        <w:tc>
          <w:tcPr>
            <w:tcW w:w="5880" w:type="dxa"/>
            <w:vAlign w:val="bottom"/>
          </w:tcPr>
          <w:p>
            <w:pPr>
              <w:ind w:left="140"/>
              <w:spacing w:after="0"/>
              <w:rPr>
                <w:sz w:val="20"/>
                <w:szCs w:val="20"/>
                <w:color w:val="auto"/>
              </w:rPr>
            </w:pPr>
            <w:r>
              <w:rPr>
                <w:rFonts w:ascii="Arial" w:cs="Arial" w:eastAsia="Arial" w:hAnsi="Arial"/>
                <w:sz w:val="10"/>
                <w:szCs w:val="10"/>
                <w:color w:val="auto"/>
              </w:rPr>
              <w:t>Reorganization and Restructuring</w:t>
            </w:r>
          </w:p>
        </w:tc>
        <w:tc>
          <w:tcPr>
            <w:tcW w:w="5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(0.5)</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(0.2)</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(0.3)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(0.4)</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3"/>
        </w:trPr>
        <w:tc>
          <w:tcPr>
            <w:tcW w:w="5880" w:type="dxa"/>
            <w:vAlign w:val="bottom"/>
          </w:tcPr>
          <w:p>
            <w:pPr>
              <w:ind w:left="140"/>
              <w:spacing w:after="0"/>
              <w:rPr>
                <w:sz w:val="20"/>
                <w:szCs w:val="20"/>
                <w:color w:val="auto"/>
              </w:rPr>
            </w:pPr>
            <w:r>
              <w:rPr>
                <w:rFonts w:ascii="Arial" w:cs="Arial" w:eastAsia="Arial" w:hAnsi="Arial"/>
                <w:sz w:val="10"/>
                <w:szCs w:val="10"/>
                <w:color w:val="auto"/>
              </w:rPr>
              <w:t>Acquisitions and dispositions</w:t>
            </w:r>
          </w:p>
        </w:tc>
        <w:tc>
          <w:tcPr>
            <w:tcW w:w="5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(18.5)</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(25.8)</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(17.8)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(16.4)</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(78.5)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(15.6)</w:t>
            </w:r>
          </w:p>
        </w:tc>
      </w:tr>
      <w:tr>
        <w:trPr>
          <w:trHeight w:val="135"/>
        </w:trPr>
        <w:tc>
          <w:tcPr>
            <w:tcW w:w="5880" w:type="dxa"/>
            <w:vAlign w:val="bottom"/>
          </w:tcPr>
          <w:p>
            <w:pPr>
              <w:ind w:left="140"/>
              <w:spacing w:after="0"/>
              <w:rPr>
                <w:sz w:val="20"/>
                <w:szCs w:val="20"/>
                <w:color w:val="auto"/>
              </w:rPr>
            </w:pPr>
            <w:r>
              <w:rPr>
                <w:rFonts w:ascii="Arial" w:cs="Arial" w:eastAsia="Arial" w:hAnsi="Arial"/>
                <w:sz w:val="10"/>
                <w:szCs w:val="10"/>
                <w:color w:val="auto"/>
              </w:rPr>
              <w:t>Argentina highly inflationary impact</w:t>
            </w:r>
          </w:p>
        </w:tc>
        <w:tc>
          <w:tcPr>
            <w:tcW w:w="5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(6.3)</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(1.1)</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0.5</w:t>
            </w:r>
          </w:p>
        </w:tc>
      </w:tr>
      <w:tr>
        <w:trPr>
          <w:trHeight w:val="135"/>
        </w:trPr>
        <w:tc>
          <w:tcPr>
            <w:tcW w:w="5880" w:type="dxa"/>
            <w:vAlign w:val="bottom"/>
          </w:tcPr>
          <w:p>
            <w:pPr>
              <w:ind w:left="140"/>
              <w:spacing w:after="0"/>
              <w:rPr>
                <w:sz w:val="20"/>
                <w:szCs w:val="20"/>
                <w:color w:val="auto"/>
              </w:rPr>
            </w:pPr>
            <w:r>
              <w:rPr>
                <w:rFonts w:ascii="Arial" w:cs="Arial" w:eastAsia="Arial" w:hAnsi="Arial"/>
                <w:sz w:val="10"/>
                <w:szCs w:val="10"/>
                <w:color w:val="auto"/>
              </w:rPr>
              <w:t>NCR Atleos acquisition and transformation initiatives</w:t>
            </w:r>
          </w:p>
        </w:tc>
        <w:tc>
          <w:tcPr>
            <w:tcW w:w="5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(5.1)</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(5.4)</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(8.1)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(7.4)</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(26.0)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(38.9)</w:t>
            </w:r>
          </w:p>
        </w:tc>
      </w:tr>
      <w:tr>
        <w:trPr>
          <w:trHeight w:val="135"/>
        </w:trPr>
        <w:tc>
          <w:tcPr>
            <w:tcW w:w="5880" w:type="dxa"/>
            <w:vAlign w:val="bottom"/>
          </w:tcPr>
          <w:p>
            <w:pPr>
              <w:ind w:left="140"/>
              <w:spacing w:after="0"/>
              <w:rPr>
                <w:sz w:val="20"/>
                <w:szCs w:val="20"/>
                <w:color w:val="auto"/>
              </w:rPr>
            </w:pPr>
            <w:r>
              <w:rPr>
                <w:rFonts w:ascii="Arial" w:cs="Arial" w:eastAsia="Arial" w:hAnsi="Arial"/>
                <w:sz w:val="10"/>
                <w:szCs w:val="10"/>
                <w:color w:val="auto"/>
              </w:rPr>
              <w:t>Non-routine legal matters</w:t>
            </w:r>
          </w:p>
        </w:tc>
        <w:tc>
          <w:tcPr>
            <w:tcW w:w="500" w:type="dxa"/>
            <w:vAlign w:val="bottom"/>
          </w:tcPr>
          <w:p>
            <w:pPr>
              <w:spacing w:after="0"/>
              <w:rPr>
                <w:sz w:val="11"/>
                <w:szCs w:val="11"/>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40" w:type="dxa"/>
            <w:vAlign w:val="bottom"/>
            <w:gridSpan w:val="3"/>
          </w:tcPr>
          <w:p>
            <w:pPr>
              <w:jc w:val="right"/>
              <w:ind w:right="46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(2.8)</w:t>
            </w:r>
          </w:p>
        </w:tc>
      </w:tr>
      <w:tr>
        <w:trPr>
          <w:trHeight w:val="135"/>
        </w:trPr>
        <w:tc>
          <w:tcPr>
            <w:tcW w:w="5880" w:type="dxa"/>
            <w:vAlign w:val="bottom"/>
          </w:tcPr>
          <w:p>
            <w:pPr>
              <w:ind w:left="140"/>
              <w:spacing w:after="0"/>
              <w:rPr>
                <w:sz w:val="20"/>
                <w:szCs w:val="20"/>
                <w:color w:val="auto"/>
              </w:rPr>
            </w:pPr>
            <w:r>
              <w:rPr>
                <w:rFonts w:ascii="Arial" w:cs="Arial" w:eastAsia="Arial" w:hAnsi="Arial"/>
                <w:sz w:val="10"/>
                <w:szCs w:val="10"/>
                <w:color w:val="auto"/>
              </w:rPr>
              <w:t>DOJ/FinCEN investigations</w:t>
            </w:r>
          </w:p>
        </w:tc>
        <w:tc>
          <w:tcPr>
            <w:tcW w:w="5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(0.9)</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(0.9)</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(6.5)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w:t>
            </w:r>
          </w:p>
        </w:tc>
      </w:tr>
      <w:tr>
        <w:trPr>
          <w:trHeight w:val="135"/>
        </w:trPr>
        <w:tc>
          <w:tcPr>
            <w:tcW w:w="5880" w:type="dxa"/>
            <w:vAlign w:val="bottom"/>
          </w:tcPr>
          <w:p>
            <w:pPr>
              <w:ind w:left="140"/>
              <w:spacing w:after="0"/>
              <w:rPr>
                <w:sz w:val="20"/>
                <w:szCs w:val="20"/>
                <w:color w:val="auto"/>
              </w:rPr>
            </w:pPr>
            <w:r>
              <w:rPr>
                <w:rFonts w:ascii="Arial" w:cs="Arial" w:eastAsia="Arial" w:hAnsi="Arial"/>
                <w:sz w:val="10"/>
                <w:szCs w:val="10"/>
                <w:color w:val="auto"/>
              </w:rPr>
              <w:t>Chile antitrust matter</w:t>
            </w:r>
          </w:p>
        </w:tc>
        <w:tc>
          <w:tcPr>
            <w:tcW w:w="5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(0.2)</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(0.2)</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(0.2)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(0.2)</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(0.8)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(0.2)</w:t>
            </w:r>
          </w:p>
        </w:tc>
      </w:tr>
      <w:tr>
        <w:trPr>
          <w:trHeight w:val="135"/>
        </w:trPr>
        <w:tc>
          <w:tcPr>
            <w:tcW w:w="5880" w:type="dxa"/>
            <w:vAlign w:val="bottom"/>
          </w:tcPr>
          <w:p>
            <w:pPr>
              <w:ind w:left="140"/>
              <w:spacing w:after="0"/>
              <w:rPr>
                <w:sz w:val="20"/>
                <w:szCs w:val="20"/>
                <w:color w:val="auto"/>
              </w:rPr>
            </w:pPr>
            <w:r>
              <w:rPr>
                <w:rFonts w:ascii="Arial" w:cs="Arial" w:eastAsia="Arial" w:hAnsi="Arial"/>
                <w:sz w:val="10"/>
                <w:szCs w:val="10"/>
                <w:color w:val="auto"/>
              </w:rPr>
              <w:t>Non-routine auto loss matter</w:t>
            </w:r>
          </w:p>
        </w:tc>
        <w:tc>
          <w:tcPr>
            <w:tcW w:w="500" w:type="dxa"/>
            <w:vAlign w:val="bottom"/>
          </w:tcPr>
          <w:p>
            <w:pPr>
              <w:spacing w:after="0"/>
              <w:rPr>
                <w:sz w:val="11"/>
                <w:szCs w:val="11"/>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9"/>
        </w:trPr>
        <w:tc>
          <w:tcPr>
            <w:tcW w:w="5880" w:type="dxa"/>
            <w:vAlign w:val="bottom"/>
          </w:tcPr>
          <w:p>
            <w:pPr>
              <w:ind w:left="220"/>
              <w:spacing w:after="0"/>
              <w:rPr>
                <w:sz w:val="20"/>
                <w:szCs w:val="20"/>
                <w:color w:val="auto"/>
              </w:rPr>
            </w:pPr>
            <w:r>
              <w:rPr>
                <w:rFonts w:ascii="Arial" w:cs="Arial" w:eastAsia="Arial" w:hAnsi="Arial"/>
                <w:sz w:val="10"/>
                <w:szCs w:val="10"/>
                <w:b w:val="1"/>
                <w:bCs w:val="1"/>
                <w:color w:val="auto"/>
              </w:rPr>
              <w:t>Operating profit</w:t>
            </w:r>
          </w:p>
        </w:tc>
        <w:tc>
          <w:tcPr>
            <w:tcW w:w="5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119.1</w:t>
            </w:r>
          </w:p>
        </w:tc>
        <w:tc>
          <w:tcPr>
            <w:tcW w:w="10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133.9</w:t>
            </w:r>
          </w:p>
        </w:tc>
        <w:tc>
          <w:tcPr>
            <w:tcW w:w="10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152.4</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180.1</w:t>
            </w:r>
          </w:p>
        </w:tc>
        <w:tc>
          <w:tcPr>
            <w:tcW w:w="8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585.5</w:t>
            </w: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110.2</w:t>
            </w:r>
          </w:p>
        </w:tc>
      </w:tr>
    </w:tbl>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4"/>
          </w:tcPr>
          <w:p>
            <w:pPr>
              <w:ind w:left="200"/>
              <w:spacing w:after="0"/>
              <w:rPr>
                <w:sz w:val="20"/>
                <w:szCs w:val="20"/>
                <w:color w:val="auto"/>
              </w:rPr>
            </w:pPr>
            <w:r>
              <w:rPr>
                <w:rFonts w:ascii="Arial" w:cs="Arial" w:eastAsia="Arial" w:hAnsi="Arial"/>
                <w:sz w:val="10"/>
                <w:szCs w:val="10"/>
                <w:b w:val="1"/>
                <w:bCs w:val="1"/>
                <w:color w:val="auto"/>
              </w:rPr>
              <w:t>Operating Margin Percentage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6"/>
        </w:trPr>
        <w:tc>
          <w:tcPr>
            <w:tcW w:w="58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2026</w:t>
            </w:r>
          </w:p>
        </w:tc>
      </w:tr>
      <w:tr>
        <w:trPr>
          <w:trHeight w:val="124"/>
        </w:trPr>
        <w:tc>
          <w:tcPr>
            <w:tcW w:w="5880" w:type="dxa"/>
            <w:vAlign w:val="bottom"/>
          </w:tcPr>
          <w:p>
            <w:pPr>
              <w:spacing w:after="0"/>
              <w:rPr>
                <w:sz w:val="10"/>
                <w:szCs w:val="10"/>
                <w:color w:val="auto"/>
              </w:rPr>
            </w:pPr>
          </w:p>
        </w:tc>
        <w:tc>
          <w:tcPr>
            <w:tcW w:w="540" w:type="dxa"/>
            <w:vAlign w:val="bottom"/>
          </w:tcPr>
          <w:p>
            <w:pPr>
              <w:ind w:left="340"/>
              <w:spacing w:after="0"/>
              <w:rPr>
                <w:sz w:val="20"/>
                <w:szCs w:val="20"/>
                <w:color w:val="auto"/>
              </w:rPr>
            </w:pPr>
            <w:r>
              <w:rPr>
                <w:rFonts w:ascii="Arial" w:cs="Arial" w:eastAsia="Arial" w:hAnsi="Arial"/>
                <w:sz w:val="10"/>
                <w:szCs w:val="10"/>
                <w:b w:val="1"/>
                <w:bCs w:val="1"/>
                <w:color w:val="auto"/>
              </w:rPr>
              <w:t>1Q</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ind w:left="340"/>
              <w:spacing w:after="0"/>
              <w:rPr>
                <w:sz w:val="20"/>
                <w:szCs w:val="20"/>
                <w:color w:val="auto"/>
              </w:rPr>
            </w:pPr>
            <w:r>
              <w:rPr>
                <w:rFonts w:ascii="Arial" w:cs="Arial" w:eastAsia="Arial" w:hAnsi="Arial"/>
                <w:sz w:val="10"/>
                <w:szCs w:val="10"/>
                <w:b w:val="1"/>
                <w:bCs w:val="1"/>
                <w:color w:val="auto"/>
              </w:rPr>
              <w:t>2Q</w:t>
            </w:r>
          </w:p>
        </w:tc>
        <w:tc>
          <w:tcPr>
            <w:tcW w:w="9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3Q</w:t>
            </w:r>
          </w:p>
        </w:tc>
        <w:tc>
          <w:tcPr>
            <w:tcW w:w="900" w:type="dxa"/>
            <w:vAlign w:val="bottom"/>
            <w:gridSpan w:val="2"/>
          </w:tcPr>
          <w:p>
            <w:pPr>
              <w:ind w:left="340"/>
              <w:spacing w:after="0"/>
              <w:rPr>
                <w:sz w:val="20"/>
                <w:szCs w:val="20"/>
                <w:color w:val="auto"/>
              </w:rPr>
            </w:pPr>
            <w:r>
              <w:rPr>
                <w:rFonts w:ascii="Arial" w:cs="Arial" w:eastAsia="Arial" w:hAnsi="Arial"/>
                <w:sz w:val="10"/>
                <w:szCs w:val="10"/>
                <w:b w:val="1"/>
                <w:bCs w:val="1"/>
                <w:color w:val="auto"/>
              </w:rPr>
              <w:t>4Q</w:t>
            </w:r>
          </w:p>
        </w:tc>
        <w:tc>
          <w:tcPr>
            <w:tcW w:w="920" w:type="dxa"/>
            <w:vAlign w:val="bottom"/>
            <w:gridSpan w:val="2"/>
          </w:tcPr>
          <w:p>
            <w:pPr>
              <w:ind w:left="220"/>
              <w:spacing w:after="0"/>
              <w:rPr>
                <w:sz w:val="20"/>
                <w:szCs w:val="20"/>
                <w:color w:val="auto"/>
              </w:rPr>
            </w:pPr>
            <w:r>
              <w:rPr>
                <w:rFonts w:ascii="Arial" w:cs="Arial" w:eastAsia="Arial" w:hAnsi="Arial"/>
                <w:sz w:val="10"/>
                <w:szCs w:val="10"/>
                <w:b w:val="1"/>
                <w:bCs w:val="1"/>
                <w:color w:val="auto"/>
              </w:rPr>
              <w:t>Full Year</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89"/>
              </w:rPr>
              <w:t>1Q</w:t>
            </w:r>
          </w:p>
        </w:tc>
      </w:tr>
      <w:tr>
        <w:trPr>
          <w:trHeight w:val="114"/>
        </w:trPr>
        <w:tc>
          <w:tcPr>
            <w:tcW w:w="5880" w:type="dxa"/>
            <w:vAlign w:val="bottom"/>
          </w:tcPr>
          <w:p>
            <w:pPr>
              <w:spacing w:after="0"/>
              <w:rPr>
                <w:sz w:val="20"/>
                <w:szCs w:val="20"/>
                <w:color w:val="auto"/>
              </w:rPr>
            </w:pPr>
            <w:r>
              <w:rPr>
                <w:rFonts w:ascii="Arial" w:cs="Arial" w:eastAsia="Arial" w:hAnsi="Arial"/>
                <w:sz w:val="10"/>
                <w:szCs w:val="10"/>
                <w:b w:val="1"/>
                <w:bCs w:val="1"/>
                <w:color w:val="auto"/>
              </w:rPr>
              <w:t>Operating margin percentage:</w:t>
            </w:r>
          </w:p>
        </w:tc>
        <w:tc>
          <w:tcPr>
            <w:tcW w:w="5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r>
      <w:tr>
        <w:trPr>
          <w:trHeight w:val="131"/>
        </w:trPr>
        <w:tc>
          <w:tcPr>
            <w:tcW w:w="6420" w:type="dxa"/>
            <w:vAlign w:val="bottom"/>
            <w:gridSpan w:val="2"/>
          </w:tcPr>
          <w:p>
            <w:pPr>
              <w:ind w:left="80"/>
              <w:spacing w:after="0"/>
              <w:rPr>
                <w:sz w:val="20"/>
                <w:szCs w:val="20"/>
                <w:color w:val="auto"/>
              </w:rPr>
            </w:pPr>
            <w:r>
              <w:rPr>
                <w:rFonts w:ascii="Arial" w:cs="Arial" w:eastAsia="Arial" w:hAnsi="Arial"/>
                <w:sz w:val="10"/>
                <w:szCs w:val="10"/>
                <w:color w:val="auto"/>
              </w:rPr>
              <w:t>North America</w:t>
            </w:r>
          </w:p>
        </w:tc>
        <w:tc>
          <w:tcPr>
            <w:tcW w:w="280" w:type="dxa"/>
            <w:vAlign w:val="bottom"/>
          </w:tcPr>
          <w:p>
            <w:pPr>
              <w:jc w:val="right"/>
              <w:spacing w:after="0"/>
              <w:rPr>
                <w:sz w:val="20"/>
                <w:szCs w:val="20"/>
                <w:color w:val="auto"/>
              </w:rPr>
            </w:pPr>
            <w:r>
              <w:rPr>
                <w:rFonts w:ascii="Arial" w:cs="Arial" w:eastAsia="Arial" w:hAnsi="Arial"/>
                <w:sz w:val="10"/>
                <w:szCs w:val="10"/>
                <w:color w:val="auto"/>
              </w:rPr>
              <w:t>12.7</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14.3</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13.1</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16.3</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14.2</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13.9</w:t>
            </w:r>
          </w:p>
        </w:tc>
      </w:tr>
      <w:tr>
        <w:trPr>
          <w:trHeight w:val="135"/>
        </w:trPr>
        <w:tc>
          <w:tcPr>
            <w:tcW w:w="6420" w:type="dxa"/>
            <w:vAlign w:val="bottom"/>
            <w:gridSpan w:val="2"/>
          </w:tcPr>
          <w:p>
            <w:pPr>
              <w:ind w:left="80"/>
              <w:spacing w:after="0"/>
              <w:rPr>
                <w:sz w:val="20"/>
                <w:szCs w:val="20"/>
                <w:color w:val="auto"/>
              </w:rPr>
            </w:pPr>
            <w:r>
              <w:rPr>
                <w:rFonts w:ascii="Arial" w:cs="Arial" w:eastAsia="Arial" w:hAnsi="Arial"/>
                <w:sz w:val="10"/>
                <w:szCs w:val="10"/>
                <w:color w:val="auto"/>
              </w:rPr>
              <w:t>Latin America</w:t>
            </w:r>
          </w:p>
        </w:tc>
        <w:tc>
          <w:tcPr>
            <w:tcW w:w="280" w:type="dxa"/>
            <w:vAlign w:val="bottom"/>
          </w:tcPr>
          <w:p>
            <w:pPr>
              <w:jc w:val="right"/>
              <w:spacing w:after="0"/>
              <w:rPr>
                <w:sz w:val="20"/>
                <w:szCs w:val="20"/>
                <w:color w:val="auto"/>
              </w:rPr>
            </w:pPr>
            <w:r>
              <w:rPr>
                <w:rFonts w:ascii="Arial" w:cs="Arial" w:eastAsia="Arial" w:hAnsi="Arial"/>
                <w:sz w:val="10"/>
                <w:szCs w:val="10"/>
                <w:color w:val="auto"/>
              </w:rPr>
              <w:t>17.5</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17.2</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20.2</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20.6</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18.9</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16.7</w:t>
            </w:r>
          </w:p>
        </w:tc>
      </w:tr>
      <w:tr>
        <w:trPr>
          <w:trHeight w:val="153"/>
        </w:trPr>
        <w:tc>
          <w:tcPr>
            <w:tcW w:w="6420" w:type="dxa"/>
            <w:vAlign w:val="bottom"/>
            <w:gridSpan w:val="2"/>
          </w:tcPr>
          <w:p>
            <w:pPr>
              <w:ind w:left="80"/>
              <w:spacing w:after="0"/>
              <w:rPr>
                <w:sz w:val="20"/>
                <w:szCs w:val="20"/>
                <w:color w:val="auto"/>
              </w:rPr>
            </w:pPr>
            <w:r>
              <w:rPr>
                <w:rFonts w:ascii="Arial" w:cs="Arial" w:eastAsia="Arial" w:hAnsi="Arial"/>
                <w:sz w:val="10"/>
                <w:szCs w:val="10"/>
                <w:color w:val="auto"/>
              </w:rPr>
              <w:t>Europe</w:t>
            </w:r>
          </w:p>
        </w:tc>
        <w:tc>
          <w:tcPr>
            <w:tcW w:w="280" w:type="dxa"/>
            <w:vAlign w:val="bottom"/>
          </w:tcPr>
          <w:p>
            <w:pPr>
              <w:jc w:val="right"/>
              <w:spacing w:after="0"/>
              <w:rPr>
                <w:sz w:val="20"/>
                <w:szCs w:val="20"/>
                <w:color w:val="auto"/>
              </w:rPr>
            </w:pPr>
            <w:r>
              <w:rPr>
                <w:rFonts w:ascii="Arial" w:cs="Arial" w:eastAsia="Arial" w:hAnsi="Arial"/>
                <w:sz w:val="10"/>
                <w:szCs w:val="10"/>
                <w:color w:val="auto"/>
              </w:rPr>
              <w:t>8.8</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11.8</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13.3</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15.1</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12.4</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10.9</w:t>
            </w:r>
          </w:p>
        </w:tc>
      </w:tr>
      <w:tr>
        <w:trPr>
          <w:trHeight w:val="156"/>
        </w:trPr>
        <w:tc>
          <w:tcPr>
            <w:tcW w:w="5880" w:type="dxa"/>
            <w:vAlign w:val="bottom"/>
          </w:tcPr>
          <w:p>
            <w:pPr>
              <w:ind w:left="80"/>
              <w:spacing w:after="0"/>
              <w:rPr>
                <w:sz w:val="20"/>
                <w:szCs w:val="20"/>
                <w:color w:val="auto"/>
              </w:rPr>
            </w:pPr>
            <w:r>
              <w:rPr>
                <w:rFonts w:ascii="Arial" w:cs="Arial" w:eastAsia="Arial" w:hAnsi="Arial"/>
                <w:sz w:val="10"/>
                <w:szCs w:val="10"/>
                <w:color w:val="auto"/>
              </w:rPr>
              <w:t>Rest of World</w:t>
            </w: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23.3</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20.3</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22.3</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23.1</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22.3</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24.4</w:t>
            </w:r>
          </w:p>
        </w:tc>
      </w:tr>
      <w:tr>
        <w:trPr>
          <w:trHeight w:val="125"/>
        </w:trPr>
        <w:tc>
          <w:tcPr>
            <w:tcW w:w="6420" w:type="dxa"/>
            <w:vAlign w:val="bottom"/>
            <w:gridSpan w:val="2"/>
          </w:tcPr>
          <w:p>
            <w:pPr>
              <w:ind w:left="220"/>
              <w:spacing w:after="0"/>
              <w:rPr>
                <w:sz w:val="20"/>
                <w:szCs w:val="20"/>
                <w:color w:val="auto"/>
              </w:rPr>
            </w:pPr>
            <w:r>
              <w:rPr>
                <w:rFonts w:ascii="Arial" w:cs="Arial" w:eastAsia="Arial" w:hAnsi="Arial"/>
                <w:sz w:val="10"/>
                <w:szCs w:val="10"/>
                <w:b w:val="1"/>
                <w:bCs w:val="1"/>
                <w:color w:val="auto"/>
              </w:rPr>
              <w:t>Segment operating margin percentage</w:t>
            </w:r>
          </w:p>
        </w:tc>
        <w:tc>
          <w:tcPr>
            <w:tcW w:w="280" w:type="dxa"/>
            <w:vAlign w:val="bottom"/>
          </w:tcPr>
          <w:p>
            <w:pPr>
              <w:jc w:val="right"/>
              <w:spacing w:after="0"/>
              <w:rPr>
                <w:sz w:val="20"/>
                <w:szCs w:val="20"/>
                <w:color w:val="auto"/>
              </w:rPr>
            </w:pPr>
            <w:r>
              <w:rPr>
                <w:rFonts w:ascii="Arial" w:cs="Arial" w:eastAsia="Arial" w:hAnsi="Arial"/>
                <w:sz w:val="10"/>
                <w:szCs w:val="10"/>
                <w:color w:val="auto"/>
              </w:rPr>
              <w:t>14.6</w:t>
            </w:r>
          </w:p>
        </w:tc>
        <w:tc>
          <w:tcPr>
            <w:tcW w:w="1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15.2</w:t>
            </w:r>
          </w:p>
        </w:tc>
        <w:tc>
          <w:tcPr>
            <w:tcW w:w="1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16.2</w:t>
            </w:r>
          </w:p>
        </w:tc>
        <w:tc>
          <w:tcPr>
            <w:tcW w:w="1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18.1</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16.1</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15.5</w:t>
            </w:r>
          </w:p>
        </w:tc>
      </w:tr>
      <w:tr>
        <w:trPr>
          <w:trHeight w:val="296"/>
        </w:trPr>
        <w:tc>
          <w:tcPr>
            <w:tcW w:w="5880" w:type="dxa"/>
            <w:vAlign w:val="bottom"/>
          </w:tcPr>
          <w:p>
            <w:pPr>
              <w:ind w:left="80"/>
              <w:spacing w:after="0"/>
              <w:rPr>
                <w:sz w:val="20"/>
                <w:szCs w:val="20"/>
                <w:color w:val="auto"/>
              </w:rPr>
            </w:pPr>
            <w:r>
              <w:rPr>
                <w:rFonts w:ascii="Arial" w:cs="Arial" w:eastAsia="Arial" w:hAnsi="Arial"/>
                <w:sz w:val="10"/>
                <w:szCs w:val="10"/>
                <w:color w:val="auto"/>
              </w:rPr>
              <w:t>Corporate expenses and Other items not allocated to segments</w:t>
            </w:r>
            <w:r>
              <w:rPr>
                <w:rFonts w:ascii="Arial" w:cs="Arial" w:eastAsia="Arial" w:hAnsi="Arial"/>
                <w:sz w:val="6"/>
                <w:szCs w:val="6"/>
                <w:color w:val="auto"/>
              </w:rPr>
              <w:t>(a)</w:t>
            </w: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w:t>
            </w:r>
          </w:p>
        </w:tc>
      </w:tr>
      <w:tr>
        <w:trPr>
          <w:trHeight w:val="126"/>
        </w:trPr>
        <w:tc>
          <w:tcPr>
            <w:tcW w:w="5880" w:type="dxa"/>
            <w:vAlign w:val="bottom"/>
          </w:tcPr>
          <w:p>
            <w:pPr>
              <w:ind w:left="220"/>
              <w:spacing w:after="0"/>
              <w:rPr>
                <w:sz w:val="20"/>
                <w:szCs w:val="20"/>
                <w:color w:val="auto"/>
              </w:rPr>
            </w:pPr>
            <w:r>
              <w:rPr>
                <w:rFonts w:ascii="Arial" w:cs="Arial" w:eastAsia="Arial" w:hAnsi="Arial"/>
                <w:sz w:val="10"/>
                <w:szCs w:val="10"/>
                <w:b w:val="1"/>
                <w:bCs w:val="1"/>
                <w:color w:val="auto"/>
              </w:rPr>
              <w:t>Total operating margin percentage</w:t>
            </w: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w:t>
            </w: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10.3</w:t>
            </w: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11.4</w:t>
            </w: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w:t>
            </w:r>
          </w:p>
        </w:tc>
        <w:tc>
          <w:tcPr>
            <w:tcW w:w="80" w:type="dxa"/>
            <w:vAlign w:val="bottom"/>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11.1</w:t>
            </w:r>
          </w:p>
        </w:tc>
        <w:tc>
          <w:tcPr>
            <w:tcW w:w="80" w:type="dxa"/>
            <w:vAlign w:val="bottom"/>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8.0</w:t>
            </w:r>
          </w:p>
        </w:tc>
      </w:tr>
    </w:tbl>
    <w:p>
      <w:pPr>
        <w:spacing w:after="0" w:line="213" w:lineRule="exact"/>
        <w:rPr>
          <w:sz w:val="20"/>
          <w:szCs w:val="20"/>
          <w:color w:val="auto"/>
        </w:rPr>
      </w:pPr>
    </w:p>
    <w:p>
      <w:pPr>
        <w:ind w:left="420" w:hanging="212"/>
        <w:spacing w:after="0"/>
        <w:tabs>
          <w:tab w:leader="none" w:pos="420" w:val="left"/>
        </w:tabs>
        <w:numPr>
          <w:ilvl w:val="0"/>
          <w:numId w:val="5"/>
        </w:numPr>
        <w:rPr>
          <w:rFonts w:ascii="Arial" w:cs="Arial" w:eastAsia="Arial" w:hAnsi="Arial"/>
          <w:sz w:val="8"/>
          <w:szCs w:val="8"/>
          <w:color w:val="auto"/>
        </w:rPr>
      </w:pPr>
      <w:r>
        <w:rPr>
          <w:rFonts w:ascii="Arial" w:cs="Arial" w:eastAsia="Arial" w:hAnsi="Arial"/>
          <w:sz w:val="8"/>
          <w:szCs w:val="8"/>
          <w:color w:val="auto"/>
        </w:rPr>
        <w:t>See explanation of items on pages 9-10.</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721"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6786245</wp:posOffset>
            </wp:positionH>
            <wp:positionV relativeFrom="page">
              <wp:posOffset>88900</wp:posOffset>
            </wp:positionV>
            <wp:extent cx="577215"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77215" cy="9715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t>The Brink’s Company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Items Not Allocated To Segments (Unaudited)</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(In millions)</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Income and expenses not allocated to segments are reported either as “Corporate Expenses” or “Other Items not Allocated to Segments.”</w:t>
      </w:r>
    </w:p>
    <w:p>
      <w:pPr>
        <w:spacing w:after="0" w:line="164" w:lineRule="exact"/>
        <w:rPr>
          <w:sz w:val="20"/>
          <w:szCs w:val="20"/>
          <w:color w:val="auto"/>
        </w:rPr>
      </w:pPr>
    </w:p>
    <w:p>
      <w:pPr>
        <w:ind w:right="20"/>
        <w:spacing w:after="0" w:line="390" w:lineRule="auto"/>
        <w:rPr>
          <w:sz w:val="20"/>
          <w:szCs w:val="20"/>
          <w:color w:val="auto"/>
        </w:rPr>
      </w:pPr>
      <w:r>
        <w:rPr>
          <w:rFonts w:ascii="Arial" w:cs="Arial" w:eastAsia="Arial" w:hAnsi="Arial"/>
          <w:sz w:val="8"/>
          <w:szCs w:val="8"/>
          <w:color w:val="auto"/>
        </w:rPr>
        <w:t>Corporate Expenses include costs to manage the global business and perform activities required by public companies as well as other items that are considered part of the Company's operations and revenue generating activities but are not considered when the chief operating decision maker ("CODM") evaluates segment results. Examples include corporate staff compensation, corporate headquarters costs, regional management costs, share-based compensation, and currency transaction gains and losses.</w:t>
      </w:r>
    </w:p>
    <w:p>
      <w:pPr>
        <w:spacing w:after="0" w:line="97" w:lineRule="exact"/>
        <w:rPr>
          <w:sz w:val="20"/>
          <w:szCs w:val="20"/>
          <w:color w:val="auto"/>
        </w:rPr>
      </w:pPr>
    </w:p>
    <w:p>
      <w:pPr>
        <w:ind w:right="120"/>
        <w:spacing w:after="0" w:line="264" w:lineRule="auto"/>
        <w:rPr>
          <w:sz w:val="20"/>
          <w:szCs w:val="20"/>
          <w:color w:val="auto"/>
        </w:rPr>
      </w:pPr>
      <w:r>
        <w:rPr>
          <w:rFonts w:ascii="Arial" w:cs="Arial" w:eastAsia="Arial" w:hAnsi="Arial"/>
          <w:sz w:val="10"/>
          <w:szCs w:val="10"/>
          <w:color w:val="auto"/>
        </w:rPr>
        <w:t>Other Items not Allocated to Segments include income and expenses that are not necessary to operate our business in the ordinary course and are not considered when the CODM evaluates segment results. These include non-recurring as well as certain recurring costs and gains which are not considered to be part of the Company's operations and revenue generating activities. Each of the items in the “Other Items Not Allocated to Segments” category is excluded from non-GAAP measures.</w:t>
      </w:r>
    </w:p>
    <w:p>
      <w:pPr>
        <w:spacing w:after="0" w:line="134" w:lineRule="exact"/>
        <w:rPr>
          <w:sz w:val="20"/>
          <w:szCs w:val="20"/>
          <w:color w:val="auto"/>
        </w:rPr>
      </w:pPr>
    </w:p>
    <w:p>
      <w:pPr>
        <w:spacing w:after="0"/>
        <w:rPr>
          <w:sz w:val="20"/>
          <w:szCs w:val="20"/>
          <w:color w:val="auto"/>
        </w:rPr>
      </w:pPr>
      <w:r>
        <w:rPr>
          <w:rFonts w:ascii="Arial" w:cs="Arial" w:eastAsia="Arial" w:hAnsi="Arial"/>
          <w:sz w:val="10"/>
          <w:szCs w:val="10"/>
          <w:color w:val="auto"/>
        </w:rPr>
        <w:t>See below for a summary of the other items not allocated to segments.</w:t>
      </w:r>
    </w:p>
    <w:p>
      <w:pPr>
        <w:spacing w:after="0" w:line="16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Reorganization and Restructuring</w:t>
      </w:r>
    </w:p>
    <w:p>
      <w:pPr>
        <w:spacing w:after="0" w:line="12" w:lineRule="exact"/>
        <w:rPr>
          <w:sz w:val="20"/>
          <w:szCs w:val="20"/>
          <w:color w:val="auto"/>
        </w:rPr>
      </w:pPr>
    </w:p>
    <w:p>
      <w:pPr>
        <w:ind w:right="20"/>
        <w:spacing w:after="0" w:line="246" w:lineRule="auto"/>
        <w:rPr>
          <w:sz w:val="20"/>
          <w:szCs w:val="20"/>
          <w:color w:val="auto"/>
        </w:rPr>
      </w:pPr>
      <w:r>
        <w:rPr>
          <w:rFonts w:ascii="Arial" w:cs="Arial" w:eastAsia="Arial" w:hAnsi="Arial"/>
          <w:sz w:val="10"/>
          <w:szCs w:val="10"/>
          <w:color w:val="auto"/>
        </w:rPr>
        <w:t>Costs associated with certain reorganization and restructuring actions were excluded from reported non-GAAP results. These items included primarily severance charges and asset impairment losses. These costs related to global restructuring initiatives, completed in prior years, mainly to mitigate the impact of external economic conditions in light of the COVID-19 pandemic. Due to the unusual nature of the underlying events that led to these actions, the charges are not considered part of the Company's operations and revenue generating activities. Management has excluded these amounts when evaluating internal performance. As such, they have not been allocated to segment or Corporate results and are excluded from non-GAAP results.</w:t>
      </w:r>
    </w:p>
    <w:p>
      <w:pPr>
        <w:spacing w:after="0" w:line="14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Acquisitions and dispositions</w:t>
      </w:r>
    </w:p>
    <w:p>
      <w:pPr>
        <w:spacing w:after="0" w:line="12" w:lineRule="exact"/>
        <w:rPr>
          <w:sz w:val="20"/>
          <w:szCs w:val="20"/>
          <w:color w:val="auto"/>
        </w:rPr>
      </w:pPr>
    </w:p>
    <w:p>
      <w:pPr>
        <w:ind w:right="20"/>
        <w:spacing w:after="0" w:line="246" w:lineRule="auto"/>
        <w:rPr>
          <w:sz w:val="20"/>
          <w:szCs w:val="20"/>
          <w:color w:val="auto"/>
        </w:rPr>
      </w:pPr>
      <w:r>
        <w:rPr>
          <w:rFonts w:ascii="Arial" w:cs="Arial" w:eastAsia="Arial" w:hAnsi="Arial"/>
          <w:sz w:val="10"/>
          <w:szCs w:val="10"/>
          <w:color w:val="auto"/>
        </w:rPr>
        <w:t>Certain acquisition and disposition items are not part of the Company's operations and revenue generating activities. These items include non-cash amortization expense for acquisition-related intangible assets, as well as integration, transaction, restructuring and certain compensation costs. All of the items are significantly impacted by the timing and nature of our acquisitions and dispositions, and many are inconsistent in amount and frequency. Management has excluded these amounts when evaluating internal performance. Therefore, we have not allocated these amounts to segment or Corporate results and have excluded these amounts from non-GAAP results.</w:t>
      </w:r>
    </w:p>
    <w:p>
      <w:pPr>
        <w:spacing w:after="0" w:line="151" w:lineRule="exact"/>
        <w:rPr>
          <w:sz w:val="20"/>
          <w:szCs w:val="20"/>
          <w:color w:val="auto"/>
        </w:rPr>
      </w:pPr>
    </w:p>
    <w:p>
      <w:pPr>
        <w:spacing w:after="0"/>
        <w:rPr>
          <w:sz w:val="20"/>
          <w:szCs w:val="20"/>
          <w:color w:val="auto"/>
        </w:rPr>
      </w:pPr>
      <w:r>
        <w:rPr>
          <w:rFonts w:ascii="Arial" w:cs="Arial" w:eastAsia="Arial" w:hAnsi="Arial"/>
          <w:sz w:val="10"/>
          <w:szCs w:val="10"/>
          <w:color w:val="auto"/>
        </w:rPr>
        <w:t>These items are described below:</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2026 </w:t>
      </w:r>
      <w:r>
        <w:rPr>
          <w:rFonts w:ascii="Arial" w:cs="Arial" w:eastAsia="Arial" w:hAnsi="Arial"/>
          <w:sz w:val="10"/>
          <w:szCs w:val="10"/>
          <w:i w:val="1"/>
          <w:iCs w:val="1"/>
          <w:color w:val="auto"/>
        </w:rPr>
        <w:t>Acquisitions and Dispositions</w:t>
      </w:r>
    </w:p>
    <w:p>
      <w:pPr>
        <w:spacing w:after="0" w:line="10" w:lineRule="exact"/>
        <w:rPr>
          <w:sz w:val="20"/>
          <w:szCs w:val="20"/>
          <w:color w:val="auto"/>
        </w:rPr>
      </w:pPr>
    </w:p>
    <w:p>
      <w:pPr>
        <w:ind w:left="520" w:hanging="204"/>
        <w:spacing w:after="0"/>
        <w:tabs>
          <w:tab w:leader="none" w:pos="520" w:val="left"/>
        </w:tabs>
        <w:numPr>
          <w:ilvl w:val="0"/>
          <w:numId w:val="6"/>
        </w:numPr>
        <w:rPr>
          <w:rFonts w:ascii="Arial" w:cs="Arial" w:eastAsia="Arial" w:hAnsi="Arial"/>
          <w:sz w:val="10"/>
          <w:szCs w:val="10"/>
          <w:color w:val="auto"/>
        </w:rPr>
      </w:pPr>
      <w:r>
        <w:rPr>
          <w:rFonts w:ascii="Arial" w:cs="Arial" w:eastAsia="Arial" w:hAnsi="Arial"/>
          <w:sz w:val="10"/>
          <w:szCs w:val="10"/>
          <w:color w:val="auto"/>
        </w:rPr>
        <w:t>Amortization expense for acquisition-related intangible assets was $14.9 million in the first three months of 2026.</w:t>
      </w:r>
    </w:p>
    <w:p>
      <w:pPr>
        <w:spacing w:after="0" w:line="156"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2025 Acquisitions and Dispositions</w:t>
      </w:r>
    </w:p>
    <w:p>
      <w:pPr>
        <w:spacing w:after="0" w:line="10" w:lineRule="exact"/>
        <w:rPr>
          <w:sz w:val="20"/>
          <w:szCs w:val="20"/>
          <w:color w:val="auto"/>
        </w:rPr>
      </w:pPr>
    </w:p>
    <w:p>
      <w:pPr>
        <w:ind w:left="520" w:hanging="204"/>
        <w:spacing w:after="0"/>
        <w:tabs>
          <w:tab w:leader="none" w:pos="520" w:val="left"/>
        </w:tabs>
        <w:numPr>
          <w:ilvl w:val="0"/>
          <w:numId w:val="7"/>
        </w:numPr>
        <w:rPr>
          <w:rFonts w:ascii="Arial" w:cs="Arial" w:eastAsia="Arial" w:hAnsi="Arial"/>
          <w:sz w:val="10"/>
          <w:szCs w:val="10"/>
          <w:color w:val="auto"/>
        </w:rPr>
      </w:pPr>
      <w:r>
        <w:rPr>
          <w:rFonts w:ascii="Arial" w:cs="Arial" w:eastAsia="Arial" w:hAnsi="Arial"/>
          <w:sz w:val="10"/>
          <w:szCs w:val="10"/>
          <w:color w:val="auto"/>
        </w:rPr>
        <w:t>Amortization expense for acquisition-related intangible assets was $58.9 million in 2025.</w:t>
      </w:r>
    </w:p>
    <w:p>
      <w:pPr>
        <w:spacing w:after="0" w:line="2" w:lineRule="exact"/>
        <w:rPr>
          <w:rFonts w:ascii="Arial" w:cs="Arial" w:eastAsia="Arial" w:hAnsi="Arial"/>
          <w:sz w:val="10"/>
          <w:szCs w:val="10"/>
          <w:color w:val="auto"/>
        </w:rPr>
      </w:pPr>
    </w:p>
    <w:p>
      <w:pPr>
        <w:ind w:left="520" w:hanging="204"/>
        <w:spacing w:after="0" w:line="225" w:lineRule="auto"/>
        <w:tabs>
          <w:tab w:leader="none" w:pos="520" w:val="left"/>
        </w:tabs>
        <w:numPr>
          <w:ilvl w:val="0"/>
          <w:numId w:val="7"/>
        </w:numPr>
        <w:rPr>
          <w:rFonts w:ascii="Arial" w:cs="Arial" w:eastAsia="Arial" w:hAnsi="Arial"/>
          <w:sz w:val="10"/>
          <w:szCs w:val="10"/>
          <w:color w:val="auto"/>
        </w:rPr>
      </w:pPr>
      <w:r>
        <w:rPr>
          <w:rFonts w:ascii="Arial" w:cs="Arial" w:eastAsia="Arial" w:hAnsi="Arial"/>
          <w:sz w:val="10"/>
          <w:szCs w:val="10"/>
          <w:color w:val="auto"/>
        </w:rPr>
        <w:t>Restructuring costs related to acquisitions were $11.8 million in 2025.</w:t>
      </w:r>
    </w:p>
    <w:p>
      <w:pPr>
        <w:ind w:left="520" w:hanging="204"/>
        <w:spacing w:after="0"/>
        <w:tabs>
          <w:tab w:leader="none" w:pos="520" w:val="left"/>
        </w:tabs>
        <w:numPr>
          <w:ilvl w:val="0"/>
          <w:numId w:val="7"/>
        </w:numPr>
        <w:rPr>
          <w:rFonts w:ascii="Arial" w:cs="Arial" w:eastAsia="Arial" w:hAnsi="Arial"/>
          <w:sz w:val="10"/>
          <w:szCs w:val="10"/>
          <w:color w:val="auto"/>
        </w:rPr>
      </w:pPr>
      <w:r>
        <w:rPr>
          <w:rFonts w:ascii="Arial" w:cs="Arial" w:eastAsia="Arial" w:hAnsi="Arial"/>
          <w:sz w:val="10"/>
          <w:szCs w:val="10"/>
          <w:color w:val="auto"/>
        </w:rPr>
        <w:t>Net charges of $2.2 million were incurred for post-acquisition adjustments to indemnification assets related to previous business acquisitions.</w:t>
      </w:r>
    </w:p>
    <w:p>
      <w:pPr>
        <w:spacing w:after="0" w:line="1" w:lineRule="exact"/>
        <w:rPr>
          <w:rFonts w:ascii="Arial" w:cs="Arial" w:eastAsia="Arial" w:hAnsi="Arial"/>
          <w:sz w:val="10"/>
          <w:szCs w:val="10"/>
          <w:color w:val="auto"/>
        </w:rPr>
      </w:pPr>
    </w:p>
    <w:p>
      <w:pPr>
        <w:ind w:left="520" w:hanging="204"/>
        <w:spacing w:after="0"/>
        <w:tabs>
          <w:tab w:leader="none" w:pos="520" w:val="left"/>
        </w:tabs>
        <w:numPr>
          <w:ilvl w:val="0"/>
          <w:numId w:val="7"/>
        </w:numPr>
        <w:rPr>
          <w:rFonts w:ascii="Arial" w:cs="Arial" w:eastAsia="Arial" w:hAnsi="Arial"/>
          <w:sz w:val="10"/>
          <w:szCs w:val="10"/>
          <w:color w:val="auto"/>
        </w:rPr>
      </w:pPr>
      <w:r>
        <w:rPr>
          <w:rFonts w:ascii="Arial" w:cs="Arial" w:eastAsia="Arial" w:hAnsi="Arial"/>
          <w:sz w:val="10"/>
          <w:szCs w:val="10"/>
          <w:color w:val="auto"/>
        </w:rPr>
        <w:t>We incurred $3.8 million in integration costs in 2025.</w:t>
      </w:r>
    </w:p>
    <w:p>
      <w:pPr>
        <w:spacing w:after="0" w:line="2" w:lineRule="exact"/>
        <w:rPr>
          <w:rFonts w:ascii="Arial" w:cs="Arial" w:eastAsia="Arial" w:hAnsi="Arial"/>
          <w:sz w:val="10"/>
          <w:szCs w:val="10"/>
          <w:color w:val="auto"/>
        </w:rPr>
      </w:pPr>
    </w:p>
    <w:p>
      <w:pPr>
        <w:ind w:left="520" w:hanging="204"/>
        <w:spacing w:after="0"/>
        <w:tabs>
          <w:tab w:leader="none" w:pos="520" w:val="left"/>
        </w:tabs>
        <w:numPr>
          <w:ilvl w:val="0"/>
          <w:numId w:val="7"/>
        </w:numPr>
        <w:rPr>
          <w:rFonts w:ascii="Arial" w:cs="Arial" w:eastAsia="Arial" w:hAnsi="Arial"/>
          <w:sz w:val="10"/>
          <w:szCs w:val="10"/>
          <w:color w:val="auto"/>
        </w:rPr>
      </w:pPr>
      <w:r>
        <w:rPr>
          <w:rFonts w:ascii="Arial" w:cs="Arial" w:eastAsia="Arial" w:hAnsi="Arial"/>
          <w:sz w:val="10"/>
          <w:szCs w:val="10"/>
          <w:color w:val="auto"/>
        </w:rPr>
        <w:t>Transaction costs related to business acquisitions were $2.7 million in 2025.</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721" w:right="299" w:bottom="1440" w:gutter="0" w:footer="0" w:header="0"/>
        </w:sectPr>
      </w:pPr>
    </w:p>
    <w:bookmarkStart w:id="12" w:name="page13"/>
    <w:bookmarkEnd w:id="12"/>
    <w:p>
      <w:pPr>
        <w:ind w:right="20"/>
        <w:spacing w:after="0" w:line="245" w:lineRule="auto"/>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6786245</wp:posOffset>
            </wp:positionH>
            <wp:positionV relativeFrom="page">
              <wp:posOffset>88900</wp:posOffset>
            </wp:positionV>
            <wp:extent cx="577215" cy="97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77215" cy="9715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t xml:space="preserve">Argentina highly inflationary impact </w:t>
      </w:r>
      <w:r>
        <w:rPr>
          <w:rFonts w:ascii="Arial" w:cs="Arial" w:eastAsia="Arial" w:hAnsi="Arial"/>
          <w:sz w:val="10"/>
          <w:szCs w:val="10"/>
          <w:color w:val="auto"/>
        </w:rPr>
        <w:t>Beginning in the third quarter of 2018, we designated Argentina's economy as highly inflationary for accounting purposes. As a result, Argentine peso-denominated monetary assets and liabilities are now remeasured at each</w:t>
      </w:r>
      <w:r>
        <w:rPr>
          <w:rFonts w:ascii="Arial" w:cs="Arial" w:eastAsia="Arial" w:hAnsi="Arial"/>
          <w:sz w:val="10"/>
          <w:szCs w:val="10"/>
          <w:b w:val="1"/>
          <w:bCs w:val="1"/>
          <w:color w:val="auto"/>
        </w:rPr>
        <w:t xml:space="preserve"> </w:t>
      </w:r>
      <w:r>
        <w:rPr>
          <w:rFonts w:ascii="Arial" w:cs="Arial" w:eastAsia="Arial" w:hAnsi="Arial"/>
          <w:sz w:val="10"/>
          <w:szCs w:val="10"/>
          <w:color w:val="auto"/>
        </w:rPr>
        <w:t>balance sheet date to the currency exchange rate then in effect, with currency remeasurement gains and losses recognized in earnings. In addition, nonmonetary assets retain a higher historical basis when the currency is devalued. The higher historical basis results in incremental expense being recognized when the nonmonetary assets are consumed. In 2025, we recognized $10.2 million in pretax charges in operating profit related to highly inflationary accounting, including currency remeasurement losses of $17.0 million. In the first three months of 2026, we recognized a net $0.5 million pretax gain in operating profit related to highly inflationary accounting, including currency remeasurement gains of $1.4 million. Highly inflationary adjustments also impact gains and losses on marketable securities due to the change in exchange rates. These non-cash charges are not part of the Company's operations and revenue generating activities. Management has excluded these amounts when evaluating internal performance. As such, they have not been allocated to segment or Corporate results and are excluded from non-GAAP results.</w:t>
      </w:r>
    </w:p>
    <w:p>
      <w:pPr>
        <w:spacing w:after="0" w:line="151" w:lineRule="exact"/>
        <w:rPr>
          <w:sz w:val="20"/>
          <w:szCs w:val="20"/>
          <w:color w:val="auto"/>
        </w:rPr>
      </w:pPr>
    </w:p>
    <w:p>
      <w:pPr>
        <w:ind w:right="20"/>
        <w:spacing w:after="0" w:line="396" w:lineRule="auto"/>
        <w:rPr>
          <w:sz w:val="20"/>
          <w:szCs w:val="20"/>
          <w:color w:val="auto"/>
        </w:rPr>
      </w:pPr>
      <w:r>
        <w:rPr>
          <w:rFonts w:ascii="Arial" w:cs="Arial" w:eastAsia="Arial" w:hAnsi="Arial"/>
          <w:sz w:val="8"/>
          <w:szCs w:val="8"/>
          <w:b w:val="1"/>
          <w:bCs w:val="1"/>
          <w:color w:val="auto"/>
        </w:rPr>
        <w:t xml:space="preserve">NCR Atleos acquisition and transformation initiatives </w:t>
      </w:r>
      <w:r>
        <w:rPr>
          <w:rFonts w:ascii="Arial" w:cs="Arial" w:eastAsia="Arial" w:hAnsi="Arial"/>
          <w:sz w:val="8"/>
          <w:szCs w:val="8"/>
          <w:color w:val="auto"/>
        </w:rPr>
        <w:t>On February 26, 2026, we entered into a definitive agreement to acquire NCR Atleos. The transaction is expected to close in the first quarter of 2027, subject to regulatory approval and other customary closing</w:t>
      </w:r>
      <w:r>
        <w:rPr>
          <w:rFonts w:ascii="Arial" w:cs="Arial" w:eastAsia="Arial" w:hAnsi="Arial"/>
          <w:sz w:val="8"/>
          <w:szCs w:val="8"/>
          <w:b w:val="1"/>
          <w:bCs w:val="1"/>
          <w:color w:val="auto"/>
        </w:rPr>
        <w:t xml:space="preserve"> </w:t>
      </w:r>
      <w:r>
        <w:rPr>
          <w:rFonts w:ascii="Arial" w:cs="Arial" w:eastAsia="Arial" w:hAnsi="Arial"/>
          <w:sz w:val="8"/>
          <w:szCs w:val="8"/>
          <w:color w:val="auto"/>
        </w:rPr>
        <w:t>conditions. This acquisition represents a significant strategic step for Brink’s, expanding the scale of the combined company and supporting continued growth in our AMS and DRS offerings, which reflect an increasing portion of our business mix.</w:t>
      </w:r>
    </w:p>
    <w:p>
      <w:pPr>
        <w:spacing w:after="0" w:line="85" w:lineRule="exact"/>
        <w:rPr>
          <w:sz w:val="20"/>
          <w:szCs w:val="20"/>
          <w:color w:val="auto"/>
        </w:rPr>
      </w:pPr>
    </w:p>
    <w:p>
      <w:pPr>
        <w:ind w:right="220"/>
        <w:spacing w:after="0" w:line="264" w:lineRule="auto"/>
        <w:rPr>
          <w:sz w:val="20"/>
          <w:szCs w:val="20"/>
          <w:color w:val="auto"/>
        </w:rPr>
      </w:pPr>
      <w:r>
        <w:rPr>
          <w:rFonts w:ascii="Arial" w:cs="Arial" w:eastAsia="Arial" w:hAnsi="Arial"/>
          <w:sz w:val="10"/>
          <w:szCs w:val="10"/>
          <w:color w:val="auto"/>
        </w:rPr>
        <w:t>During 2023, we initiated a multi-year program intended to accelerate growth and drive margin expansion through transformation of our business model. The program is designed to help us standardize and streamline our commercial and operational systems and processes, as well as back-office functions, including finance and information technology. The efforts will drive continuous improvement and achieve operational excellence.</w:t>
      </w:r>
    </w:p>
    <w:p>
      <w:pPr>
        <w:spacing w:after="0" w:line="143" w:lineRule="exact"/>
        <w:rPr>
          <w:sz w:val="20"/>
          <w:szCs w:val="20"/>
          <w:color w:val="auto"/>
        </w:rPr>
      </w:pPr>
    </w:p>
    <w:p>
      <w:pPr>
        <w:ind w:right="20"/>
        <w:spacing w:after="0" w:line="244" w:lineRule="auto"/>
        <w:rPr>
          <w:sz w:val="20"/>
          <w:szCs w:val="20"/>
          <w:color w:val="auto"/>
        </w:rPr>
      </w:pPr>
      <w:r>
        <w:rPr>
          <w:rFonts w:ascii="Arial" w:cs="Arial" w:eastAsia="Arial" w:hAnsi="Arial"/>
          <w:sz w:val="10"/>
          <w:szCs w:val="10"/>
          <w:color w:val="auto"/>
        </w:rPr>
        <w:t>Accordingly, we incurred $26.0 million of expense in 2025, which primarily included third-party professional services, project management charges, and severance. During the first three months of 2026, we incurred $38.9 million of related costs, including fees to attorneys, accountants and other professional advisors related to the NCR Atleos acquisition as well as severance costs and third-party professional services. Because these expenses are associated with discrete transformation initiatives, they are not reflective of our ongoing operating cost structure and are not indicative of our core operating expenses or normal activities. Accordingly, management has excluded these amounts when evaluating internal performance. As such, they have not been allocated to segment or Corporate results and are excluded from non-GAAP results.</w:t>
      </w:r>
    </w:p>
    <w:p>
      <w:pPr>
        <w:spacing w:after="0" w:line="151" w:lineRule="exact"/>
        <w:rPr>
          <w:sz w:val="20"/>
          <w:szCs w:val="20"/>
          <w:color w:val="auto"/>
        </w:rPr>
      </w:pPr>
    </w:p>
    <w:p>
      <w:pPr>
        <w:spacing w:after="0" w:line="350" w:lineRule="auto"/>
        <w:rPr>
          <w:sz w:val="20"/>
          <w:szCs w:val="20"/>
          <w:color w:val="auto"/>
        </w:rPr>
      </w:pPr>
      <w:r>
        <w:rPr>
          <w:rFonts w:ascii="Arial" w:cs="Arial" w:eastAsia="Arial" w:hAnsi="Arial"/>
          <w:sz w:val="8"/>
          <w:szCs w:val="8"/>
          <w:b w:val="1"/>
          <w:bCs w:val="1"/>
          <w:color w:val="auto"/>
        </w:rPr>
        <w:t xml:space="preserve">Non-routine legal matters </w:t>
      </w:r>
      <w:r>
        <w:rPr>
          <w:rFonts w:ascii="Arial" w:cs="Arial" w:eastAsia="Arial" w:hAnsi="Arial"/>
          <w:sz w:val="8"/>
          <w:szCs w:val="8"/>
          <w:color w:val="auto"/>
        </w:rPr>
        <w:t>In the first quarter of 2026, we recognized $2.8 million of probable losses in connection with non-routine legal matters. These costs relate to fact-specific matters that management does not believe are indicative of the Company's underlying</w:t>
      </w:r>
      <w:r>
        <w:rPr>
          <w:rFonts w:ascii="Arial" w:cs="Arial" w:eastAsia="Arial" w:hAnsi="Arial"/>
          <w:sz w:val="8"/>
          <w:szCs w:val="8"/>
          <w:b w:val="1"/>
          <w:bCs w:val="1"/>
          <w:color w:val="auto"/>
        </w:rPr>
        <w:t xml:space="preserve"> </w:t>
      </w:r>
      <w:r>
        <w:rPr>
          <w:rFonts w:ascii="Arial" w:cs="Arial" w:eastAsia="Arial" w:hAnsi="Arial"/>
          <w:sz w:val="8"/>
          <w:szCs w:val="8"/>
          <w:color w:val="auto"/>
        </w:rPr>
        <w:t>operational performance for the period. Additionally, the nature of these amounts and the underlying claims are such that they are not reasonably likely to recur based on the Company's historical experience within two years, nor were there similar charges for such matters within the prior two years. Management has excluded these amounts when evaluating internal operating performance, and accordingly, these amounts have not been allocated to segment or Corporate results and are excluded from non-GAAP results.</w:t>
      </w:r>
    </w:p>
    <w:p>
      <w:pPr>
        <w:spacing w:after="0" w:line="111" w:lineRule="exact"/>
        <w:rPr>
          <w:sz w:val="20"/>
          <w:szCs w:val="20"/>
          <w:color w:val="auto"/>
        </w:rPr>
      </w:pPr>
    </w:p>
    <w:p>
      <w:pPr>
        <w:ind w:right="20"/>
        <w:spacing w:after="0" w:line="245" w:lineRule="auto"/>
        <w:rPr>
          <w:sz w:val="20"/>
          <w:szCs w:val="20"/>
          <w:color w:val="auto"/>
        </w:rPr>
      </w:pPr>
      <w:r>
        <w:rPr>
          <w:rFonts w:ascii="Arial" w:cs="Arial" w:eastAsia="Arial" w:hAnsi="Arial"/>
          <w:sz w:val="10"/>
          <w:szCs w:val="10"/>
          <w:b w:val="1"/>
          <w:bCs w:val="1"/>
          <w:color w:val="auto"/>
        </w:rPr>
        <w:t xml:space="preserve">DOJ/FinCEN investigations </w:t>
      </w:r>
      <w:r>
        <w:rPr>
          <w:rFonts w:ascii="Arial" w:cs="Arial" w:eastAsia="Arial" w:hAnsi="Arial"/>
          <w:sz w:val="10"/>
          <w:szCs w:val="10"/>
          <w:color w:val="auto"/>
        </w:rPr>
        <w:t>During 2025, we accrued $6.5 million in connection with the U.S. Department of Justice ("DOJ") and U.S. Department of the Treasury's Financial Crimes Enforcement Network ("FinCEN") investigations, which represents third-party legal</w:t>
      </w:r>
      <w:r>
        <w:rPr>
          <w:rFonts w:ascii="Arial" w:cs="Arial" w:eastAsia="Arial" w:hAnsi="Arial"/>
          <w:sz w:val="10"/>
          <w:szCs w:val="10"/>
          <w:b w:val="1"/>
          <w:bCs w:val="1"/>
          <w:color w:val="auto"/>
        </w:rPr>
        <w:t xml:space="preserve"> </w:t>
      </w:r>
      <w:r>
        <w:rPr>
          <w:rFonts w:ascii="Arial" w:cs="Arial" w:eastAsia="Arial" w:hAnsi="Arial"/>
          <w:sz w:val="10"/>
          <w:szCs w:val="10"/>
          <w:color w:val="auto"/>
        </w:rPr>
        <w:t>costs associated with these matters, including upfront expenses that are directly attributable to establishing compliance programs. In the first three months of 2026, we accrued $1.2 million in connection with the DOJ and FinCEN investigations, which represents third-party legal costs associated with these matters. In the first quarter of 2025, we reached resolutions with both the DOJ and FinCEN. These costs are not considered part of the Company's operations and revenue generating activities. Additionally, the nature of these amounts and the underlying investigations are such that they are not reasonably likely to recur within two years, nor were there similar charges within the prior two years. Management has excluded these amounts when evaluating internal performance. Therefore, these amounts have not been allocated to segment or Corporate results and are excluded from non-GAAP results.</w:t>
      </w:r>
    </w:p>
    <w:p>
      <w:pPr>
        <w:spacing w:after="0" w:line="151" w:lineRule="exact"/>
        <w:rPr>
          <w:sz w:val="20"/>
          <w:szCs w:val="20"/>
          <w:color w:val="auto"/>
        </w:rPr>
      </w:pPr>
    </w:p>
    <w:p>
      <w:pPr>
        <w:ind w:right="40"/>
        <w:spacing w:after="0" w:line="245" w:lineRule="auto"/>
        <w:rPr>
          <w:sz w:val="20"/>
          <w:szCs w:val="20"/>
          <w:color w:val="auto"/>
        </w:rPr>
      </w:pPr>
      <w:r>
        <w:rPr>
          <w:rFonts w:ascii="Arial" w:cs="Arial" w:eastAsia="Arial" w:hAnsi="Arial"/>
          <w:sz w:val="10"/>
          <w:szCs w:val="10"/>
          <w:b w:val="1"/>
          <w:bCs w:val="1"/>
          <w:color w:val="auto"/>
        </w:rPr>
        <w:t xml:space="preserve">Chile antitrust matter </w:t>
      </w:r>
      <w:r>
        <w:rPr>
          <w:rFonts w:ascii="Arial" w:cs="Arial" w:eastAsia="Arial" w:hAnsi="Arial"/>
          <w:sz w:val="10"/>
          <w:szCs w:val="10"/>
          <w:color w:val="auto"/>
        </w:rPr>
        <w:t>We recognized an estimated loss of $9.5 million in the third quarter of 2021 and recognized additional amounts in subsequent years (which were primarily related to changes in currency rates). Overall, these charges related to a potential fine</w:t>
      </w:r>
      <w:r>
        <w:rPr>
          <w:rFonts w:ascii="Arial" w:cs="Arial" w:eastAsia="Arial" w:hAnsi="Arial"/>
          <w:sz w:val="10"/>
          <w:szCs w:val="10"/>
          <w:b w:val="1"/>
          <w:bCs w:val="1"/>
          <w:color w:val="auto"/>
        </w:rPr>
        <w:t xml:space="preserve"> </w:t>
      </w:r>
      <w:r>
        <w:rPr>
          <w:rFonts w:ascii="Arial" w:cs="Arial" w:eastAsia="Arial" w:hAnsi="Arial"/>
          <w:sz w:val="10"/>
          <w:szCs w:val="10"/>
          <w:color w:val="auto"/>
        </w:rPr>
        <w:t>associated with an investigation by the Chilean Fiscalía Nacional Económica or "FNE" (the Chilean antitrust agency). The investigation is related to potential anti-competitive practices among competitors in the cash logistics industry in Chile. These costs are not considered part of the Company's operations and revenue generating activities. Additionally, the nature of these amounts, including the estimated loss and associated third-party costs, is such that they are not reasonably likely to recur within two years, nor were there similar charges within the prior two years of the underlying event. Management has excluded these amounts when evaluating internal performance. Therefore, these amounts have not been allocated to segment or Corporate results and are excluded from non-GAAP results.</w:t>
      </w:r>
    </w:p>
    <w:p>
      <w:pPr>
        <w:spacing w:after="0" w:line="151" w:lineRule="exact"/>
        <w:rPr>
          <w:sz w:val="20"/>
          <w:szCs w:val="20"/>
          <w:color w:val="auto"/>
        </w:rPr>
      </w:pPr>
    </w:p>
    <w:p>
      <w:pPr>
        <w:ind w:right="40"/>
        <w:spacing w:after="0" w:line="246" w:lineRule="auto"/>
        <w:rPr>
          <w:sz w:val="20"/>
          <w:szCs w:val="20"/>
          <w:color w:val="auto"/>
        </w:rPr>
      </w:pPr>
      <w:r>
        <w:rPr>
          <w:rFonts w:ascii="Arial" w:cs="Arial" w:eastAsia="Arial" w:hAnsi="Arial"/>
          <w:sz w:val="10"/>
          <w:szCs w:val="10"/>
          <w:b w:val="1"/>
          <w:bCs w:val="1"/>
          <w:color w:val="auto"/>
        </w:rPr>
        <w:t xml:space="preserve">Non-routine auto loss matter </w:t>
      </w:r>
      <w:r>
        <w:rPr>
          <w:rFonts w:ascii="Arial" w:cs="Arial" w:eastAsia="Arial" w:hAnsi="Arial"/>
          <w:sz w:val="10"/>
          <w:szCs w:val="10"/>
          <w:color w:val="auto"/>
        </w:rPr>
        <w:t>In 2023, a Brink’s employee was involved in a motor vehicle accident with unique circumstances that resulted in the death of a third party and, in connection with the ensuing litigation, Brink’s recognized a $10.0 million charge. Due to</w:t>
      </w:r>
      <w:r>
        <w:rPr>
          <w:rFonts w:ascii="Arial" w:cs="Arial" w:eastAsia="Arial" w:hAnsi="Arial"/>
          <w:sz w:val="10"/>
          <w:szCs w:val="10"/>
          <w:b w:val="1"/>
          <w:bCs w:val="1"/>
          <w:color w:val="auto"/>
        </w:rPr>
        <w:t xml:space="preserve"> </w:t>
      </w:r>
      <w:r>
        <w:rPr>
          <w:rFonts w:ascii="Arial" w:cs="Arial" w:eastAsia="Arial" w:hAnsi="Arial"/>
          <w:sz w:val="10"/>
          <w:szCs w:val="10"/>
          <w:color w:val="auto"/>
        </w:rPr>
        <w:t>the unusual nature of the matter, including the unique circumstances of the claim, potential magnitude of remedy, and variation from our ordinary-course litigation strategy, we consider the litigation as separate and distinct from routine legal matters. Management does not believe that similar litigation will likely recur within the next two years, and there have been no similar matters within the prior two years. Management has excluded these amounts when evaluating internal performance. Therefore, they have not been allocated to segment or Corporate results and are excluded from non-GAAP results.</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727"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6786245</wp:posOffset>
            </wp:positionH>
            <wp:positionV relativeFrom="page">
              <wp:posOffset>88900</wp:posOffset>
            </wp:positionV>
            <wp:extent cx="577215" cy="97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77215" cy="9715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t>The Brink’s Company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Measures and Reconciliations to GAAP Measures (Unaudited)</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(In millions, except for percentages and per share amounts)</w:t>
      </w:r>
    </w:p>
    <w:p>
      <w:pPr>
        <w:spacing w:after="0" w:line="155" w:lineRule="exact"/>
        <w:rPr>
          <w:sz w:val="20"/>
          <w:szCs w:val="20"/>
          <w:color w:val="auto"/>
        </w:rPr>
      </w:pPr>
    </w:p>
    <w:p>
      <w:pPr>
        <w:ind w:right="180"/>
        <w:spacing w:after="0" w:line="264" w:lineRule="auto"/>
        <w:rPr>
          <w:sz w:val="20"/>
          <w:szCs w:val="20"/>
          <w:color w:val="auto"/>
        </w:rPr>
      </w:pPr>
      <w:r>
        <w:rPr>
          <w:rFonts w:ascii="Arial" w:cs="Arial" w:eastAsia="Arial" w:hAnsi="Arial"/>
          <w:sz w:val="10"/>
          <w:szCs w:val="10"/>
          <w:color w:val="auto"/>
        </w:rPr>
        <w:t>Non-GAAP measures described below and included in this press release are financial measures that are not required by or presented in accordance with GAAP. The purpose of the disclosure of these non-GAAP measures is to report financial information from the primary operations of our business by excluding the effects of certain income and expenses that do not reflect the ordinary earnings of our operations.</w:t>
      </w:r>
    </w:p>
    <w:p>
      <w:pPr>
        <w:spacing w:after="0" w:line="143" w:lineRule="exact"/>
        <w:rPr>
          <w:sz w:val="20"/>
          <w:szCs w:val="20"/>
          <w:color w:val="auto"/>
        </w:rPr>
      </w:pPr>
    </w:p>
    <w:p>
      <w:pPr>
        <w:ind w:right="160"/>
        <w:spacing w:after="0" w:line="244" w:lineRule="auto"/>
        <w:rPr>
          <w:sz w:val="20"/>
          <w:szCs w:val="20"/>
          <w:color w:val="auto"/>
        </w:rPr>
      </w:pPr>
      <w:r>
        <w:rPr>
          <w:rFonts w:ascii="Arial" w:cs="Arial" w:eastAsia="Arial" w:hAnsi="Arial"/>
          <w:sz w:val="10"/>
          <w:szCs w:val="10"/>
          <w:color w:val="auto"/>
        </w:rPr>
        <w:t>These non-GAAP financial measures are intended to provide investors with a supplemental comparison of our operating results and trends for the periods presented. Our management believes these measures are also useful to investors as such measures allow investors to evaluate our performance using the same metrics that our management uses to evaluate past performance and prospects for future performance. The reconciliations in the tables below include adjustments that we do not consider reflective of our operating performance as they result from events and circumstances that are not a part of our core business. Additionally, certain non-GAAP results, including non-GAAP operating profit and free cash flow before dividends, are utilized as performance measures in certain management incentive compensation plans.</w:t>
      </w:r>
    </w:p>
    <w:p>
      <w:pPr>
        <w:spacing w:after="0" w:line="153" w:lineRule="exact"/>
        <w:rPr>
          <w:sz w:val="20"/>
          <w:szCs w:val="20"/>
          <w:color w:val="auto"/>
        </w:rPr>
      </w:pPr>
    </w:p>
    <w:p>
      <w:pPr>
        <w:ind w:right="140"/>
        <w:spacing w:after="0" w:line="264" w:lineRule="auto"/>
        <w:rPr>
          <w:sz w:val="20"/>
          <w:szCs w:val="20"/>
          <w:color w:val="auto"/>
        </w:rPr>
      </w:pPr>
      <w:r>
        <w:rPr>
          <w:rFonts w:ascii="Arial" w:cs="Arial" w:eastAsia="Arial" w:hAnsi="Arial"/>
          <w:sz w:val="10"/>
          <w:szCs w:val="10"/>
          <w:color w:val="auto"/>
        </w:rPr>
        <w:t>Non-GAAP results should not be considered as an alternative to results determined in accordance with GAAP and should be read in conjunction with their GAAP counterparts. Non-GAAP financial measures may not be comparable to non-GAAP financial measures presented by other companies.</w:t>
      </w:r>
    </w:p>
    <w:p>
      <w:pPr>
        <w:spacing w:after="0" w:line="143" w:lineRule="exact"/>
        <w:rPr>
          <w:sz w:val="20"/>
          <w:szCs w:val="20"/>
          <w:color w:val="auto"/>
        </w:rPr>
      </w:pPr>
    </w:p>
    <w:p>
      <w:pPr>
        <w:ind w:right="20"/>
        <w:spacing w:after="0" w:line="264" w:lineRule="auto"/>
        <w:rPr>
          <w:sz w:val="20"/>
          <w:szCs w:val="20"/>
          <w:color w:val="auto"/>
        </w:rPr>
      </w:pPr>
      <w:r>
        <w:rPr>
          <w:rFonts w:ascii="Arial" w:cs="Arial" w:eastAsia="Arial" w:hAnsi="Arial"/>
          <w:sz w:val="10"/>
          <w:szCs w:val="10"/>
          <w:color w:val="auto"/>
        </w:rPr>
        <w:t>The items excluded from non-GAAP measures are considered by us to be nonrecurring, infrequent or unusual costs and gains as well as other items not considered part of our operations and revenue generating activities. Non-recurring and infrequent items are items that are not reasonably expected to recur in the following two years.</w:t>
      </w:r>
    </w:p>
    <w:p>
      <w:pPr>
        <w:spacing w:after="0" w:line="134" w:lineRule="exact"/>
        <w:rPr>
          <w:sz w:val="20"/>
          <w:szCs w:val="20"/>
          <w:color w:val="auto"/>
        </w:rPr>
      </w:pPr>
    </w:p>
    <w:p>
      <w:pPr>
        <w:spacing w:after="0"/>
        <w:rPr>
          <w:sz w:val="20"/>
          <w:szCs w:val="20"/>
          <w:color w:val="auto"/>
        </w:rPr>
      </w:pPr>
      <w:r>
        <w:rPr>
          <w:rFonts w:ascii="Arial" w:cs="Arial" w:eastAsia="Arial" w:hAnsi="Arial"/>
          <w:sz w:val="10"/>
          <w:szCs w:val="10"/>
          <w:color w:val="auto"/>
        </w:rPr>
        <w:t>In addition to the rationale described above, we believe the following non-GAAP metrics are helpful to investors in assessing results of operations consistent with how our management evaluates performance:</w:t>
      </w:r>
    </w:p>
    <w:p>
      <w:pPr>
        <w:spacing w:after="0" w:line="10" w:lineRule="exact"/>
        <w:rPr>
          <w:sz w:val="20"/>
          <w:szCs w:val="20"/>
          <w:color w:val="auto"/>
        </w:rPr>
      </w:pPr>
    </w:p>
    <w:p>
      <w:pPr>
        <w:ind w:left="420" w:right="80" w:hanging="212"/>
        <w:spacing w:after="0" w:line="244" w:lineRule="auto"/>
        <w:tabs>
          <w:tab w:leader="none" w:pos="417" w:val="left"/>
        </w:tabs>
        <w:numPr>
          <w:ilvl w:val="0"/>
          <w:numId w:val="8"/>
        </w:numPr>
        <w:rPr>
          <w:rFonts w:ascii="Arial" w:cs="Arial" w:eastAsia="Arial" w:hAnsi="Arial"/>
          <w:sz w:val="10"/>
          <w:szCs w:val="10"/>
          <w:color w:val="auto"/>
        </w:rPr>
      </w:pPr>
      <w:r>
        <w:rPr>
          <w:rFonts w:ascii="Arial" w:cs="Arial" w:eastAsia="Arial" w:hAnsi="Arial"/>
          <w:sz w:val="10"/>
          <w:szCs w:val="10"/>
          <w:b w:val="1"/>
          <w:bCs w:val="1"/>
          <w:color w:val="auto"/>
        </w:rPr>
        <w:t>Non-GAAP operating profit and Non-GAAP operating profit margin</w:t>
      </w:r>
      <w:r>
        <w:rPr>
          <w:rFonts w:ascii="Arial" w:cs="Arial" w:eastAsia="Arial" w:hAnsi="Arial"/>
          <w:sz w:val="10"/>
          <w:szCs w:val="10"/>
          <w:color w:val="auto"/>
        </w:rPr>
        <w:t>: Non-GAAP operating profit equals GAAP operating profit excluding Other Items not Allocated to Segments. Non-GAAP operating margin equals non-GAAP operating profit divided by</w:t>
      </w:r>
      <w:r>
        <w:rPr>
          <w:rFonts w:ascii="Arial" w:cs="Arial" w:eastAsia="Arial" w:hAnsi="Arial"/>
          <w:sz w:val="10"/>
          <w:szCs w:val="10"/>
          <w:b w:val="1"/>
          <w:bCs w:val="1"/>
          <w:color w:val="auto"/>
        </w:rPr>
        <w:t xml:space="preserve"> </w:t>
      </w:r>
      <w:r>
        <w:rPr>
          <w:rFonts w:ascii="Arial" w:cs="Arial" w:eastAsia="Arial" w:hAnsi="Arial"/>
          <w:sz w:val="10"/>
          <w:szCs w:val="10"/>
          <w:color w:val="auto"/>
        </w:rPr>
        <w:t>revenues.</w:t>
      </w:r>
    </w:p>
    <w:p>
      <w:pPr>
        <w:ind w:left="420" w:right="560" w:hanging="212"/>
        <w:spacing w:after="0" w:line="234" w:lineRule="auto"/>
        <w:tabs>
          <w:tab w:leader="none" w:pos="417" w:val="left"/>
        </w:tabs>
        <w:numPr>
          <w:ilvl w:val="0"/>
          <w:numId w:val="8"/>
        </w:numPr>
        <w:rPr>
          <w:rFonts w:ascii="Arial" w:cs="Arial" w:eastAsia="Arial" w:hAnsi="Arial"/>
          <w:sz w:val="10"/>
          <w:szCs w:val="10"/>
          <w:color w:val="auto"/>
        </w:rPr>
      </w:pPr>
      <w:r>
        <w:rPr>
          <w:rFonts w:ascii="Arial" w:cs="Arial" w:eastAsia="Arial" w:hAnsi="Arial"/>
          <w:sz w:val="10"/>
          <w:szCs w:val="10"/>
          <w:b w:val="1"/>
          <w:bCs w:val="1"/>
          <w:color w:val="auto"/>
        </w:rPr>
        <w:t>Non-GAAP income from continuing operations attributable to Brink's</w:t>
      </w:r>
      <w:r>
        <w:rPr>
          <w:rFonts w:ascii="Arial" w:cs="Arial" w:eastAsia="Arial" w:hAnsi="Arial"/>
          <w:sz w:val="10"/>
          <w:szCs w:val="10"/>
          <w:color w:val="auto"/>
        </w:rPr>
        <w:t>: This measure equals GAAP income from continuing operations attributable to Brink's excluding Other Items not Allocated to Segments as well as certain retirement plan</w:t>
      </w:r>
      <w:r>
        <w:rPr>
          <w:rFonts w:ascii="Arial" w:cs="Arial" w:eastAsia="Arial" w:hAnsi="Arial"/>
          <w:sz w:val="10"/>
          <w:szCs w:val="10"/>
          <w:b w:val="1"/>
          <w:bCs w:val="1"/>
          <w:color w:val="auto"/>
        </w:rPr>
        <w:t xml:space="preserve"> </w:t>
      </w:r>
      <w:r>
        <w:rPr>
          <w:rFonts w:ascii="Arial" w:cs="Arial" w:eastAsia="Arial" w:hAnsi="Arial"/>
          <w:sz w:val="10"/>
          <w:szCs w:val="10"/>
          <w:color w:val="auto"/>
        </w:rPr>
        <w:t>expenses/gains, taxes on return of capital, impairment of certain debt securities, and unusual adjustments to deferred tax asset valuation allowances.</w:t>
      </w:r>
    </w:p>
    <w:p>
      <w:pPr>
        <w:ind w:left="420" w:right="100" w:hanging="212"/>
        <w:spacing w:after="0" w:line="244" w:lineRule="auto"/>
        <w:tabs>
          <w:tab w:leader="none" w:pos="417" w:val="left"/>
        </w:tabs>
        <w:numPr>
          <w:ilvl w:val="0"/>
          <w:numId w:val="8"/>
        </w:numPr>
        <w:rPr>
          <w:rFonts w:ascii="Arial" w:cs="Arial" w:eastAsia="Arial" w:hAnsi="Arial"/>
          <w:sz w:val="10"/>
          <w:szCs w:val="10"/>
          <w:color w:val="auto"/>
        </w:rPr>
      </w:pPr>
      <w:r>
        <w:rPr>
          <w:rFonts w:ascii="Arial" w:cs="Arial" w:eastAsia="Arial" w:hAnsi="Arial"/>
          <w:sz w:val="10"/>
          <w:szCs w:val="10"/>
          <w:b w:val="1"/>
          <w:bCs w:val="1"/>
          <w:color w:val="auto"/>
        </w:rPr>
        <w:t xml:space="preserve">Earnings Before Interest Expense, Income Taxes, Depreciation and Amortization ("EBITDA") and Adjusted EBITDA: </w:t>
      </w:r>
      <w:r>
        <w:rPr>
          <w:rFonts w:ascii="Arial" w:cs="Arial" w:eastAsia="Arial" w:hAnsi="Arial"/>
          <w:sz w:val="10"/>
          <w:szCs w:val="10"/>
          <w:color w:val="auto"/>
        </w:rPr>
        <w:t>EBITDA is calculated by starting with net income attributable to Brink's and adding back the amounts for interest expense, income</w:t>
      </w:r>
      <w:r>
        <w:rPr>
          <w:rFonts w:ascii="Arial" w:cs="Arial" w:eastAsia="Arial" w:hAnsi="Arial"/>
          <w:sz w:val="10"/>
          <w:szCs w:val="10"/>
          <w:b w:val="1"/>
          <w:bCs w:val="1"/>
          <w:color w:val="auto"/>
        </w:rPr>
        <w:t xml:space="preserve"> </w:t>
      </w:r>
      <w:r>
        <w:rPr>
          <w:rFonts w:ascii="Arial" w:cs="Arial" w:eastAsia="Arial" w:hAnsi="Arial"/>
          <w:sz w:val="10"/>
          <w:szCs w:val="10"/>
          <w:color w:val="auto"/>
        </w:rPr>
        <w:t>taxes, depreciation and amortization. Adjusted EBITDA equals EBITDA excluding the applicable impacts of Other Items not Allocated to Segments as well as certain retirement plan expenses/gains, taxes on return of capital, impairment of certain debt securities, unusual adjustments to deferred tax asset valuation allowances, income tax rate adjustments, share-based compensation and marketable securities (gain) loss.</w:t>
      </w:r>
    </w:p>
    <w:p>
      <w:pPr>
        <w:ind w:left="420" w:hanging="212"/>
        <w:spacing w:after="0"/>
        <w:tabs>
          <w:tab w:leader="none" w:pos="420" w:val="left"/>
        </w:tabs>
        <w:numPr>
          <w:ilvl w:val="0"/>
          <w:numId w:val="8"/>
        </w:numPr>
        <w:rPr>
          <w:rFonts w:ascii="Arial" w:cs="Arial" w:eastAsia="Arial" w:hAnsi="Arial"/>
          <w:sz w:val="10"/>
          <w:szCs w:val="10"/>
          <w:color w:val="auto"/>
        </w:rPr>
      </w:pPr>
      <w:r>
        <w:rPr>
          <w:rFonts w:ascii="Arial" w:cs="Arial" w:eastAsia="Arial" w:hAnsi="Arial"/>
          <w:sz w:val="10"/>
          <w:szCs w:val="10"/>
          <w:b w:val="1"/>
          <w:bCs w:val="1"/>
          <w:color w:val="auto"/>
        </w:rPr>
        <w:t>Non-GAAP diluted EPS from continuing operations attributable to Brink's common shareholders</w:t>
      </w:r>
      <w:r>
        <w:rPr>
          <w:rFonts w:ascii="Arial" w:cs="Arial" w:eastAsia="Arial" w:hAnsi="Arial"/>
          <w:sz w:val="10"/>
          <w:szCs w:val="10"/>
          <w:color w:val="auto"/>
        </w:rPr>
        <w:t>: This measure equals non-GAAP income from continuing operations attributable to Brink's divided by diluted shares.</w:t>
      </w:r>
    </w:p>
    <w:p>
      <w:pPr>
        <w:spacing w:after="0" w:line="2" w:lineRule="exact"/>
        <w:rPr>
          <w:rFonts w:ascii="Arial" w:cs="Arial" w:eastAsia="Arial" w:hAnsi="Arial"/>
          <w:sz w:val="10"/>
          <w:szCs w:val="10"/>
          <w:color w:val="auto"/>
        </w:rPr>
      </w:pPr>
    </w:p>
    <w:p>
      <w:pPr>
        <w:ind w:left="420" w:right="360" w:hanging="212"/>
        <w:spacing w:after="0" w:line="234" w:lineRule="auto"/>
        <w:tabs>
          <w:tab w:leader="none" w:pos="417" w:val="left"/>
        </w:tabs>
        <w:numPr>
          <w:ilvl w:val="0"/>
          <w:numId w:val="8"/>
        </w:numPr>
        <w:rPr>
          <w:rFonts w:ascii="Arial" w:cs="Arial" w:eastAsia="Arial" w:hAnsi="Arial"/>
          <w:sz w:val="10"/>
          <w:szCs w:val="10"/>
          <w:color w:val="auto"/>
        </w:rPr>
      </w:pPr>
      <w:r>
        <w:rPr>
          <w:rFonts w:ascii="Arial" w:cs="Arial" w:eastAsia="Arial" w:hAnsi="Arial"/>
          <w:sz w:val="10"/>
          <w:szCs w:val="10"/>
          <w:b w:val="1"/>
          <w:bCs w:val="1"/>
          <w:color w:val="auto"/>
        </w:rPr>
        <w:t>Organic change and organic growth</w:t>
      </w:r>
      <w:r>
        <w:rPr>
          <w:rFonts w:ascii="Arial" w:cs="Arial" w:eastAsia="Arial" w:hAnsi="Arial"/>
          <w:sz w:val="10"/>
          <w:szCs w:val="10"/>
          <w:color w:val="auto"/>
        </w:rPr>
        <w:t>: Organic change represents the change in revenues or operating profit between the current and prior period excluding the effect of acquisitions and dispositions for one year after the transaction and changes in</w:t>
      </w:r>
      <w:r>
        <w:rPr>
          <w:rFonts w:ascii="Arial" w:cs="Arial" w:eastAsia="Arial" w:hAnsi="Arial"/>
          <w:sz w:val="10"/>
          <w:szCs w:val="10"/>
          <w:b w:val="1"/>
          <w:bCs w:val="1"/>
          <w:color w:val="auto"/>
        </w:rPr>
        <w:t xml:space="preserve"> </w:t>
      </w:r>
      <w:r>
        <w:rPr>
          <w:rFonts w:ascii="Arial" w:cs="Arial" w:eastAsia="Arial" w:hAnsi="Arial"/>
          <w:sz w:val="10"/>
          <w:szCs w:val="10"/>
          <w:color w:val="auto"/>
        </w:rPr>
        <w:t>currency exchange rates. Organic growth is the percentage change of organic growth versus the prior year amount.</w:t>
      </w:r>
    </w:p>
    <w:p>
      <w:pPr>
        <w:ind w:left="420" w:hanging="212"/>
        <w:spacing w:after="0"/>
        <w:tabs>
          <w:tab w:leader="none" w:pos="420" w:val="left"/>
        </w:tabs>
        <w:numPr>
          <w:ilvl w:val="0"/>
          <w:numId w:val="8"/>
        </w:numPr>
        <w:rPr>
          <w:rFonts w:ascii="Arial" w:cs="Arial" w:eastAsia="Arial" w:hAnsi="Arial"/>
          <w:sz w:val="10"/>
          <w:szCs w:val="10"/>
          <w:color w:val="auto"/>
        </w:rPr>
      </w:pPr>
      <w:r>
        <w:rPr>
          <w:rFonts w:ascii="Arial" w:cs="Arial" w:eastAsia="Arial" w:hAnsi="Arial"/>
          <w:sz w:val="10"/>
          <w:szCs w:val="10"/>
          <w:b w:val="1"/>
          <w:bCs w:val="1"/>
          <w:color w:val="auto"/>
        </w:rPr>
        <w:t xml:space="preserve">Impact of acquisitions/dispositions: </w:t>
      </w:r>
      <w:r>
        <w:rPr>
          <w:rFonts w:ascii="Arial" w:cs="Arial" w:eastAsia="Arial" w:hAnsi="Arial"/>
          <w:sz w:val="10"/>
          <w:szCs w:val="10"/>
          <w:color w:val="auto"/>
        </w:rPr>
        <w:t>This measure represents the impact of acquisitions or dispositions without a full year of reported results in either comparable period.</w:t>
      </w:r>
    </w:p>
    <w:p>
      <w:pPr>
        <w:spacing w:after="0" w:line="2" w:lineRule="exact"/>
        <w:rPr>
          <w:rFonts w:ascii="Arial" w:cs="Arial" w:eastAsia="Arial" w:hAnsi="Arial"/>
          <w:sz w:val="10"/>
          <w:szCs w:val="10"/>
          <w:color w:val="auto"/>
        </w:rPr>
      </w:pPr>
    </w:p>
    <w:p>
      <w:pPr>
        <w:ind w:left="420" w:right="220" w:hanging="212"/>
        <w:spacing w:after="0" w:line="244" w:lineRule="auto"/>
        <w:tabs>
          <w:tab w:leader="none" w:pos="417" w:val="left"/>
        </w:tabs>
        <w:numPr>
          <w:ilvl w:val="0"/>
          <w:numId w:val="8"/>
        </w:numPr>
        <w:rPr>
          <w:rFonts w:ascii="Arial" w:cs="Arial" w:eastAsia="Arial" w:hAnsi="Arial"/>
          <w:sz w:val="10"/>
          <w:szCs w:val="10"/>
          <w:color w:val="auto"/>
        </w:rPr>
      </w:pPr>
      <w:r>
        <w:rPr>
          <w:rFonts w:ascii="Arial" w:cs="Arial" w:eastAsia="Arial" w:hAnsi="Arial"/>
          <w:sz w:val="10"/>
          <w:szCs w:val="10"/>
          <w:b w:val="1"/>
          <w:bCs w:val="1"/>
          <w:color w:val="auto"/>
        </w:rPr>
        <w:t xml:space="preserve">Currency effect: </w:t>
      </w:r>
      <w:r>
        <w:rPr>
          <w:rFonts w:ascii="Arial" w:cs="Arial" w:eastAsia="Arial" w:hAnsi="Arial"/>
          <w:sz w:val="10"/>
          <w:szCs w:val="10"/>
          <w:color w:val="auto"/>
        </w:rPr>
        <w:t>This measure consists of the effects of Argentina devaluations under highly inflationary accounting and the sum of monthly currency changes. Monthly currency changes represent the accumulation throughout the year of the impact on</w:t>
      </w:r>
      <w:r>
        <w:rPr>
          <w:rFonts w:ascii="Arial" w:cs="Arial" w:eastAsia="Arial" w:hAnsi="Arial"/>
          <w:sz w:val="10"/>
          <w:szCs w:val="10"/>
          <w:b w:val="1"/>
          <w:bCs w:val="1"/>
          <w:color w:val="auto"/>
        </w:rPr>
        <w:t xml:space="preserve"> </w:t>
      </w:r>
      <w:r>
        <w:rPr>
          <w:rFonts w:ascii="Arial" w:cs="Arial" w:eastAsia="Arial" w:hAnsi="Arial"/>
          <w:sz w:val="10"/>
          <w:szCs w:val="10"/>
          <w:color w:val="auto"/>
        </w:rPr>
        <w:t>current period results of changes in foreign currency rates from the prior year period.</w:t>
      </w:r>
    </w:p>
    <w:p>
      <w:pPr>
        <w:ind w:left="420" w:right="320" w:hanging="212"/>
        <w:spacing w:after="0" w:line="234" w:lineRule="auto"/>
        <w:tabs>
          <w:tab w:leader="none" w:pos="417" w:val="left"/>
        </w:tabs>
        <w:numPr>
          <w:ilvl w:val="0"/>
          <w:numId w:val="8"/>
        </w:numPr>
        <w:rPr>
          <w:rFonts w:ascii="Arial" w:cs="Arial" w:eastAsia="Arial" w:hAnsi="Arial"/>
          <w:sz w:val="10"/>
          <w:szCs w:val="10"/>
          <w:color w:val="auto"/>
        </w:rPr>
      </w:pPr>
      <w:r>
        <w:rPr>
          <w:rFonts w:ascii="Arial" w:cs="Arial" w:eastAsia="Arial" w:hAnsi="Arial"/>
          <w:sz w:val="10"/>
          <w:szCs w:val="10"/>
          <w:b w:val="1"/>
          <w:bCs w:val="1"/>
          <w:color w:val="auto"/>
        </w:rPr>
        <w:t>Non-GAAP pre-tax income, Non-GAAP income tax and Non-GAAP effective income tax rate</w:t>
      </w:r>
      <w:r>
        <w:rPr>
          <w:rFonts w:ascii="Arial" w:cs="Arial" w:eastAsia="Arial" w:hAnsi="Arial"/>
          <w:sz w:val="10"/>
          <w:szCs w:val="10"/>
          <w:color w:val="auto"/>
        </w:rPr>
        <w:t>: Non-GAAP pre-tax income and non-GAAP income tax equal their GAAP counterparts excluding the applicable impacts of Other Items not Allocated to</w:t>
      </w:r>
      <w:r>
        <w:rPr>
          <w:rFonts w:ascii="Arial" w:cs="Arial" w:eastAsia="Arial" w:hAnsi="Arial"/>
          <w:sz w:val="10"/>
          <w:szCs w:val="10"/>
          <w:b w:val="1"/>
          <w:bCs w:val="1"/>
          <w:color w:val="auto"/>
        </w:rPr>
        <w:t xml:space="preserve"> </w:t>
      </w:r>
      <w:r>
        <w:rPr>
          <w:rFonts w:ascii="Arial" w:cs="Arial" w:eastAsia="Arial" w:hAnsi="Arial"/>
          <w:sz w:val="10"/>
          <w:szCs w:val="10"/>
          <w:color w:val="auto"/>
        </w:rPr>
        <w:t>Segments as well as certain retirement plan expenses/gains. Non-GAAP effective income tax rate equals non-GAAP income tax divided by non-GAAP pre-tax income.</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In addition to the rationale described above, we believe the following non-GAAP metrics are helpful in assessing cash flow and financial leverage consistent with how our management evaluates performance:</w:t>
      </w:r>
    </w:p>
    <w:p>
      <w:pPr>
        <w:spacing w:after="0" w:line="10" w:lineRule="exact"/>
        <w:rPr>
          <w:sz w:val="20"/>
          <w:szCs w:val="20"/>
          <w:color w:val="auto"/>
        </w:rPr>
      </w:pPr>
    </w:p>
    <w:p>
      <w:pPr>
        <w:ind w:left="420" w:right="20" w:hanging="212"/>
        <w:spacing w:after="0"/>
        <w:tabs>
          <w:tab w:leader="none" w:pos="417" w:val="left"/>
        </w:tabs>
        <w:numPr>
          <w:ilvl w:val="0"/>
          <w:numId w:val="9"/>
        </w:numPr>
        <w:rPr>
          <w:rFonts w:ascii="Arial" w:cs="Arial" w:eastAsia="Arial" w:hAnsi="Arial"/>
          <w:sz w:val="10"/>
          <w:szCs w:val="10"/>
          <w:color w:val="auto"/>
        </w:rPr>
      </w:pPr>
      <w:r>
        <w:rPr>
          <w:rFonts w:ascii="Arial" w:cs="Arial" w:eastAsia="Arial" w:hAnsi="Arial"/>
          <w:sz w:val="10"/>
          <w:szCs w:val="10"/>
          <w:b w:val="1"/>
          <w:bCs w:val="1"/>
          <w:color w:val="auto"/>
        </w:rPr>
        <w:t xml:space="preserve">Free cash flow before dividends: </w:t>
      </w:r>
      <w:r>
        <w:rPr>
          <w:rFonts w:ascii="Arial" w:cs="Arial" w:eastAsia="Arial" w:hAnsi="Arial"/>
          <w:sz w:val="10"/>
          <w:szCs w:val="10"/>
          <w:color w:val="auto"/>
        </w:rPr>
        <w:t>Free cash flow before dividends is a non-GAAP financial measure that represents management’s calculation of cash flows that are available for capital and investing activities such as paying dividends, share repurchases,</w:t>
      </w:r>
      <w:r>
        <w:rPr>
          <w:rFonts w:ascii="Arial" w:cs="Arial" w:eastAsia="Arial" w:hAnsi="Arial"/>
          <w:sz w:val="10"/>
          <w:szCs w:val="10"/>
          <w:b w:val="1"/>
          <w:bCs w:val="1"/>
          <w:color w:val="auto"/>
        </w:rPr>
        <w:t xml:space="preserve"> </w:t>
      </w:r>
      <w:r>
        <w:rPr>
          <w:rFonts w:ascii="Arial" w:cs="Arial" w:eastAsia="Arial" w:hAnsi="Arial"/>
          <w:sz w:val="10"/>
          <w:szCs w:val="10"/>
          <w:color w:val="auto"/>
        </w:rPr>
        <w:t>debt, acquisition and other investments. We define free cash flow before dividends as net cash provided by (used in) operating activities, adjusted to exclude certain operating activities related to cash that is not available for corporate purposes, including the impact of cash flows from restricted cash held for customers, as well as cash received and processed in certain of our secure cash management services operations. The resulting amount is further adjusted to include the impact of cash flows related to property and equipment used to operate our business, including capital expenditures, cash proceeds from the sale of property and equipment, as well as lessor debt financing. Free cash flow before dividends also excludes the cash impact of transaction costs related to the NCR Atleos acquisition.</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721"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6786245</wp:posOffset>
            </wp:positionH>
            <wp:positionV relativeFrom="page">
              <wp:posOffset>88900</wp:posOffset>
            </wp:positionV>
            <wp:extent cx="577215" cy="97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77215" cy="9715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t>Reconciliations of Non-GAAP to GAAP Measures</w:t>
      </w:r>
    </w:p>
    <w:p>
      <w:pPr>
        <w:spacing w:after="0" w:line="176" w:lineRule="exact"/>
        <w:rPr>
          <w:sz w:val="20"/>
          <w:szCs w:val="20"/>
          <w:color w:val="auto"/>
        </w:rPr>
      </w:pPr>
    </w:p>
    <w:p>
      <w:pPr>
        <w:ind w:right="60"/>
        <w:spacing w:after="0" w:line="264" w:lineRule="auto"/>
        <w:rPr>
          <w:sz w:val="20"/>
          <w:szCs w:val="20"/>
          <w:color w:val="auto"/>
        </w:rPr>
      </w:pPr>
      <w:r>
        <w:rPr>
          <w:rFonts w:ascii="Arial" w:cs="Arial" w:eastAsia="Arial" w:hAnsi="Arial"/>
          <w:sz w:val="10"/>
          <w:szCs w:val="10"/>
          <w:color w:val="auto"/>
        </w:rPr>
        <w:t>Non-GAAP measures are reconciled to comparable GAAP measures in the tables below. Amounts reported for prior periods have been updated in this press release to present information consistently for all periods presented. Most of the reconciling adjustments are described in Other Items Not Allocated to Segments above on pages 9-10. Additional reconciling items include the following:</w:t>
      </w:r>
    </w:p>
    <w:p>
      <w:pPr>
        <w:spacing w:after="0" w:line="141" w:lineRule="exact"/>
        <w:rPr>
          <w:sz w:val="20"/>
          <w:szCs w:val="20"/>
          <w:color w:val="auto"/>
        </w:rPr>
      </w:pPr>
    </w:p>
    <w:p>
      <w:pPr>
        <w:ind w:right="20"/>
        <w:spacing w:after="0" w:line="247" w:lineRule="auto"/>
        <w:rPr>
          <w:sz w:val="20"/>
          <w:szCs w:val="20"/>
          <w:color w:val="auto"/>
        </w:rPr>
      </w:pPr>
      <w:r>
        <w:rPr>
          <w:rFonts w:ascii="Arial" w:cs="Arial" w:eastAsia="Arial" w:hAnsi="Arial"/>
          <w:sz w:val="10"/>
          <w:szCs w:val="10"/>
          <w:b w:val="1"/>
          <w:bCs w:val="1"/>
          <w:color w:val="auto"/>
        </w:rPr>
        <w:t xml:space="preserve">Retirement plans </w:t>
      </w:r>
      <w:r>
        <w:rPr>
          <w:rFonts w:ascii="Arial" w:cs="Arial" w:eastAsia="Arial" w:hAnsi="Arial"/>
          <w:sz w:val="10"/>
          <w:szCs w:val="10"/>
          <w:color w:val="auto"/>
        </w:rPr>
        <w:t>We incur costs, such as interest expense and amortization of actuarial gains and losses, associated with certain retirement plans that have been frozen to new entrants. Furthermore, we also incur non-cash settlement charges and curtailment gains</w:t>
      </w:r>
      <w:r>
        <w:rPr>
          <w:rFonts w:ascii="Arial" w:cs="Arial" w:eastAsia="Arial" w:hAnsi="Arial"/>
          <w:sz w:val="10"/>
          <w:szCs w:val="10"/>
          <w:b w:val="1"/>
          <w:bCs w:val="1"/>
          <w:color w:val="auto"/>
        </w:rPr>
        <w:t xml:space="preserve"> </w:t>
      </w:r>
      <w:r>
        <w:rPr>
          <w:rFonts w:ascii="Arial" w:cs="Arial" w:eastAsia="Arial" w:hAnsi="Arial"/>
          <w:sz w:val="10"/>
          <w:szCs w:val="10"/>
          <w:color w:val="auto"/>
        </w:rPr>
        <w:t>related to all of our retirement plans. These costs and gains are not considered to be part of the Company's operations and revenue generating activities. Management has excluded these amounts when evaluating internal performance. Therefore, they are excluded from non-GAAP results.</w:t>
      </w:r>
    </w:p>
    <w:p>
      <w:pPr>
        <w:spacing w:after="0" w:line="149" w:lineRule="exact"/>
        <w:rPr>
          <w:sz w:val="20"/>
          <w:szCs w:val="20"/>
          <w:color w:val="auto"/>
        </w:rPr>
      </w:pPr>
    </w:p>
    <w:p>
      <w:pPr>
        <w:jc w:val="both"/>
        <w:ind w:right="20"/>
        <w:spacing w:after="0" w:line="268" w:lineRule="auto"/>
        <w:rPr>
          <w:sz w:val="20"/>
          <w:szCs w:val="20"/>
          <w:color w:val="auto"/>
        </w:rPr>
      </w:pPr>
      <w:r>
        <w:rPr>
          <w:rFonts w:ascii="Arial" w:cs="Arial" w:eastAsia="Arial" w:hAnsi="Arial"/>
          <w:sz w:val="10"/>
          <w:szCs w:val="10"/>
          <w:b w:val="1"/>
          <w:bCs w:val="1"/>
          <w:color w:val="auto"/>
        </w:rPr>
        <w:t xml:space="preserve">Valuation allowance on tax credits </w:t>
      </w:r>
      <w:r>
        <w:rPr>
          <w:rFonts w:ascii="Arial" w:cs="Arial" w:eastAsia="Arial" w:hAnsi="Arial"/>
          <w:sz w:val="10"/>
          <w:szCs w:val="10"/>
          <w:color w:val="auto"/>
        </w:rPr>
        <w:t>Gains and charges related to major tax law changes are not considered to be part of the Company's operations and revenue generating activities. As a result of the One Big Beautiful Bill Act, we increased a valuation allowance on</w:t>
      </w:r>
      <w:r>
        <w:rPr>
          <w:rFonts w:ascii="Arial" w:cs="Arial" w:eastAsia="Arial" w:hAnsi="Arial"/>
          <w:sz w:val="10"/>
          <w:szCs w:val="10"/>
          <w:b w:val="1"/>
          <w:bCs w:val="1"/>
          <w:color w:val="auto"/>
        </w:rPr>
        <w:t xml:space="preserve"> </w:t>
      </w:r>
      <w:r>
        <w:rPr>
          <w:rFonts w:ascii="Arial" w:cs="Arial" w:eastAsia="Arial" w:hAnsi="Arial"/>
          <w:sz w:val="10"/>
          <w:szCs w:val="10"/>
          <w:color w:val="auto"/>
        </w:rPr>
        <w:t>deferred tax assets and recorded a significant income tax expense in the third quarter of 2025. Management has excluded these amounts when evaluating internal performance. Therefore, they are excluded from non-GAAP results.</w:t>
      </w:r>
    </w:p>
    <w:p>
      <w:pPr>
        <w:spacing w:after="0" w:line="139" w:lineRule="exact"/>
        <w:rPr>
          <w:sz w:val="20"/>
          <w:szCs w:val="20"/>
          <w:color w:val="auto"/>
        </w:rPr>
      </w:pPr>
    </w:p>
    <w:p>
      <w:pPr>
        <w:jc w:val="both"/>
        <w:ind w:right="20"/>
        <w:spacing w:after="0" w:line="247" w:lineRule="auto"/>
        <w:rPr>
          <w:sz w:val="20"/>
          <w:szCs w:val="20"/>
          <w:color w:val="auto"/>
        </w:rPr>
      </w:pPr>
      <w:r>
        <w:rPr>
          <w:rFonts w:ascii="Arial" w:cs="Arial" w:eastAsia="Arial" w:hAnsi="Arial"/>
          <w:sz w:val="10"/>
          <w:szCs w:val="10"/>
          <w:b w:val="1"/>
          <w:bCs w:val="1"/>
          <w:color w:val="auto"/>
        </w:rPr>
        <w:t xml:space="preserve">Tax on return of capital </w:t>
      </w:r>
      <w:r>
        <w:rPr>
          <w:rFonts w:ascii="Arial" w:cs="Arial" w:eastAsia="Arial" w:hAnsi="Arial"/>
          <w:sz w:val="10"/>
          <w:szCs w:val="10"/>
          <w:color w:val="auto"/>
        </w:rPr>
        <w:t>As a result of lifted foreign exchange controls and the official and unofficial foreign exchange rates convergence in Argentina, we were able to make an unusual and infrequent return of capital. Due to Argentinian tax law, a withholding tax was</w:t>
      </w:r>
      <w:r>
        <w:rPr>
          <w:rFonts w:ascii="Arial" w:cs="Arial" w:eastAsia="Arial" w:hAnsi="Arial"/>
          <w:sz w:val="10"/>
          <w:szCs w:val="10"/>
          <w:b w:val="1"/>
          <w:bCs w:val="1"/>
          <w:color w:val="auto"/>
        </w:rPr>
        <w:t xml:space="preserve"> </w:t>
      </w:r>
      <w:r>
        <w:rPr>
          <w:rFonts w:ascii="Arial" w:cs="Arial" w:eastAsia="Arial" w:hAnsi="Arial"/>
          <w:sz w:val="10"/>
          <w:szCs w:val="10"/>
          <w:color w:val="auto"/>
        </w:rPr>
        <w:t>imposed on the return of capital. This withholding tax is not considered to be part of the Company’s operations and revenue generating activities. Management has excluded this amount when evaluating internal performance. Therefore, it is excluded from non-GAAP results.</w:t>
      </w:r>
    </w:p>
    <w:p>
      <w:pPr>
        <w:spacing w:after="0" w:line="149" w:lineRule="exact"/>
        <w:rPr>
          <w:sz w:val="20"/>
          <w:szCs w:val="20"/>
          <w:color w:val="auto"/>
        </w:rPr>
      </w:pPr>
    </w:p>
    <w:p>
      <w:pPr>
        <w:ind w:right="140"/>
        <w:spacing w:after="0" w:line="256" w:lineRule="auto"/>
        <w:rPr>
          <w:sz w:val="20"/>
          <w:szCs w:val="20"/>
          <w:color w:val="auto"/>
        </w:rPr>
      </w:pPr>
      <w:r>
        <w:rPr>
          <w:rFonts w:ascii="Arial" w:cs="Arial" w:eastAsia="Arial" w:hAnsi="Arial"/>
          <w:sz w:val="10"/>
          <w:szCs w:val="10"/>
          <w:b w:val="1"/>
          <w:bCs w:val="1"/>
          <w:color w:val="auto"/>
        </w:rPr>
        <w:t xml:space="preserve">Change in restricted cash held for customers </w:t>
      </w:r>
      <w:r>
        <w:rPr>
          <w:rFonts w:ascii="Arial" w:cs="Arial" w:eastAsia="Arial" w:hAnsi="Arial"/>
          <w:sz w:val="10"/>
          <w:szCs w:val="10"/>
          <w:color w:val="auto"/>
        </w:rPr>
        <w:t>Restricted cash held for customers is not available for general corporate purposes such as payroll, vendor invoice payments, debt repayment, or capital expenditures. Because the cash is not available to support the</w:t>
      </w:r>
      <w:r>
        <w:rPr>
          <w:rFonts w:ascii="Arial" w:cs="Arial" w:eastAsia="Arial" w:hAnsi="Arial"/>
          <w:sz w:val="10"/>
          <w:szCs w:val="10"/>
          <w:b w:val="1"/>
          <w:bCs w:val="1"/>
          <w:color w:val="auto"/>
        </w:rPr>
        <w:t xml:space="preserve"> </w:t>
      </w:r>
      <w:r>
        <w:rPr>
          <w:rFonts w:ascii="Arial" w:cs="Arial" w:eastAsia="Arial" w:hAnsi="Arial"/>
          <w:sz w:val="10"/>
          <w:szCs w:val="10"/>
          <w:color w:val="auto"/>
        </w:rPr>
        <w:t>Company's operations and revenue generating activities, management excludes the changes in the restricted cash held for customers balance when assessing cash flows from operations. We believe that the exclusion of the change in restricted cash held for customers from our non-GAAP operating cash flows measure is helpful to users of the financial statements as it presents this financial measure consistent with how management assesses this liquidity measure.</w:t>
      </w:r>
    </w:p>
    <w:p>
      <w:pPr>
        <w:spacing w:after="0" w:line="136" w:lineRule="exact"/>
        <w:rPr>
          <w:sz w:val="20"/>
          <w:szCs w:val="20"/>
          <w:color w:val="auto"/>
        </w:rPr>
      </w:pPr>
    </w:p>
    <w:p>
      <w:pPr>
        <w:jc w:val="both"/>
        <w:ind w:right="20"/>
        <w:spacing w:after="0" w:line="350" w:lineRule="auto"/>
        <w:rPr>
          <w:sz w:val="20"/>
          <w:szCs w:val="20"/>
          <w:color w:val="auto"/>
        </w:rPr>
      </w:pPr>
      <w:r>
        <w:rPr>
          <w:rFonts w:ascii="Arial" w:cs="Arial" w:eastAsia="Arial" w:hAnsi="Arial"/>
          <w:sz w:val="8"/>
          <w:szCs w:val="8"/>
          <w:b w:val="1"/>
          <w:bCs w:val="1"/>
          <w:color w:val="auto"/>
        </w:rPr>
        <w:t xml:space="preserve">Change in certain customer obligations </w:t>
      </w:r>
      <w:r>
        <w:rPr>
          <w:rFonts w:ascii="Arial" w:cs="Arial" w:eastAsia="Arial" w:hAnsi="Arial"/>
          <w:sz w:val="8"/>
          <w:szCs w:val="8"/>
          <w:color w:val="auto"/>
        </w:rPr>
        <w:t>The title to cash received and processed in certain of our secure cash management services operations transfers to us for a short period of time. The cash is generally credited to customers’ accounts the following day and is</w:t>
      </w:r>
      <w:r>
        <w:rPr>
          <w:rFonts w:ascii="Arial" w:cs="Arial" w:eastAsia="Arial" w:hAnsi="Arial"/>
          <w:sz w:val="8"/>
          <w:szCs w:val="8"/>
          <w:b w:val="1"/>
          <w:bCs w:val="1"/>
          <w:color w:val="auto"/>
        </w:rPr>
        <w:t xml:space="preserve"> </w:t>
      </w:r>
      <w:r>
        <w:rPr>
          <w:rFonts w:ascii="Arial" w:cs="Arial" w:eastAsia="Arial" w:hAnsi="Arial"/>
          <w:sz w:val="8"/>
          <w:szCs w:val="8"/>
          <w:color w:val="auto"/>
        </w:rPr>
        <w:t>thus not available for general corporate purposes. Because the cash is not available to support our operations and revenue generating activities, management excludes the changes in this specific cash balance when assessing cash flows from operations. We believe that the exclusion of the change in this cash balance from our non-GAAP operating cash flows measure is helpful to the users of our financial statements as it presents this financial measure consistent with how our management assesses this liquidity measure.</w:t>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NCR Atleos acquisition cash flows </w:t>
      </w:r>
      <w:r>
        <w:rPr>
          <w:rFonts w:ascii="Arial" w:cs="Arial" w:eastAsia="Arial" w:hAnsi="Arial"/>
          <w:sz w:val="10"/>
          <w:szCs w:val="10"/>
          <w:color w:val="auto"/>
        </w:rPr>
        <w:t>This represents the cash outflows during the period related to NCR Atleos acquisition-related transaction costs, such as fees to attorneys, accountants and other professional advisors.</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Non-GAAP Results Reconciled to GAAP</w:t>
      </w:r>
    </w:p>
    <w:p>
      <w:pPr>
        <w:spacing w:after="0" w:line="127" w:lineRule="exact"/>
        <w:rPr>
          <w:sz w:val="20"/>
          <w:szCs w:val="20"/>
          <w:color w:val="auto"/>
        </w:rPr>
      </w:pPr>
    </w:p>
    <w:p>
      <w:pPr>
        <w:ind w:left="5800"/>
        <w:spacing w:after="0"/>
        <w:tabs>
          <w:tab w:leader="none" w:pos="8920" w:val="left"/>
        </w:tabs>
        <w:rPr>
          <w:sz w:val="20"/>
          <w:szCs w:val="20"/>
          <w:color w:val="auto"/>
        </w:rPr>
      </w:pPr>
      <w:r>
        <w:rPr>
          <w:rFonts w:ascii="Arial" w:cs="Arial" w:eastAsia="Arial" w:hAnsi="Arial"/>
          <w:sz w:val="10"/>
          <w:szCs w:val="10"/>
          <w:b w:val="1"/>
          <w:bCs w:val="1"/>
          <w:color w:val="auto"/>
        </w:rPr>
        <w:t>Three months ended March 31, 2025</w:t>
      </w:r>
      <w:r>
        <w:rPr>
          <w:sz w:val="20"/>
          <w:szCs w:val="20"/>
          <w:color w:val="auto"/>
        </w:rPr>
        <w:tab/>
      </w:r>
      <w:r>
        <w:rPr>
          <w:rFonts w:ascii="Arial" w:cs="Arial" w:eastAsia="Arial" w:hAnsi="Arial"/>
          <w:sz w:val="8"/>
          <w:szCs w:val="8"/>
          <w:b w:val="1"/>
          <w:bCs w:val="1"/>
          <w:color w:val="auto"/>
        </w:rPr>
        <w:t>Three months ended March 31, 2026</w:t>
      </w:r>
    </w:p>
    <w:p>
      <w:pPr>
        <w:sectPr>
          <w:pgSz w:w="11900" w:h="16838" w:orient="portrait"/>
          <w:cols w:equalWidth="0" w:num="1">
            <w:col w:w="11300"/>
          </w:cols>
          <w:pgMar w:left="300" w:top="721" w:right="299" w:bottom="1440" w:gutter="0" w:footer="0" w:header="0"/>
        </w:sectPr>
      </w:pPr>
    </w:p>
    <w:p>
      <w:pPr>
        <w:spacing w:after="0" w:line="16" w:lineRule="exact"/>
        <w:rPr>
          <w:sz w:val="20"/>
          <w:szCs w:val="20"/>
          <w:color w:val="auto"/>
        </w:rPr>
      </w:pPr>
    </w:p>
    <w:tbl>
      <w:tblPr>
        <w:tblLayout w:type="fixed"/>
        <w:tblInd w:w="5100" w:type="dxa"/>
        <w:tblCellMar>
          <w:top w:w="0" w:type="dxa"/>
          <w:left w:w="0" w:type="dxa"/>
          <w:bottom w:w="0" w:type="dxa"/>
          <w:right w:w="0" w:type="dxa"/>
        </w:tblCellMar>
      </w:tblPr>
      <w:tr>
        <w:trPr>
          <w:trHeight w:val="90"/>
        </w:trPr>
        <w:tc>
          <w:tcPr>
            <w:tcW w:w="1040" w:type="dxa"/>
            <w:vAlign w:val="bottom"/>
            <w:tcBorders>
              <w:top w:val="single" w:sz="8" w:color="auto"/>
            </w:tcBorders>
            <w:vMerge w:val="restart"/>
          </w:tcPr>
          <w:p>
            <w:pPr>
              <w:ind w:left="80"/>
              <w:spacing w:after="0"/>
              <w:rPr>
                <w:sz w:val="20"/>
                <w:szCs w:val="20"/>
                <w:color w:val="auto"/>
              </w:rPr>
            </w:pPr>
            <w:r>
              <w:rPr>
                <w:rFonts w:ascii="Arial" w:cs="Arial" w:eastAsia="Arial" w:hAnsi="Arial"/>
                <w:sz w:val="10"/>
                <w:szCs w:val="10"/>
                <w:b w:val="1"/>
                <w:bCs w:val="1"/>
                <w:color w:val="auto"/>
              </w:rPr>
              <w:t>Pre-tax income</w:t>
            </w:r>
            <w:r>
              <w:rPr>
                <w:rFonts w:ascii="Arial" w:cs="Arial" w:eastAsia="Arial" w:hAnsi="Arial"/>
                <w:sz w:val="12"/>
                <w:szCs w:val="12"/>
                <w:b w:val="1"/>
                <w:bCs w:val="1"/>
                <w:color w:val="auto"/>
                <w:vertAlign w:val="superscript"/>
              </w:rPr>
              <w:t>(a)</w:t>
            </w:r>
          </w:p>
        </w:tc>
        <w:tc>
          <w:tcPr>
            <w:tcW w:w="860" w:type="dxa"/>
            <w:vAlign w:val="bottom"/>
            <w:tcBorders>
              <w:top w:val="single" w:sz="8" w:color="auto"/>
            </w:tcBorders>
            <w:vMerge w:val="restart"/>
          </w:tcPr>
          <w:p>
            <w:pPr>
              <w:ind w:left="200"/>
              <w:spacing w:after="0"/>
              <w:rPr>
                <w:sz w:val="20"/>
                <w:szCs w:val="20"/>
                <w:color w:val="auto"/>
              </w:rPr>
            </w:pPr>
            <w:r>
              <w:rPr>
                <w:rFonts w:ascii="Arial" w:cs="Arial" w:eastAsia="Arial" w:hAnsi="Arial"/>
                <w:sz w:val="10"/>
                <w:szCs w:val="10"/>
                <w:b w:val="1"/>
                <w:bCs w:val="1"/>
                <w:color w:val="auto"/>
              </w:rPr>
              <w:t>Income tax</w:t>
            </w:r>
          </w:p>
        </w:tc>
        <w:tc>
          <w:tcPr>
            <w:tcW w:w="1140" w:type="dxa"/>
            <w:vAlign w:val="bottom"/>
            <w:tcBorders>
              <w:top w:val="single" w:sz="8" w:color="auto"/>
            </w:tcBorders>
          </w:tcPr>
          <w:p>
            <w:pPr>
              <w:jc w:val="center"/>
              <w:ind w:left="92"/>
              <w:spacing w:after="0" w:line="90" w:lineRule="exact"/>
              <w:rPr>
                <w:sz w:val="20"/>
                <w:szCs w:val="20"/>
                <w:color w:val="auto"/>
              </w:rPr>
            </w:pPr>
            <w:r>
              <w:rPr>
                <w:rFonts w:ascii="Arial" w:cs="Arial" w:eastAsia="Arial" w:hAnsi="Arial"/>
                <w:sz w:val="10"/>
                <w:szCs w:val="10"/>
                <w:b w:val="1"/>
                <w:bCs w:val="1"/>
                <w:color w:val="auto"/>
                <w:w w:val="95"/>
              </w:rPr>
              <w:t>Effective income tax</w:t>
            </w:r>
          </w:p>
        </w:tc>
        <w:tc>
          <w:tcPr>
            <w:tcW w:w="0" w:type="dxa"/>
            <w:vAlign w:val="bottom"/>
          </w:tcPr>
          <w:p>
            <w:pPr>
              <w:spacing w:after="0"/>
              <w:rPr>
                <w:sz w:val="1"/>
                <w:szCs w:val="1"/>
                <w:color w:val="auto"/>
              </w:rPr>
            </w:pPr>
          </w:p>
        </w:tc>
      </w:tr>
      <w:tr>
        <w:trPr>
          <w:trHeight w:val="135"/>
        </w:trPr>
        <w:tc>
          <w:tcPr>
            <w:tcW w:w="104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140" w:type="dxa"/>
            <w:vAlign w:val="bottom"/>
            <w:tcBorders>
              <w:bottom w:val="single" w:sz="8" w:color="auto"/>
            </w:tcBorders>
          </w:tcPr>
          <w:p>
            <w:pPr>
              <w:jc w:val="center"/>
              <w:ind w:left="92"/>
              <w:spacing w:after="0" w:line="135" w:lineRule="exact"/>
              <w:rPr>
                <w:sz w:val="20"/>
                <w:szCs w:val="20"/>
                <w:color w:val="auto"/>
              </w:rPr>
            </w:pPr>
            <w:r>
              <w:rPr>
                <w:rFonts w:ascii="Arial" w:cs="Arial" w:eastAsia="Arial" w:hAnsi="Arial"/>
                <w:sz w:val="10"/>
                <w:szCs w:val="10"/>
                <w:b w:val="1"/>
                <w:bCs w:val="1"/>
                <w:color w:val="auto"/>
                <w:w w:val="85"/>
              </w:rPr>
              <w:t>rate</w:t>
            </w:r>
            <w:r>
              <w:rPr>
                <w:rFonts w:ascii="Arial" w:cs="Arial" w:eastAsia="Arial" w:hAnsi="Arial"/>
                <w:sz w:val="12"/>
                <w:szCs w:val="12"/>
                <w:b w:val="1"/>
                <w:bCs w:val="1"/>
                <w:color w:val="auto"/>
                <w:w w:val="85"/>
                <w:vertAlign w:val="superscript"/>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0"/>
        </w:trPr>
        <w:tc>
          <w:tcPr>
            <w:tcW w:w="1040" w:type="dxa"/>
            <w:vAlign w:val="bottom"/>
            <w:tcBorders>
              <w:top w:val="single" w:sz="8" w:color="auto"/>
            </w:tcBorders>
            <w:vMerge w:val="restart"/>
          </w:tcPr>
          <w:p>
            <w:pPr>
              <w:ind w:left="80"/>
              <w:spacing w:after="0"/>
              <w:rPr>
                <w:sz w:val="20"/>
                <w:szCs w:val="20"/>
                <w:color w:val="auto"/>
              </w:rPr>
            </w:pPr>
            <w:r>
              <w:rPr>
                <w:rFonts w:ascii="Arial" w:cs="Arial" w:eastAsia="Arial" w:hAnsi="Arial"/>
                <w:sz w:val="10"/>
                <w:szCs w:val="10"/>
                <w:b w:val="1"/>
                <w:bCs w:val="1"/>
                <w:color w:val="auto"/>
              </w:rPr>
              <w:t>Pre-tax income</w:t>
            </w:r>
            <w:r>
              <w:rPr>
                <w:rFonts w:ascii="Arial" w:cs="Arial" w:eastAsia="Arial" w:hAnsi="Arial"/>
                <w:sz w:val="12"/>
                <w:szCs w:val="12"/>
                <w:b w:val="1"/>
                <w:bCs w:val="1"/>
                <w:color w:val="auto"/>
                <w:vertAlign w:val="superscript"/>
              </w:rPr>
              <w:t>(a)</w:t>
            </w:r>
          </w:p>
        </w:tc>
        <w:tc>
          <w:tcPr>
            <w:tcW w:w="860" w:type="dxa"/>
            <w:vAlign w:val="bottom"/>
            <w:tcBorders>
              <w:top w:val="single" w:sz="8" w:color="auto"/>
            </w:tcBorders>
            <w:vMerge w:val="restart"/>
          </w:tcPr>
          <w:p>
            <w:pPr>
              <w:ind w:left="180"/>
              <w:spacing w:after="0"/>
              <w:rPr>
                <w:sz w:val="20"/>
                <w:szCs w:val="20"/>
                <w:color w:val="auto"/>
              </w:rPr>
            </w:pPr>
            <w:r>
              <w:rPr>
                <w:rFonts w:ascii="Arial" w:cs="Arial" w:eastAsia="Arial" w:hAnsi="Arial"/>
                <w:sz w:val="10"/>
                <w:szCs w:val="10"/>
                <w:b w:val="1"/>
                <w:bCs w:val="1"/>
                <w:color w:val="auto"/>
              </w:rPr>
              <w:t>Income tax</w:t>
            </w:r>
          </w:p>
        </w:tc>
        <w:tc>
          <w:tcPr>
            <w:tcW w:w="1140" w:type="dxa"/>
            <w:vAlign w:val="bottom"/>
            <w:tcBorders>
              <w:top w:val="single" w:sz="8" w:color="auto"/>
            </w:tcBorders>
          </w:tcPr>
          <w:p>
            <w:pPr>
              <w:jc w:val="center"/>
              <w:ind w:left="92"/>
              <w:spacing w:after="0" w:line="90" w:lineRule="exact"/>
              <w:rPr>
                <w:sz w:val="20"/>
                <w:szCs w:val="20"/>
                <w:color w:val="auto"/>
              </w:rPr>
            </w:pPr>
            <w:r>
              <w:rPr>
                <w:rFonts w:ascii="Arial" w:cs="Arial" w:eastAsia="Arial" w:hAnsi="Arial"/>
                <w:sz w:val="10"/>
                <w:szCs w:val="10"/>
                <w:b w:val="1"/>
                <w:bCs w:val="1"/>
                <w:color w:val="auto"/>
                <w:w w:val="95"/>
              </w:rPr>
              <w:t>Effective income tax</w:t>
            </w:r>
          </w:p>
        </w:tc>
        <w:tc>
          <w:tcPr>
            <w:tcW w:w="0" w:type="dxa"/>
            <w:vAlign w:val="bottom"/>
          </w:tcPr>
          <w:p>
            <w:pPr>
              <w:spacing w:after="0"/>
              <w:rPr>
                <w:sz w:val="1"/>
                <w:szCs w:val="1"/>
                <w:color w:val="auto"/>
              </w:rPr>
            </w:pPr>
          </w:p>
        </w:tc>
      </w:tr>
      <w:tr>
        <w:trPr>
          <w:trHeight w:val="135"/>
        </w:trPr>
        <w:tc>
          <w:tcPr>
            <w:tcW w:w="104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140" w:type="dxa"/>
            <w:vAlign w:val="bottom"/>
            <w:tcBorders>
              <w:bottom w:val="single" w:sz="8" w:color="auto"/>
            </w:tcBorders>
          </w:tcPr>
          <w:p>
            <w:pPr>
              <w:jc w:val="center"/>
              <w:ind w:left="72"/>
              <w:spacing w:after="0" w:line="135" w:lineRule="exact"/>
              <w:rPr>
                <w:sz w:val="20"/>
                <w:szCs w:val="20"/>
                <w:color w:val="auto"/>
              </w:rPr>
            </w:pPr>
            <w:r>
              <w:rPr>
                <w:rFonts w:ascii="Arial" w:cs="Arial" w:eastAsia="Arial" w:hAnsi="Arial"/>
                <w:sz w:val="10"/>
                <w:szCs w:val="10"/>
                <w:b w:val="1"/>
                <w:bCs w:val="1"/>
                <w:color w:val="auto"/>
                <w:w w:val="92"/>
              </w:rPr>
              <w:t>rate</w:t>
            </w:r>
            <w:r>
              <w:rPr>
                <w:rFonts w:ascii="Arial" w:cs="Arial" w:eastAsia="Arial" w:hAnsi="Arial"/>
                <w:sz w:val="12"/>
                <w:szCs w:val="12"/>
                <w:b w:val="1"/>
                <w:bCs w:val="1"/>
                <w:color w:val="auto"/>
                <w:w w:val="92"/>
                <w:vertAlign w:val="superscript"/>
              </w:rPr>
              <w:t>(a)</w:t>
            </w:r>
          </w:p>
        </w:tc>
        <w:tc>
          <w:tcPr>
            <w:tcW w:w="0" w:type="dxa"/>
            <w:vAlign w:val="bottom"/>
          </w:tcPr>
          <w:p>
            <w:pPr>
              <w:spacing w:after="0"/>
              <w:rPr>
                <w:sz w:val="1"/>
                <w:szCs w:val="1"/>
                <w:color w:val="auto"/>
              </w:rPr>
            </w:pPr>
          </w:p>
        </w:tc>
      </w:tr>
    </w:tbl>
    <w:p>
      <w:pPr>
        <w:spacing w:after="0" w:line="139" w:lineRule="exact"/>
        <w:rPr>
          <w:sz w:val="20"/>
          <w:szCs w:val="20"/>
          <w:color w:val="auto"/>
        </w:rPr>
      </w:pPr>
    </w:p>
    <w:p>
      <w:pPr>
        <w:sectPr>
          <w:pgSz w:w="11900" w:h="16838" w:orient="portrait"/>
          <w:cols w:equalWidth="0" w:num="2">
            <w:col w:w="8140" w:space="100"/>
            <w:col w:w="3060"/>
          </w:cols>
          <w:pgMar w:left="300" w:top="721" w:right="299" w:bottom="1440" w:gutter="0" w:footer="0" w:header="0"/>
          <w:type w:val="continuous"/>
        </w:sectPr>
      </w:pPr>
    </w:p>
    <w:tbl>
      <w:tblPr>
        <w:tblLayout w:type="fixed"/>
        <w:tblInd w:w="20" w:type="dxa"/>
        <w:tblCellMar>
          <w:top w:w="0" w:type="dxa"/>
          <w:left w:w="0" w:type="dxa"/>
          <w:bottom w:w="0" w:type="dxa"/>
          <w:right w:w="0" w:type="dxa"/>
        </w:tblCellMar>
      </w:tblPr>
      <w:tr>
        <w:trPr>
          <w:trHeight w:val="125"/>
        </w:trPr>
        <w:tc>
          <w:tcPr>
            <w:tcW w:w="5080" w:type="dxa"/>
            <w:vAlign w:val="bottom"/>
          </w:tcPr>
          <w:p>
            <w:pPr>
              <w:spacing w:after="0"/>
              <w:rPr>
                <w:sz w:val="20"/>
                <w:szCs w:val="20"/>
                <w:color w:val="auto"/>
              </w:rPr>
            </w:pPr>
            <w:r>
              <w:rPr>
                <w:rFonts w:ascii="Arial" w:cs="Arial" w:eastAsia="Arial" w:hAnsi="Arial"/>
                <w:sz w:val="10"/>
                <w:szCs w:val="10"/>
                <w:color w:val="auto"/>
              </w:rPr>
              <w:t>GAAP</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69.5</w:t>
            </w:r>
          </w:p>
        </w:tc>
        <w:tc>
          <w:tcPr>
            <w:tcW w:w="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15.6</w:t>
            </w:r>
          </w:p>
        </w:tc>
        <w:tc>
          <w:tcPr>
            <w:tcW w:w="10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22.4 %</w:t>
            </w:r>
          </w:p>
        </w:tc>
        <w:tc>
          <w:tcPr>
            <w:tcW w:w="100" w:type="dxa"/>
            <w:vAlign w:val="bottom"/>
          </w:tcPr>
          <w:p>
            <w:pPr>
              <w:spacing w:after="0"/>
              <w:rPr>
                <w:sz w:val="10"/>
                <w:szCs w:val="10"/>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45.8</w:t>
            </w:r>
          </w:p>
        </w:tc>
        <w:tc>
          <w:tcPr>
            <w:tcW w:w="1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11.0</w:t>
            </w:r>
          </w:p>
        </w:tc>
        <w:tc>
          <w:tcPr>
            <w:tcW w:w="8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24.0 %</w:t>
            </w:r>
          </w:p>
        </w:tc>
      </w:tr>
      <w:tr>
        <w:trPr>
          <w:trHeight w:val="169"/>
        </w:trPr>
        <w:tc>
          <w:tcPr>
            <w:tcW w:w="5080" w:type="dxa"/>
            <w:vAlign w:val="bottom"/>
          </w:tcPr>
          <w:p>
            <w:pPr>
              <w:ind w:left="80"/>
              <w:spacing w:after="0"/>
              <w:rPr>
                <w:sz w:val="20"/>
                <w:szCs w:val="20"/>
                <w:color w:val="auto"/>
              </w:rPr>
            </w:pPr>
            <w:r>
              <w:rPr>
                <w:rFonts w:ascii="Arial" w:cs="Arial" w:eastAsia="Arial" w:hAnsi="Arial"/>
                <w:sz w:val="10"/>
                <w:szCs w:val="10"/>
                <w:color w:val="auto"/>
              </w:rPr>
              <w:t>Reorganization and Restructuring</w:t>
            </w:r>
            <w:r>
              <w:rPr>
                <w:rFonts w:ascii="Arial" w:cs="Arial" w:eastAsia="Arial" w:hAnsi="Arial"/>
                <w:sz w:val="12"/>
                <w:szCs w:val="12"/>
                <w:color w:val="auto"/>
                <w:vertAlign w:val="superscript"/>
              </w:rPr>
              <w:t>(c)</w:t>
            </w:r>
          </w:p>
        </w:tc>
        <w:tc>
          <w:tcPr>
            <w:tcW w:w="360" w:type="dxa"/>
            <w:vAlign w:val="bottom"/>
          </w:tcPr>
          <w:p>
            <w:pPr>
              <w:spacing w:after="0"/>
              <w:rPr>
                <w:sz w:val="14"/>
                <w:szCs w:val="14"/>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0.5</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0.1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20" w:type="dxa"/>
            <w:vAlign w:val="bottom"/>
          </w:tcPr>
          <w:p>
            <w:pPr>
              <w:spacing w:after="0"/>
              <w:rPr>
                <w:sz w:val="14"/>
                <w:szCs w:val="14"/>
                <w:color w:val="auto"/>
              </w:rPr>
            </w:pPr>
          </w:p>
        </w:tc>
      </w:tr>
      <w:tr>
        <w:trPr>
          <w:trHeight w:val="144"/>
        </w:trPr>
        <w:tc>
          <w:tcPr>
            <w:tcW w:w="5080" w:type="dxa"/>
            <w:vAlign w:val="bottom"/>
          </w:tcPr>
          <w:p>
            <w:pPr>
              <w:ind w:left="80"/>
              <w:spacing w:after="0"/>
              <w:rPr>
                <w:sz w:val="20"/>
                <w:szCs w:val="20"/>
                <w:color w:val="auto"/>
              </w:rPr>
            </w:pPr>
            <w:r>
              <w:rPr>
                <w:rFonts w:ascii="Arial" w:cs="Arial" w:eastAsia="Arial" w:hAnsi="Arial"/>
                <w:sz w:val="10"/>
                <w:szCs w:val="10"/>
                <w:color w:val="auto"/>
              </w:rPr>
              <w:t>Acquisitions and dispositions</w:t>
            </w:r>
            <w:r>
              <w:rPr>
                <w:rFonts w:ascii="Arial" w:cs="Arial" w:eastAsia="Arial" w:hAnsi="Arial"/>
                <w:sz w:val="12"/>
                <w:szCs w:val="12"/>
                <w:color w:val="auto"/>
                <w:vertAlign w:val="superscript"/>
              </w:rPr>
              <w:t>(c)</w:t>
            </w:r>
          </w:p>
        </w:tc>
        <w:tc>
          <w:tcPr>
            <w:tcW w:w="360" w:type="dxa"/>
            <w:vAlign w:val="bottom"/>
          </w:tcPr>
          <w:p>
            <w:pPr>
              <w:spacing w:after="0"/>
              <w:rPr>
                <w:sz w:val="12"/>
                <w:szCs w:val="12"/>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19.2</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15.2</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3.4</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35"/>
        </w:trPr>
        <w:tc>
          <w:tcPr>
            <w:tcW w:w="5080" w:type="dxa"/>
            <w:vAlign w:val="bottom"/>
          </w:tcPr>
          <w:p>
            <w:pPr>
              <w:ind w:left="80"/>
              <w:spacing w:after="0" w:line="135" w:lineRule="exact"/>
              <w:rPr>
                <w:sz w:val="20"/>
                <w:szCs w:val="20"/>
                <w:color w:val="auto"/>
              </w:rPr>
            </w:pPr>
            <w:r>
              <w:rPr>
                <w:rFonts w:ascii="Arial" w:cs="Arial" w:eastAsia="Arial" w:hAnsi="Arial"/>
                <w:sz w:val="10"/>
                <w:szCs w:val="10"/>
                <w:color w:val="auto"/>
              </w:rPr>
              <w:t>Argentina highly inflationary impact</w:t>
            </w:r>
            <w:r>
              <w:rPr>
                <w:rFonts w:ascii="Arial" w:cs="Arial" w:eastAsia="Arial" w:hAnsi="Arial"/>
                <w:sz w:val="12"/>
                <w:szCs w:val="12"/>
                <w:color w:val="auto"/>
                <w:vertAlign w:val="superscript"/>
              </w:rPr>
              <w:t>(c)</w:t>
            </w:r>
          </w:p>
        </w:tc>
        <w:tc>
          <w:tcPr>
            <w:tcW w:w="36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7.3</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0.1</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0.1</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5080" w:type="dxa"/>
            <w:vAlign w:val="bottom"/>
          </w:tcPr>
          <w:p>
            <w:pPr>
              <w:ind w:left="80"/>
              <w:spacing w:after="0" w:line="135" w:lineRule="exact"/>
              <w:rPr>
                <w:sz w:val="20"/>
                <w:szCs w:val="20"/>
                <w:color w:val="auto"/>
              </w:rPr>
            </w:pPr>
            <w:r>
              <w:rPr>
                <w:rFonts w:ascii="Arial" w:cs="Arial" w:eastAsia="Arial" w:hAnsi="Arial"/>
                <w:sz w:val="10"/>
                <w:szCs w:val="10"/>
                <w:color w:val="auto"/>
              </w:rPr>
              <w:t>NCR Atleos acquisition and transformation initiatives</w:t>
            </w:r>
            <w:r>
              <w:rPr>
                <w:rFonts w:ascii="Arial" w:cs="Arial" w:eastAsia="Arial" w:hAnsi="Arial"/>
                <w:sz w:val="12"/>
                <w:szCs w:val="12"/>
                <w:color w:val="auto"/>
                <w:vertAlign w:val="superscript"/>
              </w:rPr>
              <w:t>(c)</w:t>
            </w:r>
          </w:p>
        </w:tc>
        <w:tc>
          <w:tcPr>
            <w:tcW w:w="36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5.1</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0.1</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38.9</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4.8</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5080" w:type="dxa"/>
            <w:vAlign w:val="bottom"/>
          </w:tcPr>
          <w:p>
            <w:pPr>
              <w:ind w:left="80"/>
              <w:spacing w:after="0" w:line="135" w:lineRule="exact"/>
              <w:rPr>
                <w:sz w:val="20"/>
                <w:szCs w:val="20"/>
                <w:color w:val="auto"/>
              </w:rPr>
            </w:pPr>
            <w:r>
              <w:rPr>
                <w:rFonts w:ascii="Arial" w:cs="Arial" w:eastAsia="Arial" w:hAnsi="Arial"/>
                <w:sz w:val="10"/>
                <w:szCs w:val="10"/>
                <w:color w:val="auto"/>
              </w:rPr>
              <w:t>Non-routine legal maters</w:t>
            </w:r>
            <w:r>
              <w:rPr>
                <w:rFonts w:ascii="Arial" w:cs="Arial" w:eastAsia="Arial" w:hAnsi="Arial"/>
                <w:sz w:val="12"/>
                <w:szCs w:val="12"/>
                <w:color w:val="auto"/>
                <w:vertAlign w:val="superscript"/>
              </w:rPr>
              <w:t>(c)</w:t>
            </w:r>
          </w:p>
        </w:tc>
        <w:tc>
          <w:tcPr>
            <w:tcW w:w="36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0.7</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5080" w:type="dxa"/>
            <w:vAlign w:val="bottom"/>
          </w:tcPr>
          <w:p>
            <w:pPr>
              <w:ind w:left="80"/>
              <w:spacing w:after="0" w:line="135" w:lineRule="exact"/>
              <w:rPr>
                <w:sz w:val="20"/>
                <w:szCs w:val="20"/>
                <w:color w:val="auto"/>
              </w:rPr>
            </w:pPr>
            <w:r>
              <w:rPr>
                <w:rFonts w:ascii="Arial" w:cs="Arial" w:eastAsia="Arial" w:hAnsi="Arial"/>
                <w:sz w:val="10"/>
                <w:szCs w:val="10"/>
                <w:color w:val="auto"/>
              </w:rPr>
              <w:t>DOJ/FinCEN investigations</w:t>
            </w:r>
            <w:r>
              <w:rPr>
                <w:rFonts w:ascii="Arial" w:cs="Arial" w:eastAsia="Arial" w:hAnsi="Arial"/>
                <w:sz w:val="12"/>
                <w:szCs w:val="12"/>
                <w:color w:val="auto"/>
                <w:vertAlign w:val="superscript"/>
              </w:rPr>
              <w:t>(c)</w:t>
            </w:r>
          </w:p>
        </w:tc>
        <w:tc>
          <w:tcPr>
            <w:tcW w:w="36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0.9</w:t>
            </w:r>
          </w:p>
        </w:tc>
        <w:tc>
          <w:tcPr>
            <w:tcW w:w="80" w:type="dxa"/>
            <w:vAlign w:val="bottom"/>
          </w:tcPr>
          <w:p>
            <w:pPr>
              <w:spacing w:after="0"/>
              <w:rPr>
                <w:sz w:val="11"/>
                <w:szCs w:val="1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0.3</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5080" w:type="dxa"/>
            <w:vAlign w:val="bottom"/>
          </w:tcPr>
          <w:p>
            <w:pPr>
              <w:ind w:left="80"/>
              <w:spacing w:after="0" w:line="135" w:lineRule="exact"/>
              <w:rPr>
                <w:sz w:val="20"/>
                <w:szCs w:val="20"/>
                <w:color w:val="auto"/>
              </w:rPr>
            </w:pPr>
            <w:r>
              <w:rPr>
                <w:rFonts w:ascii="Arial" w:cs="Arial" w:eastAsia="Arial" w:hAnsi="Arial"/>
                <w:sz w:val="10"/>
                <w:szCs w:val="10"/>
                <w:color w:val="auto"/>
              </w:rPr>
              <w:t>Chile antitrust matter</w:t>
            </w:r>
            <w:r>
              <w:rPr>
                <w:rFonts w:ascii="Arial" w:cs="Arial" w:eastAsia="Arial" w:hAnsi="Arial"/>
                <w:sz w:val="12"/>
                <w:szCs w:val="12"/>
                <w:color w:val="auto"/>
                <w:vertAlign w:val="superscript"/>
              </w:rPr>
              <w:t>(c)</w:t>
            </w:r>
          </w:p>
        </w:tc>
        <w:tc>
          <w:tcPr>
            <w:tcW w:w="36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0.2</w:t>
            </w:r>
          </w:p>
        </w:tc>
        <w:tc>
          <w:tcPr>
            <w:tcW w:w="80" w:type="dxa"/>
            <w:vAlign w:val="bottom"/>
          </w:tcPr>
          <w:p>
            <w:pPr>
              <w:spacing w:after="0"/>
              <w:rPr>
                <w:sz w:val="11"/>
                <w:szCs w:val="1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0.2</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0.1</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5080" w:type="dxa"/>
            <w:vAlign w:val="bottom"/>
          </w:tcPr>
          <w:p>
            <w:pPr>
              <w:ind w:left="80"/>
              <w:spacing w:after="0" w:line="135" w:lineRule="exact"/>
              <w:rPr>
                <w:sz w:val="20"/>
                <w:szCs w:val="20"/>
                <w:color w:val="auto"/>
              </w:rPr>
            </w:pPr>
            <w:r>
              <w:rPr>
                <w:rFonts w:ascii="Arial" w:cs="Arial" w:eastAsia="Arial" w:hAnsi="Arial"/>
                <w:sz w:val="10"/>
                <w:szCs w:val="10"/>
                <w:color w:val="auto"/>
              </w:rPr>
              <w:t>Retirement plans</w:t>
            </w:r>
            <w:r>
              <w:rPr>
                <w:rFonts w:ascii="Arial" w:cs="Arial" w:eastAsia="Arial" w:hAnsi="Arial"/>
                <w:sz w:val="12"/>
                <w:szCs w:val="12"/>
                <w:color w:val="auto"/>
                <w:vertAlign w:val="superscript"/>
              </w:rPr>
              <w:t>(b)</w:t>
            </w:r>
          </w:p>
        </w:tc>
        <w:tc>
          <w:tcPr>
            <w:tcW w:w="3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(1.7)</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(0.5)</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0.4</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4"/>
        </w:trPr>
        <w:tc>
          <w:tcPr>
            <w:tcW w:w="5080" w:type="dxa"/>
            <w:vAlign w:val="bottom"/>
          </w:tcPr>
          <w:p>
            <w:pPr>
              <w:ind w:left="80"/>
              <w:spacing w:after="0" w:line="134" w:lineRule="exact"/>
              <w:rPr>
                <w:sz w:val="20"/>
                <w:szCs w:val="20"/>
                <w:color w:val="auto"/>
              </w:rPr>
            </w:pPr>
            <w:r>
              <w:rPr>
                <w:rFonts w:ascii="Arial" w:cs="Arial" w:eastAsia="Arial" w:hAnsi="Arial"/>
                <w:sz w:val="10"/>
                <w:szCs w:val="10"/>
                <w:color w:val="auto"/>
              </w:rPr>
              <w:t>Income tax rate adjustment</w:t>
            </w:r>
            <w:r>
              <w:rPr>
                <w:rFonts w:ascii="Arial" w:cs="Arial" w:eastAsia="Arial" w:hAnsi="Arial"/>
                <w:sz w:val="12"/>
                <w:szCs w:val="12"/>
                <w:color w:val="auto"/>
                <w:vertAlign w:val="superscript"/>
              </w:rPr>
              <w:t>(d)</w:t>
            </w:r>
          </w:p>
        </w:tc>
        <w:tc>
          <w:tcPr>
            <w:tcW w:w="36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11.0</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8.6</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21"/>
        </w:trPr>
        <w:tc>
          <w:tcPr>
            <w:tcW w:w="5080" w:type="dxa"/>
            <w:vAlign w:val="bottom"/>
          </w:tcPr>
          <w:p>
            <w:pPr>
              <w:spacing w:after="0"/>
              <w:rPr>
                <w:sz w:val="20"/>
                <w:szCs w:val="20"/>
                <w:color w:val="auto"/>
              </w:rPr>
            </w:pPr>
            <w:r>
              <w:rPr>
                <w:rFonts w:ascii="Arial" w:cs="Arial" w:eastAsia="Arial" w:hAnsi="Arial"/>
                <w:sz w:val="10"/>
                <w:szCs w:val="10"/>
                <w:color w:val="auto"/>
              </w:rPr>
              <w:t>Non-GAAP</w:t>
            </w:r>
          </w:p>
        </w:tc>
        <w:tc>
          <w:tcPr>
            <w:tcW w:w="3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101.0</w:t>
            </w:r>
          </w:p>
        </w:tc>
        <w:tc>
          <w:tcPr>
            <w:tcW w:w="8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27.8</w:t>
            </w:r>
          </w:p>
        </w:tc>
        <w:tc>
          <w:tcPr>
            <w:tcW w:w="100" w:type="dxa"/>
            <w:vAlign w:val="bottom"/>
          </w:tcPr>
          <w:p>
            <w:pPr>
              <w:spacing w:after="0"/>
              <w:rPr>
                <w:sz w:val="10"/>
                <w:szCs w:val="1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27.5 %</w:t>
            </w:r>
          </w:p>
        </w:tc>
        <w:tc>
          <w:tcPr>
            <w:tcW w:w="100" w:type="dxa"/>
            <w:vAlign w:val="bottom"/>
          </w:tcPr>
          <w:p>
            <w:pPr>
              <w:spacing w:after="0"/>
              <w:rPr>
                <w:sz w:val="10"/>
                <w:szCs w:val="10"/>
                <w:color w:val="auto"/>
              </w:rPr>
            </w:pPr>
          </w:p>
        </w:tc>
        <w:tc>
          <w:tcPr>
            <w:tcW w:w="3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106.7</w:t>
            </w:r>
          </w:p>
        </w:tc>
        <w:tc>
          <w:tcPr>
            <w:tcW w:w="10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29.4</w:t>
            </w:r>
          </w:p>
        </w:tc>
        <w:tc>
          <w:tcPr>
            <w:tcW w:w="80" w:type="dxa"/>
            <w:vAlign w:val="bottom"/>
          </w:tcPr>
          <w:p>
            <w:pPr>
              <w:spacing w:after="0"/>
              <w:rPr>
                <w:sz w:val="10"/>
                <w:szCs w:val="1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27.6 %</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8"/>
          <w:szCs w:val="8"/>
          <w:color w:val="auto"/>
        </w:rPr>
        <w:t>Amounts may not add due to rounding.</w:t>
      </w:r>
    </w:p>
    <w:p>
      <w:pPr>
        <w:spacing w:after="0" w:line="169"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8"/>
          <w:szCs w:val="8"/>
          <w:color w:val="auto"/>
        </w:rPr>
      </w:pPr>
      <w:r>
        <w:rPr>
          <w:rFonts w:ascii="Arial" w:cs="Arial" w:eastAsia="Arial" w:hAnsi="Arial"/>
          <w:sz w:val="8"/>
          <w:szCs w:val="8"/>
          <w:color w:val="auto"/>
        </w:rPr>
        <w:t>From continuing operations.</w:t>
      </w:r>
    </w:p>
    <w:p>
      <w:pPr>
        <w:spacing w:after="0" w:line="17" w:lineRule="exact"/>
        <w:rPr>
          <w:rFonts w:ascii="Arial" w:cs="Arial" w:eastAsia="Arial" w:hAnsi="Arial"/>
          <w:sz w:val="8"/>
          <w:szCs w:val="8"/>
          <w:color w:val="auto"/>
        </w:rPr>
      </w:pPr>
    </w:p>
    <w:p>
      <w:pPr>
        <w:ind w:left="420" w:hanging="212"/>
        <w:spacing w:after="0"/>
        <w:tabs>
          <w:tab w:leader="none" w:pos="420" w:val="left"/>
        </w:tabs>
        <w:numPr>
          <w:ilvl w:val="0"/>
          <w:numId w:val="10"/>
        </w:numPr>
        <w:rPr>
          <w:rFonts w:ascii="Arial" w:cs="Arial" w:eastAsia="Arial" w:hAnsi="Arial"/>
          <w:sz w:val="8"/>
          <w:szCs w:val="8"/>
          <w:color w:val="auto"/>
        </w:rPr>
      </w:pPr>
      <w:r>
        <w:rPr>
          <w:rFonts w:ascii="Arial" w:cs="Arial" w:eastAsia="Arial" w:hAnsi="Arial"/>
          <w:sz w:val="8"/>
          <w:szCs w:val="8"/>
          <w:color w:val="auto"/>
        </w:rPr>
        <w:t>See "Reconciliations of Non-GAAP to GAAP Measures" on page 12 for details.</w:t>
      </w:r>
    </w:p>
    <w:p>
      <w:pPr>
        <w:spacing w:after="0" w:line="13" w:lineRule="exact"/>
        <w:rPr>
          <w:rFonts w:ascii="Arial" w:cs="Arial" w:eastAsia="Arial" w:hAnsi="Arial"/>
          <w:sz w:val="8"/>
          <w:szCs w:val="8"/>
          <w:color w:val="auto"/>
        </w:rPr>
      </w:pPr>
    </w:p>
    <w:p>
      <w:pPr>
        <w:ind w:left="420" w:hanging="212"/>
        <w:spacing w:after="0"/>
        <w:tabs>
          <w:tab w:leader="none" w:pos="420" w:val="left"/>
        </w:tabs>
        <w:numPr>
          <w:ilvl w:val="0"/>
          <w:numId w:val="10"/>
        </w:numPr>
        <w:rPr>
          <w:rFonts w:ascii="Arial" w:cs="Arial" w:eastAsia="Arial" w:hAnsi="Arial"/>
          <w:sz w:val="8"/>
          <w:szCs w:val="8"/>
          <w:color w:val="auto"/>
        </w:rPr>
      </w:pPr>
      <w:r>
        <w:rPr>
          <w:rFonts w:ascii="Arial" w:cs="Arial" w:eastAsia="Arial" w:hAnsi="Arial"/>
          <w:sz w:val="8"/>
          <w:szCs w:val="8"/>
          <w:color w:val="auto"/>
        </w:rPr>
        <w:t>See “Other Items Not Allocated To Segments” on pages 9-10 for details.</w:t>
      </w:r>
    </w:p>
    <w:p>
      <w:pPr>
        <w:spacing w:after="0" w:line="7" w:lineRule="exact"/>
        <w:rPr>
          <w:rFonts w:ascii="Arial" w:cs="Arial" w:eastAsia="Arial" w:hAnsi="Arial"/>
          <w:sz w:val="8"/>
          <w:szCs w:val="8"/>
          <w:color w:val="auto"/>
        </w:rPr>
      </w:pPr>
    </w:p>
    <w:p>
      <w:pPr>
        <w:ind w:left="420" w:right="200" w:hanging="212"/>
        <w:spacing w:after="0" w:line="284" w:lineRule="auto"/>
        <w:tabs>
          <w:tab w:leader="none" w:pos="415" w:val="left"/>
        </w:tabs>
        <w:numPr>
          <w:ilvl w:val="0"/>
          <w:numId w:val="10"/>
        </w:numPr>
        <w:rPr>
          <w:rFonts w:ascii="Arial" w:cs="Arial" w:eastAsia="Arial" w:hAnsi="Arial"/>
          <w:sz w:val="8"/>
          <w:szCs w:val="8"/>
          <w:color w:val="auto"/>
        </w:rPr>
      </w:pPr>
      <w:r>
        <w:rPr>
          <w:rFonts w:ascii="Arial" w:cs="Arial" w:eastAsia="Arial" w:hAnsi="Arial"/>
          <w:sz w:val="8"/>
          <w:szCs w:val="8"/>
          <w:color w:val="auto"/>
        </w:rPr>
        <w:t>Non-GAAP income from continuing operations and non-GAAP EPS have been adjusted to reflect an effective income tax rate in each interim period equal to the full-year non-GAAP effective income tax rate. The full-year non-GAAP effective tax rate is estimated at 27.6% for 2026 and was 27.5% for 2025.</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721" w:right="2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6786245</wp:posOffset>
            </wp:positionH>
            <wp:positionV relativeFrom="page">
              <wp:posOffset>88900</wp:posOffset>
            </wp:positionV>
            <wp:extent cx="577215" cy="97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77215" cy="9715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t>The Brink’s Company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Results Reconciled to GAAP (Unaudited) - continued</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(In millions, except for percentages and per share amounts)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6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255"/>
              <w:spacing w:after="0"/>
              <w:rPr>
                <w:sz w:val="20"/>
                <w:szCs w:val="20"/>
                <w:color w:val="auto"/>
              </w:rPr>
            </w:pPr>
            <w:r>
              <w:rPr>
                <w:rFonts w:ascii="Arial" w:cs="Arial" w:eastAsia="Arial" w:hAnsi="Arial"/>
                <w:sz w:val="9"/>
                <w:szCs w:val="9"/>
                <w:b w:val="1"/>
                <w:bCs w:val="1"/>
                <w:color w:val="auto"/>
              </w:rPr>
              <w:t>2025</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ind w:right="255"/>
              <w:spacing w:after="0"/>
              <w:rPr>
                <w:sz w:val="20"/>
                <w:szCs w:val="20"/>
                <w:color w:val="auto"/>
              </w:rPr>
            </w:pPr>
            <w:r>
              <w:rPr>
                <w:rFonts w:ascii="Arial" w:cs="Arial" w:eastAsia="Arial" w:hAnsi="Arial"/>
                <w:sz w:val="9"/>
                <w:szCs w:val="9"/>
                <w:b w:val="1"/>
                <w:bCs w:val="1"/>
                <w:color w:val="auto"/>
              </w:rPr>
              <w:t>2026</w:t>
            </w:r>
          </w:p>
        </w:tc>
      </w:tr>
      <w:tr>
        <w:trPr>
          <w:trHeight w:val="126"/>
        </w:trPr>
        <w:tc>
          <w:tcPr>
            <w:tcW w:w="6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b w:val="1"/>
                <w:bCs w:val="1"/>
                <w:color w:val="auto"/>
              </w:rPr>
              <w:t>1Q</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ind w:left="340"/>
              <w:spacing w:after="0"/>
              <w:rPr>
                <w:sz w:val="20"/>
                <w:szCs w:val="20"/>
                <w:color w:val="auto"/>
              </w:rPr>
            </w:pPr>
            <w:r>
              <w:rPr>
                <w:rFonts w:ascii="Arial" w:cs="Arial" w:eastAsia="Arial" w:hAnsi="Arial"/>
                <w:sz w:val="9"/>
                <w:szCs w:val="9"/>
                <w:b w:val="1"/>
                <w:bCs w:val="1"/>
                <w:color w:val="auto"/>
              </w:rPr>
              <w:t>2Q</w:t>
            </w:r>
          </w:p>
        </w:tc>
        <w:tc>
          <w:tcPr>
            <w:tcW w:w="86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9"/>
              </w:rPr>
              <w:t>3Q</w:t>
            </w:r>
          </w:p>
        </w:tc>
        <w:tc>
          <w:tcPr>
            <w:tcW w:w="880" w:type="dxa"/>
            <w:vAlign w:val="bottom"/>
            <w:gridSpan w:val="2"/>
          </w:tcPr>
          <w:p>
            <w:pPr>
              <w:ind w:left="340"/>
              <w:spacing w:after="0"/>
              <w:rPr>
                <w:sz w:val="20"/>
                <w:szCs w:val="20"/>
                <w:color w:val="auto"/>
              </w:rPr>
            </w:pPr>
            <w:r>
              <w:rPr>
                <w:rFonts w:ascii="Arial" w:cs="Arial" w:eastAsia="Arial" w:hAnsi="Arial"/>
                <w:sz w:val="9"/>
                <w:szCs w:val="9"/>
                <w:b w:val="1"/>
                <w:bCs w:val="1"/>
                <w:color w:val="auto"/>
              </w:rPr>
              <w:t>4Q</w:t>
            </w:r>
          </w:p>
        </w:tc>
        <w:tc>
          <w:tcPr>
            <w:tcW w:w="880" w:type="dxa"/>
            <w:vAlign w:val="bottom"/>
            <w:gridSpan w:val="2"/>
          </w:tcPr>
          <w:p>
            <w:pPr>
              <w:ind w:left="200"/>
              <w:spacing w:after="0"/>
              <w:rPr>
                <w:sz w:val="20"/>
                <w:szCs w:val="20"/>
                <w:color w:val="auto"/>
              </w:rPr>
            </w:pPr>
            <w:r>
              <w:rPr>
                <w:rFonts w:ascii="Arial" w:cs="Arial" w:eastAsia="Arial" w:hAnsi="Arial"/>
                <w:sz w:val="9"/>
                <w:szCs w:val="9"/>
                <w:b w:val="1"/>
                <w:bCs w:val="1"/>
                <w:color w:val="auto"/>
              </w:rPr>
              <w:t>Full Year</w:t>
            </w:r>
          </w:p>
        </w:tc>
        <w:tc>
          <w:tcPr>
            <w:tcW w:w="160" w:type="dxa"/>
            <w:vAlign w:val="bottom"/>
          </w:tcPr>
          <w:p>
            <w:pPr>
              <w:spacing w:after="0"/>
              <w:rPr>
                <w:sz w:val="10"/>
                <w:szCs w:val="10"/>
                <w:color w:val="auto"/>
              </w:rPr>
            </w:pPr>
          </w:p>
        </w:tc>
        <w:tc>
          <w:tcPr>
            <w:tcW w:w="620" w:type="dxa"/>
            <w:vAlign w:val="bottom"/>
          </w:tcPr>
          <w:p>
            <w:pPr>
              <w:jc w:val="center"/>
              <w:ind w:right="135"/>
              <w:spacing w:after="0"/>
              <w:rPr>
                <w:sz w:val="20"/>
                <w:szCs w:val="20"/>
                <w:color w:val="auto"/>
              </w:rPr>
            </w:pPr>
            <w:r>
              <w:rPr>
                <w:rFonts w:ascii="Arial" w:cs="Arial" w:eastAsia="Arial" w:hAnsi="Arial"/>
                <w:sz w:val="9"/>
                <w:szCs w:val="9"/>
                <w:b w:val="1"/>
                <w:bCs w:val="1"/>
                <w:color w:val="auto"/>
                <w:w w:val="99"/>
              </w:rPr>
              <w:t>1Q</w:t>
            </w:r>
          </w:p>
        </w:tc>
      </w:tr>
      <w:tr>
        <w:trPr>
          <w:trHeight w:val="142"/>
        </w:trPr>
        <w:tc>
          <w:tcPr>
            <w:tcW w:w="6140" w:type="dxa"/>
            <w:vAlign w:val="bottom"/>
          </w:tcPr>
          <w:p>
            <w:pPr>
              <w:spacing w:after="0"/>
              <w:rPr>
                <w:sz w:val="20"/>
                <w:szCs w:val="20"/>
                <w:color w:val="auto"/>
              </w:rPr>
            </w:pPr>
            <w:r>
              <w:rPr>
                <w:rFonts w:ascii="Arial" w:cs="Arial" w:eastAsia="Arial" w:hAnsi="Arial"/>
                <w:sz w:val="9"/>
                <w:szCs w:val="9"/>
                <w:b w:val="1"/>
                <w:bCs w:val="1"/>
                <w:color w:val="auto"/>
              </w:rPr>
              <w:t>Operating profit (loss):</w:t>
            </w: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r>
      <w:tr>
        <w:trPr>
          <w:trHeight w:val="122"/>
        </w:trPr>
        <w:tc>
          <w:tcPr>
            <w:tcW w:w="6140" w:type="dxa"/>
            <w:vAlign w:val="bottom"/>
          </w:tcPr>
          <w:p>
            <w:pPr>
              <w:spacing w:after="0"/>
              <w:rPr>
                <w:sz w:val="20"/>
                <w:szCs w:val="20"/>
                <w:color w:val="auto"/>
              </w:rPr>
            </w:pPr>
            <w:r>
              <w:rPr>
                <w:rFonts w:ascii="Arial" w:cs="Arial" w:eastAsia="Arial" w:hAnsi="Arial"/>
                <w:sz w:val="9"/>
                <w:szCs w:val="9"/>
                <w:color w:val="auto"/>
              </w:rPr>
              <w:t>GAAP</w:t>
            </w:r>
          </w:p>
        </w:tc>
        <w:tc>
          <w:tcPr>
            <w:tcW w:w="500" w:type="dxa"/>
            <w:vAlign w:val="bottom"/>
          </w:tcPr>
          <w:p>
            <w:pPr>
              <w:jc w:val="right"/>
              <w:ind w:right="375"/>
              <w:spacing w:after="0"/>
              <w:rPr>
                <w:sz w:val="20"/>
                <w:szCs w:val="20"/>
                <w:color w:val="auto"/>
              </w:rPr>
            </w:pPr>
            <w:r>
              <w:rPr>
                <w:rFonts w:ascii="Arial" w:cs="Arial" w:eastAsia="Arial" w:hAnsi="Arial"/>
                <w:sz w:val="9"/>
                <w:szCs w:val="9"/>
                <w:color w:val="auto"/>
              </w:rPr>
              <w:t>$</w:t>
            </w:r>
          </w:p>
        </w:tc>
        <w:tc>
          <w:tcPr>
            <w:tcW w:w="300" w:type="dxa"/>
            <w:vAlign w:val="bottom"/>
          </w:tcPr>
          <w:p>
            <w:pPr>
              <w:jc w:val="right"/>
              <w:ind w:right="15"/>
              <w:spacing w:after="0"/>
              <w:rPr>
                <w:sz w:val="20"/>
                <w:szCs w:val="20"/>
                <w:color w:val="auto"/>
              </w:rPr>
            </w:pPr>
            <w:r>
              <w:rPr>
                <w:rFonts w:ascii="Arial" w:cs="Arial" w:eastAsia="Arial" w:hAnsi="Arial"/>
                <w:sz w:val="9"/>
                <w:szCs w:val="9"/>
                <w:color w:val="auto"/>
                <w:w w:val="97"/>
              </w:rPr>
              <w:t>119.1</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133.9</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152.4</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180.1</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585.5</w:t>
            </w:r>
          </w:p>
        </w:tc>
        <w:tc>
          <w:tcPr>
            <w:tcW w:w="100" w:type="dxa"/>
            <w:vAlign w:val="bottom"/>
          </w:tcPr>
          <w:p>
            <w:pPr>
              <w:spacing w:after="0"/>
              <w:rPr>
                <w:sz w:val="10"/>
                <w:szCs w:val="10"/>
                <w:color w:val="auto"/>
              </w:rPr>
            </w:pPr>
          </w:p>
        </w:tc>
        <w:tc>
          <w:tcPr>
            <w:tcW w:w="160" w:type="dxa"/>
            <w:vAlign w:val="bottom"/>
          </w:tcPr>
          <w:p>
            <w:pPr>
              <w:jc w:val="right"/>
              <w:ind w:right="55"/>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110.2</w:t>
            </w:r>
          </w:p>
        </w:tc>
      </w:tr>
      <w:tr>
        <w:trPr>
          <w:trHeight w:val="162"/>
        </w:trPr>
        <w:tc>
          <w:tcPr>
            <w:tcW w:w="6140" w:type="dxa"/>
            <w:vAlign w:val="bottom"/>
          </w:tcPr>
          <w:p>
            <w:pPr>
              <w:ind w:left="80"/>
              <w:spacing w:after="0"/>
              <w:rPr>
                <w:sz w:val="20"/>
                <w:szCs w:val="20"/>
                <w:color w:val="auto"/>
              </w:rPr>
            </w:pPr>
            <w:r>
              <w:rPr>
                <w:rFonts w:ascii="Arial" w:cs="Arial" w:eastAsia="Arial" w:hAnsi="Arial"/>
                <w:sz w:val="9"/>
                <w:szCs w:val="9"/>
                <w:color w:val="auto"/>
              </w:rPr>
              <w:t>Reorganization and Restructuring</w:t>
            </w:r>
            <w:r>
              <w:rPr>
                <w:rFonts w:ascii="Arial" w:cs="Arial" w:eastAsia="Arial" w:hAnsi="Arial"/>
                <w:sz w:val="11"/>
                <w:szCs w:val="11"/>
                <w:color w:val="auto"/>
                <w:vertAlign w:val="superscript"/>
              </w:rPr>
              <w:t>(a)</w:t>
            </w:r>
          </w:p>
        </w:tc>
        <w:tc>
          <w:tcPr>
            <w:tcW w:w="500" w:type="dxa"/>
            <w:vAlign w:val="bottom"/>
          </w:tcPr>
          <w:p>
            <w:pPr>
              <w:spacing w:after="0"/>
              <w:rPr>
                <w:sz w:val="14"/>
                <w:szCs w:val="14"/>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0.5</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0.2</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0.3</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0.4</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35"/>
        </w:trPr>
        <w:tc>
          <w:tcPr>
            <w:tcW w:w="6140" w:type="dxa"/>
            <w:vAlign w:val="bottom"/>
          </w:tcPr>
          <w:p>
            <w:pPr>
              <w:ind w:left="80"/>
              <w:spacing w:after="0"/>
              <w:rPr>
                <w:sz w:val="20"/>
                <w:szCs w:val="20"/>
                <w:color w:val="auto"/>
              </w:rPr>
            </w:pPr>
            <w:r>
              <w:rPr>
                <w:rFonts w:ascii="Arial" w:cs="Arial" w:eastAsia="Arial" w:hAnsi="Arial"/>
                <w:sz w:val="9"/>
                <w:szCs w:val="9"/>
                <w:color w:val="auto"/>
              </w:rPr>
              <w:t>Acquisitions and dispositions</w:t>
            </w:r>
            <w:r>
              <w:rPr>
                <w:rFonts w:ascii="Arial" w:cs="Arial" w:eastAsia="Arial" w:hAnsi="Arial"/>
                <w:sz w:val="11"/>
                <w:szCs w:val="11"/>
                <w:color w:val="auto"/>
                <w:vertAlign w:val="superscript"/>
              </w:rPr>
              <w:t>(a)</w:t>
            </w:r>
          </w:p>
        </w:tc>
        <w:tc>
          <w:tcPr>
            <w:tcW w:w="500" w:type="dxa"/>
            <w:vAlign w:val="bottom"/>
          </w:tcPr>
          <w:p>
            <w:pPr>
              <w:spacing w:after="0"/>
              <w:rPr>
                <w:sz w:val="11"/>
                <w:szCs w:val="11"/>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18.5</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25.8</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17.8</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16.4</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78.5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15.6</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Argentina highly inflationary impact</w:t>
            </w:r>
            <w:r>
              <w:rPr>
                <w:rFonts w:ascii="Arial" w:cs="Arial" w:eastAsia="Arial" w:hAnsi="Arial"/>
                <w:sz w:val="11"/>
                <w:szCs w:val="11"/>
                <w:color w:val="auto"/>
                <w:vertAlign w:val="superscript"/>
              </w:rPr>
              <w:t>(a)</w:t>
            </w:r>
          </w:p>
        </w:tc>
        <w:tc>
          <w:tcPr>
            <w:tcW w:w="500" w:type="dxa"/>
            <w:vAlign w:val="bottom"/>
          </w:tcPr>
          <w:p>
            <w:pPr>
              <w:spacing w:after="0"/>
              <w:rPr>
                <w:sz w:val="10"/>
                <w:szCs w:val="10"/>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6.3</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(1.9)</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4.7</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1.1</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10.2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(0.5)</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NCR Atleos acquisition and transformation initiatives</w:t>
            </w:r>
            <w:r>
              <w:rPr>
                <w:rFonts w:ascii="Arial" w:cs="Arial" w:eastAsia="Arial" w:hAnsi="Arial"/>
                <w:sz w:val="11"/>
                <w:szCs w:val="11"/>
                <w:color w:val="auto"/>
                <w:vertAlign w:val="superscript"/>
              </w:rPr>
              <w:t>(a)</w:t>
            </w:r>
          </w:p>
        </w:tc>
        <w:tc>
          <w:tcPr>
            <w:tcW w:w="500" w:type="dxa"/>
            <w:vAlign w:val="bottom"/>
          </w:tcPr>
          <w:p>
            <w:pPr>
              <w:spacing w:after="0"/>
              <w:rPr>
                <w:sz w:val="10"/>
                <w:szCs w:val="10"/>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5.1</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5.4</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8.1</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7.4</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26.0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38.9</w:t>
            </w:r>
          </w:p>
        </w:tc>
      </w:tr>
      <w:tr>
        <w:trPr>
          <w:trHeight w:val="135"/>
        </w:trPr>
        <w:tc>
          <w:tcPr>
            <w:tcW w:w="6140" w:type="dxa"/>
            <w:vAlign w:val="bottom"/>
          </w:tcPr>
          <w:p>
            <w:pPr>
              <w:ind w:left="80"/>
              <w:spacing w:after="0"/>
              <w:rPr>
                <w:sz w:val="20"/>
                <w:szCs w:val="20"/>
                <w:color w:val="auto"/>
              </w:rPr>
            </w:pPr>
            <w:r>
              <w:rPr>
                <w:rFonts w:ascii="Arial" w:cs="Arial" w:eastAsia="Arial" w:hAnsi="Arial"/>
                <w:sz w:val="9"/>
                <w:szCs w:val="9"/>
                <w:color w:val="auto"/>
              </w:rPr>
              <w:t>Non-routine legal maters</w:t>
            </w:r>
            <w:r>
              <w:rPr>
                <w:rFonts w:ascii="Arial" w:cs="Arial" w:eastAsia="Arial" w:hAnsi="Arial"/>
                <w:sz w:val="11"/>
                <w:szCs w:val="11"/>
                <w:color w:val="auto"/>
                <w:vertAlign w:val="superscript"/>
              </w:rPr>
              <w:t>(a)</w:t>
            </w:r>
          </w:p>
        </w:tc>
        <w:tc>
          <w:tcPr>
            <w:tcW w:w="50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2.8</w:t>
            </w:r>
          </w:p>
        </w:tc>
      </w:tr>
      <w:tr>
        <w:trPr>
          <w:trHeight w:val="144"/>
        </w:trPr>
        <w:tc>
          <w:tcPr>
            <w:tcW w:w="6140" w:type="dxa"/>
            <w:vAlign w:val="bottom"/>
          </w:tcPr>
          <w:p>
            <w:pPr>
              <w:ind w:left="80"/>
              <w:spacing w:after="0"/>
              <w:rPr>
                <w:sz w:val="20"/>
                <w:szCs w:val="20"/>
                <w:color w:val="auto"/>
              </w:rPr>
            </w:pPr>
            <w:r>
              <w:rPr>
                <w:rFonts w:ascii="Arial" w:cs="Arial" w:eastAsia="Arial" w:hAnsi="Arial"/>
                <w:sz w:val="9"/>
                <w:szCs w:val="9"/>
                <w:color w:val="auto"/>
              </w:rPr>
              <w:t>DOJ/FinCEN investigations</w:t>
            </w:r>
            <w:r>
              <w:rPr>
                <w:rFonts w:ascii="Arial" w:cs="Arial" w:eastAsia="Arial" w:hAnsi="Arial"/>
                <w:sz w:val="11"/>
                <w:szCs w:val="11"/>
                <w:color w:val="auto"/>
                <w:vertAlign w:val="superscript"/>
              </w:rPr>
              <w:t>(a)</w:t>
            </w:r>
          </w:p>
        </w:tc>
        <w:tc>
          <w:tcPr>
            <w:tcW w:w="500" w:type="dxa"/>
            <w:vAlign w:val="bottom"/>
          </w:tcPr>
          <w:p>
            <w:pPr>
              <w:spacing w:after="0"/>
              <w:rPr>
                <w:sz w:val="12"/>
                <w:szCs w:val="12"/>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0.9</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0.9</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3.7</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1.0</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1.2</w:t>
            </w:r>
          </w:p>
        </w:tc>
      </w:tr>
      <w:tr>
        <w:trPr>
          <w:trHeight w:val="135"/>
        </w:trPr>
        <w:tc>
          <w:tcPr>
            <w:tcW w:w="6140" w:type="dxa"/>
            <w:vAlign w:val="bottom"/>
          </w:tcPr>
          <w:p>
            <w:pPr>
              <w:ind w:left="80"/>
              <w:spacing w:after="0"/>
              <w:rPr>
                <w:sz w:val="20"/>
                <w:szCs w:val="20"/>
                <w:color w:val="auto"/>
              </w:rPr>
            </w:pPr>
            <w:r>
              <w:rPr>
                <w:rFonts w:ascii="Arial" w:cs="Arial" w:eastAsia="Arial" w:hAnsi="Arial"/>
                <w:sz w:val="9"/>
                <w:szCs w:val="9"/>
                <w:color w:val="auto"/>
              </w:rPr>
              <w:t>Chile antitrust matter</w:t>
            </w:r>
            <w:r>
              <w:rPr>
                <w:rFonts w:ascii="Arial" w:cs="Arial" w:eastAsia="Arial" w:hAnsi="Arial"/>
                <w:sz w:val="11"/>
                <w:szCs w:val="11"/>
                <w:color w:val="auto"/>
                <w:vertAlign w:val="superscript"/>
              </w:rPr>
              <w:t>(a)</w:t>
            </w:r>
          </w:p>
        </w:tc>
        <w:tc>
          <w:tcPr>
            <w:tcW w:w="500" w:type="dxa"/>
            <w:vAlign w:val="bottom"/>
          </w:tcPr>
          <w:p>
            <w:pPr>
              <w:spacing w:after="0"/>
              <w:rPr>
                <w:sz w:val="11"/>
                <w:szCs w:val="11"/>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0.2</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0.2</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0.2</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0.2</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0.2</w:t>
            </w:r>
          </w:p>
        </w:tc>
      </w:tr>
      <w:tr>
        <w:trPr>
          <w:trHeight w:val="125"/>
        </w:trPr>
        <w:tc>
          <w:tcPr>
            <w:tcW w:w="6140" w:type="dxa"/>
            <w:vAlign w:val="bottom"/>
          </w:tcPr>
          <w:p>
            <w:pPr>
              <w:ind w:left="80"/>
              <w:spacing w:after="0" w:line="126" w:lineRule="exact"/>
              <w:rPr>
                <w:sz w:val="20"/>
                <w:szCs w:val="20"/>
                <w:color w:val="auto"/>
              </w:rPr>
            </w:pPr>
            <w:r>
              <w:rPr>
                <w:rFonts w:ascii="Arial" w:cs="Arial" w:eastAsia="Arial" w:hAnsi="Arial"/>
                <w:sz w:val="9"/>
                <w:szCs w:val="9"/>
                <w:color w:val="auto"/>
              </w:rPr>
              <w:t>Non-routine auto loss matter</w:t>
            </w:r>
            <w:r>
              <w:rPr>
                <w:rFonts w:ascii="Arial" w:cs="Arial" w:eastAsia="Arial" w:hAnsi="Arial"/>
                <w:sz w:val="11"/>
                <w:szCs w:val="11"/>
                <w:color w:val="auto"/>
                <w:vertAlign w:val="superscript"/>
              </w:rPr>
              <w:t>(a)</w:t>
            </w:r>
          </w:p>
        </w:tc>
        <w:tc>
          <w:tcPr>
            <w:tcW w:w="50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1.0</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1.0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07"/>
        </w:trPr>
        <w:tc>
          <w:tcPr>
            <w:tcW w:w="6140" w:type="dxa"/>
            <w:vAlign w:val="bottom"/>
          </w:tcPr>
          <w:p>
            <w:pPr>
              <w:spacing w:after="0"/>
              <w:rPr>
                <w:sz w:val="20"/>
                <w:szCs w:val="20"/>
                <w:color w:val="auto"/>
              </w:rPr>
            </w:pPr>
            <w:r>
              <w:rPr>
                <w:rFonts w:ascii="Arial" w:cs="Arial" w:eastAsia="Arial" w:hAnsi="Arial"/>
                <w:sz w:val="9"/>
                <w:szCs w:val="9"/>
                <w:color w:val="auto"/>
              </w:rPr>
              <w:t>Non-GAAP</w:t>
            </w:r>
          </w:p>
        </w:tc>
        <w:tc>
          <w:tcPr>
            <w:tcW w:w="5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9"/>
                <w:szCs w:val="9"/>
                <w:color w:val="auto"/>
              </w:rPr>
              <w:t>$</w:t>
            </w:r>
          </w:p>
        </w:tc>
        <w:tc>
          <w:tcPr>
            <w:tcW w:w="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w w:val="97"/>
              </w:rPr>
              <w:t>150.6</w:t>
            </w:r>
          </w:p>
        </w:tc>
        <w:tc>
          <w:tcPr>
            <w:tcW w:w="80" w:type="dxa"/>
            <w:vAlign w:val="bottom"/>
          </w:tcPr>
          <w:p>
            <w:pPr>
              <w:spacing w:after="0"/>
              <w:rPr>
                <w:sz w:val="9"/>
                <w:szCs w:val="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164.5</w:t>
            </w:r>
          </w:p>
        </w:tc>
        <w:tc>
          <w:tcPr>
            <w:tcW w:w="100" w:type="dxa"/>
            <w:vAlign w:val="bottom"/>
          </w:tcPr>
          <w:p>
            <w:pPr>
              <w:spacing w:after="0"/>
              <w:rPr>
                <w:sz w:val="9"/>
                <w:szCs w:val="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188.2</w:t>
            </w:r>
          </w:p>
        </w:tc>
        <w:tc>
          <w:tcPr>
            <w:tcW w:w="80" w:type="dxa"/>
            <w:vAlign w:val="bottom"/>
          </w:tcPr>
          <w:p>
            <w:pPr>
              <w:spacing w:after="0"/>
              <w:rPr>
                <w:sz w:val="9"/>
                <w:szCs w:val="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206.6</w:t>
            </w:r>
          </w:p>
        </w:tc>
        <w:tc>
          <w:tcPr>
            <w:tcW w:w="100" w:type="dxa"/>
            <w:vAlign w:val="bottom"/>
          </w:tcPr>
          <w:p>
            <w:pPr>
              <w:spacing w:after="0"/>
              <w:rPr>
                <w:sz w:val="9"/>
                <w:szCs w:val="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709.9</w:t>
            </w:r>
          </w:p>
        </w:tc>
        <w:tc>
          <w:tcPr>
            <w:tcW w:w="10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168.4</w:t>
            </w:r>
          </w:p>
        </w:tc>
      </w:tr>
      <w:tr>
        <w:trPr>
          <w:trHeight w:val="200"/>
        </w:trPr>
        <w:tc>
          <w:tcPr>
            <w:tcW w:w="6140" w:type="dxa"/>
            <w:vAlign w:val="bottom"/>
          </w:tcPr>
          <w:p>
            <w:pPr>
              <w:spacing w:after="0"/>
              <w:rPr>
                <w:sz w:val="20"/>
                <w:szCs w:val="20"/>
                <w:color w:val="auto"/>
              </w:rPr>
            </w:pPr>
            <w:r>
              <w:rPr>
                <w:rFonts w:ascii="Arial" w:cs="Arial" w:eastAsia="Arial" w:hAnsi="Arial"/>
                <w:sz w:val="9"/>
                <w:szCs w:val="9"/>
                <w:b w:val="1"/>
                <w:bCs w:val="1"/>
                <w:color w:val="auto"/>
              </w:rPr>
              <w:t>Income (loss) from continuing operations attributable to Brink's: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22"/>
        </w:trPr>
        <w:tc>
          <w:tcPr>
            <w:tcW w:w="6140" w:type="dxa"/>
            <w:vAlign w:val="bottom"/>
          </w:tcPr>
          <w:p>
            <w:pPr>
              <w:spacing w:after="0"/>
              <w:rPr>
                <w:sz w:val="20"/>
                <w:szCs w:val="20"/>
                <w:color w:val="auto"/>
              </w:rPr>
            </w:pPr>
            <w:r>
              <w:rPr>
                <w:rFonts w:ascii="Arial" w:cs="Arial" w:eastAsia="Arial" w:hAnsi="Arial"/>
                <w:sz w:val="9"/>
                <w:szCs w:val="9"/>
                <w:color w:val="auto"/>
              </w:rPr>
              <w:t>GAAP</w:t>
            </w:r>
          </w:p>
        </w:tc>
        <w:tc>
          <w:tcPr>
            <w:tcW w:w="500" w:type="dxa"/>
            <w:vAlign w:val="bottom"/>
          </w:tcPr>
          <w:p>
            <w:pPr>
              <w:jc w:val="right"/>
              <w:ind w:right="375"/>
              <w:spacing w:after="0"/>
              <w:rPr>
                <w:sz w:val="20"/>
                <w:szCs w:val="20"/>
                <w:color w:val="auto"/>
              </w:rPr>
            </w:pPr>
            <w:r>
              <w:rPr>
                <w:rFonts w:ascii="Arial" w:cs="Arial" w:eastAsia="Arial" w:hAnsi="Arial"/>
                <w:sz w:val="9"/>
                <w:szCs w:val="9"/>
                <w:color w:val="auto"/>
              </w:rPr>
              <w:t>$</w:t>
            </w: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51.6</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43.9</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36.2</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68.4</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200.1</w:t>
            </w:r>
          </w:p>
        </w:tc>
        <w:tc>
          <w:tcPr>
            <w:tcW w:w="100" w:type="dxa"/>
            <w:vAlign w:val="bottom"/>
          </w:tcPr>
          <w:p>
            <w:pPr>
              <w:spacing w:after="0"/>
              <w:rPr>
                <w:sz w:val="10"/>
                <w:szCs w:val="10"/>
                <w:color w:val="auto"/>
              </w:rPr>
            </w:pPr>
          </w:p>
        </w:tc>
        <w:tc>
          <w:tcPr>
            <w:tcW w:w="160" w:type="dxa"/>
            <w:vAlign w:val="bottom"/>
          </w:tcPr>
          <w:p>
            <w:pPr>
              <w:jc w:val="right"/>
              <w:ind w:right="55"/>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32.1</w:t>
            </w:r>
          </w:p>
        </w:tc>
      </w:tr>
      <w:tr>
        <w:trPr>
          <w:trHeight w:val="158"/>
        </w:trPr>
        <w:tc>
          <w:tcPr>
            <w:tcW w:w="6140" w:type="dxa"/>
            <w:vAlign w:val="bottom"/>
          </w:tcPr>
          <w:p>
            <w:pPr>
              <w:ind w:left="80"/>
              <w:spacing w:after="0"/>
              <w:rPr>
                <w:sz w:val="20"/>
                <w:szCs w:val="20"/>
                <w:color w:val="auto"/>
              </w:rPr>
            </w:pPr>
            <w:r>
              <w:rPr>
                <w:rFonts w:ascii="Arial" w:cs="Arial" w:eastAsia="Arial" w:hAnsi="Arial"/>
                <w:sz w:val="9"/>
                <w:szCs w:val="9"/>
                <w:color w:val="auto"/>
              </w:rPr>
              <w:t>Reorganization and Restructuring</w:t>
            </w:r>
            <w:r>
              <w:rPr>
                <w:rFonts w:ascii="Arial" w:cs="Arial" w:eastAsia="Arial" w:hAnsi="Arial"/>
                <w:sz w:val="11"/>
                <w:szCs w:val="11"/>
                <w:color w:val="auto"/>
                <w:vertAlign w:val="superscript"/>
              </w:rPr>
              <w:t>(a)</w:t>
            </w:r>
          </w:p>
        </w:tc>
        <w:tc>
          <w:tcPr>
            <w:tcW w:w="500" w:type="dxa"/>
            <w:vAlign w:val="bottom"/>
          </w:tcPr>
          <w:p>
            <w:pPr>
              <w:spacing w:after="0"/>
              <w:rPr>
                <w:sz w:val="13"/>
                <w:szCs w:val="13"/>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0.4</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0.2</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0.3</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0.3</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35"/>
        </w:trPr>
        <w:tc>
          <w:tcPr>
            <w:tcW w:w="6140" w:type="dxa"/>
            <w:vAlign w:val="bottom"/>
          </w:tcPr>
          <w:p>
            <w:pPr>
              <w:ind w:left="80"/>
              <w:spacing w:after="0"/>
              <w:rPr>
                <w:sz w:val="20"/>
                <w:szCs w:val="20"/>
                <w:color w:val="auto"/>
              </w:rPr>
            </w:pPr>
            <w:r>
              <w:rPr>
                <w:rFonts w:ascii="Arial" w:cs="Arial" w:eastAsia="Arial" w:hAnsi="Arial"/>
                <w:sz w:val="9"/>
                <w:szCs w:val="9"/>
                <w:color w:val="auto"/>
              </w:rPr>
              <w:t>Acquisitions and dispositions</w:t>
            </w:r>
            <w:r>
              <w:rPr>
                <w:rFonts w:ascii="Arial" w:cs="Arial" w:eastAsia="Arial" w:hAnsi="Arial"/>
                <w:sz w:val="11"/>
                <w:szCs w:val="11"/>
                <w:color w:val="auto"/>
                <w:vertAlign w:val="superscript"/>
              </w:rPr>
              <w:t>(a)</w:t>
            </w:r>
          </w:p>
        </w:tc>
        <w:tc>
          <w:tcPr>
            <w:tcW w:w="500" w:type="dxa"/>
            <w:vAlign w:val="bottom"/>
          </w:tcPr>
          <w:p>
            <w:pPr>
              <w:spacing w:after="0"/>
              <w:rPr>
                <w:sz w:val="11"/>
                <w:szCs w:val="11"/>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17.5</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15.0</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15.6</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16.5</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64.6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11.6</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Argentina highly inflationary impact</w:t>
            </w:r>
            <w:r>
              <w:rPr>
                <w:rFonts w:ascii="Arial" w:cs="Arial" w:eastAsia="Arial" w:hAnsi="Arial"/>
                <w:sz w:val="11"/>
                <w:szCs w:val="11"/>
                <w:color w:val="auto"/>
                <w:vertAlign w:val="superscript"/>
              </w:rPr>
              <w:t>(a)</w:t>
            </w:r>
          </w:p>
        </w:tc>
        <w:tc>
          <w:tcPr>
            <w:tcW w:w="500" w:type="dxa"/>
            <w:vAlign w:val="bottom"/>
          </w:tcPr>
          <w:p>
            <w:pPr>
              <w:spacing w:after="0"/>
              <w:rPr>
                <w:sz w:val="10"/>
                <w:szCs w:val="10"/>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7.2</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1.8</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5.6</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12.2</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26.8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1.0</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NCR Atleos acquisition and transformation initiatives</w:t>
            </w:r>
            <w:r>
              <w:rPr>
                <w:rFonts w:ascii="Arial" w:cs="Arial" w:eastAsia="Arial" w:hAnsi="Arial"/>
                <w:sz w:val="11"/>
                <w:szCs w:val="11"/>
                <w:color w:val="auto"/>
                <w:vertAlign w:val="superscript"/>
              </w:rPr>
              <w:t>(a)</w:t>
            </w:r>
          </w:p>
        </w:tc>
        <w:tc>
          <w:tcPr>
            <w:tcW w:w="500" w:type="dxa"/>
            <w:vAlign w:val="bottom"/>
          </w:tcPr>
          <w:p>
            <w:pPr>
              <w:spacing w:after="0"/>
              <w:rPr>
                <w:sz w:val="10"/>
                <w:szCs w:val="10"/>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5.0</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5.3</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7.8</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7.1</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25.2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34.1</w:t>
            </w:r>
          </w:p>
        </w:tc>
      </w:tr>
      <w:tr>
        <w:trPr>
          <w:trHeight w:val="135"/>
        </w:trPr>
        <w:tc>
          <w:tcPr>
            <w:tcW w:w="6140" w:type="dxa"/>
            <w:vAlign w:val="bottom"/>
          </w:tcPr>
          <w:p>
            <w:pPr>
              <w:ind w:left="80"/>
              <w:spacing w:after="0"/>
              <w:rPr>
                <w:sz w:val="20"/>
                <w:szCs w:val="20"/>
                <w:color w:val="auto"/>
              </w:rPr>
            </w:pPr>
            <w:r>
              <w:rPr>
                <w:rFonts w:ascii="Arial" w:cs="Arial" w:eastAsia="Arial" w:hAnsi="Arial"/>
                <w:sz w:val="9"/>
                <w:szCs w:val="9"/>
                <w:color w:val="auto"/>
              </w:rPr>
              <w:t>Non-routine legal maters</w:t>
            </w:r>
            <w:r>
              <w:rPr>
                <w:rFonts w:ascii="Arial" w:cs="Arial" w:eastAsia="Arial" w:hAnsi="Arial"/>
                <w:sz w:val="11"/>
                <w:szCs w:val="11"/>
                <w:color w:val="auto"/>
                <w:vertAlign w:val="superscript"/>
              </w:rPr>
              <w:t>(a)</w:t>
            </w:r>
          </w:p>
        </w:tc>
        <w:tc>
          <w:tcPr>
            <w:tcW w:w="50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2.1</w:t>
            </w:r>
          </w:p>
        </w:tc>
      </w:tr>
      <w:tr>
        <w:trPr>
          <w:trHeight w:val="144"/>
        </w:trPr>
        <w:tc>
          <w:tcPr>
            <w:tcW w:w="6140" w:type="dxa"/>
            <w:vAlign w:val="bottom"/>
          </w:tcPr>
          <w:p>
            <w:pPr>
              <w:ind w:left="80"/>
              <w:spacing w:after="0"/>
              <w:rPr>
                <w:sz w:val="20"/>
                <w:szCs w:val="20"/>
                <w:color w:val="auto"/>
              </w:rPr>
            </w:pPr>
            <w:r>
              <w:rPr>
                <w:rFonts w:ascii="Arial" w:cs="Arial" w:eastAsia="Arial" w:hAnsi="Arial"/>
                <w:sz w:val="9"/>
                <w:szCs w:val="9"/>
                <w:color w:val="auto"/>
              </w:rPr>
              <w:t>DOJ/FinCEN investigations</w:t>
            </w:r>
            <w:r>
              <w:rPr>
                <w:rFonts w:ascii="Arial" w:cs="Arial" w:eastAsia="Arial" w:hAnsi="Arial"/>
                <w:sz w:val="11"/>
                <w:szCs w:val="11"/>
                <w:color w:val="auto"/>
                <w:vertAlign w:val="superscript"/>
              </w:rPr>
              <w:t>(a)</w:t>
            </w:r>
          </w:p>
        </w:tc>
        <w:tc>
          <w:tcPr>
            <w:tcW w:w="500" w:type="dxa"/>
            <w:vAlign w:val="bottom"/>
          </w:tcPr>
          <w:p>
            <w:pPr>
              <w:spacing w:after="0"/>
              <w:rPr>
                <w:sz w:val="12"/>
                <w:szCs w:val="12"/>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0.9</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0.9</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3.7</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0.9</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0.9</w:t>
            </w:r>
          </w:p>
        </w:tc>
      </w:tr>
      <w:tr>
        <w:trPr>
          <w:trHeight w:val="135"/>
        </w:trPr>
        <w:tc>
          <w:tcPr>
            <w:tcW w:w="6140" w:type="dxa"/>
            <w:vAlign w:val="bottom"/>
          </w:tcPr>
          <w:p>
            <w:pPr>
              <w:ind w:left="80"/>
              <w:spacing w:after="0"/>
              <w:rPr>
                <w:sz w:val="20"/>
                <w:szCs w:val="20"/>
                <w:color w:val="auto"/>
              </w:rPr>
            </w:pPr>
            <w:r>
              <w:rPr>
                <w:rFonts w:ascii="Arial" w:cs="Arial" w:eastAsia="Arial" w:hAnsi="Arial"/>
                <w:sz w:val="9"/>
                <w:szCs w:val="9"/>
                <w:color w:val="auto"/>
              </w:rPr>
              <w:t>Chile antitrust matter</w:t>
            </w:r>
            <w:r>
              <w:rPr>
                <w:rFonts w:ascii="Arial" w:cs="Arial" w:eastAsia="Arial" w:hAnsi="Arial"/>
                <w:sz w:val="11"/>
                <w:szCs w:val="11"/>
                <w:color w:val="auto"/>
                <w:vertAlign w:val="superscript"/>
              </w:rPr>
              <w:t>(a)</w:t>
            </w:r>
          </w:p>
        </w:tc>
        <w:tc>
          <w:tcPr>
            <w:tcW w:w="500" w:type="dxa"/>
            <w:vAlign w:val="bottom"/>
          </w:tcPr>
          <w:p>
            <w:pPr>
              <w:spacing w:after="0"/>
              <w:rPr>
                <w:sz w:val="11"/>
                <w:szCs w:val="11"/>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0.2</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0.1</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0.2</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0.1</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0.1</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Non-routine auto loss matter</w:t>
            </w:r>
            <w:r>
              <w:rPr>
                <w:rFonts w:ascii="Arial" w:cs="Arial" w:eastAsia="Arial" w:hAnsi="Arial"/>
                <w:sz w:val="11"/>
                <w:szCs w:val="11"/>
                <w:color w:val="auto"/>
                <w:vertAlign w:val="superscript"/>
              </w:rPr>
              <w:t>(a)</w:t>
            </w:r>
          </w:p>
        </w:tc>
        <w:tc>
          <w:tcPr>
            <w:tcW w:w="50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1.0</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1.0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Argentina debt securities impairment</w:t>
            </w:r>
            <w:r>
              <w:rPr>
                <w:rFonts w:ascii="Arial" w:cs="Arial" w:eastAsia="Arial" w:hAnsi="Arial"/>
                <w:sz w:val="11"/>
                <w:szCs w:val="11"/>
                <w:color w:val="auto"/>
                <w:vertAlign w:val="superscript"/>
              </w:rPr>
              <w:t>(f)</w:t>
            </w:r>
          </w:p>
        </w:tc>
        <w:tc>
          <w:tcPr>
            <w:tcW w:w="50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1.0</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Retirement plans</w:t>
            </w:r>
            <w:r>
              <w:rPr>
                <w:rFonts w:ascii="Arial" w:cs="Arial" w:eastAsia="Arial" w:hAnsi="Arial"/>
                <w:sz w:val="11"/>
                <w:szCs w:val="11"/>
                <w:color w:val="auto"/>
                <w:vertAlign w:val="superscript"/>
              </w:rPr>
              <w:t>(b)</w:t>
            </w:r>
          </w:p>
        </w:tc>
        <w:tc>
          <w:tcPr>
            <w:tcW w:w="5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(1.2)</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(1.2)</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(1.2)</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(1.1)</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1.1</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Tax on return of capital</w:t>
            </w:r>
            <w:r>
              <w:rPr>
                <w:rFonts w:ascii="Arial" w:cs="Arial" w:eastAsia="Arial" w:hAnsi="Arial"/>
                <w:sz w:val="11"/>
                <w:szCs w:val="11"/>
                <w:color w:val="auto"/>
                <w:vertAlign w:val="superscript"/>
              </w:rPr>
              <w:t>(b)</w:t>
            </w:r>
          </w:p>
        </w:tc>
        <w:tc>
          <w:tcPr>
            <w:tcW w:w="50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5.4</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5.4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Valuation allowance on tax credits</w:t>
            </w:r>
            <w:r>
              <w:rPr>
                <w:rFonts w:ascii="Arial" w:cs="Arial" w:eastAsia="Arial" w:hAnsi="Arial"/>
                <w:sz w:val="11"/>
                <w:szCs w:val="11"/>
                <w:color w:val="auto"/>
                <w:vertAlign w:val="superscript"/>
              </w:rPr>
              <w:t>(b)</w:t>
            </w:r>
          </w:p>
        </w:tc>
        <w:tc>
          <w:tcPr>
            <w:tcW w:w="50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16.5</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(2.1)</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14.4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9"/>
        </w:trPr>
        <w:tc>
          <w:tcPr>
            <w:tcW w:w="6140" w:type="dxa"/>
            <w:vAlign w:val="bottom"/>
          </w:tcPr>
          <w:p>
            <w:pPr>
              <w:ind w:left="80"/>
              <w:spacing w:after="0"/>
              <w:rPr>
                <w:sz w:val="20"/>
                <w:szCs w:val="20"/>
                <w:color w:val="auto"/>
              </w:rPr>
            </w:pPr>
            <w:r>
              <w:rPr>
                <w:rFonts w:ascii="Arial" w:cs="Arial" w:eastAsia="Arial" w:hAnsi="Arial"/>
                <w:sz w:val="9"/>
                <w:szCs w:val="9"/>
                <w:color w:val="auto"/>
              </w:rPr>
              <w:t>Income tax rate adjustment</w:t>
            </w:r>
            <w:r>
              <w:rPr>
                <w:rFonts w:ascii="Arial" w:cs="Arial" w:eastAsia="Arial" w:hAnsi="Arial"/>
                <w:sz w:val="11"/>
                <w:szCs w:val="11"/>
                <w:color w:val="auto"/>
                <w:vertAlign w:val="superscript"/>
              </w:rPr>
              <w:t>(c)</w:t>
            </w:r>
          </w:p>
        </w:tc>
        <w:tc>
          <w:tcPr>
            <w:tcW w:w="5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(11.0)</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10.7</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2.1</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(1.8)</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(8.3)</w:t>
            </w:r>
          </w:p>
        </w:tc>
      </w:tr>
      <w:tr>
        <w:trPr>
          <w:trHeight w:val="107"/>
        </w:trPr>
        <w:tc>
          <w:tcPr>
            <w:tcW w:w="6140" w:type="dxa"/>
            <w:vAlign w:val="bottom"/>
          </w:tcPr>
          <w:p>
            <w:pPr>
              <w:spacing w:after="0"/>
              <w:rPr>
                <w:sz w:val="20"/>
                <w:szCs w:val="20"/>
                <w:color w:val="auto"/>
              </w:rPr>
            </w:pPr>
            <w:r>
              <w:rPr>
                <w:rFonts w:ascii="Arial" w:cs="Arial" w:eastAsia="Arial" w:hAnsi="Arial"/>
                <w:sz w:val="9"/>
                <w:szCs w:val="9"/>
                <w:color w:val="auto"/>
              </w:rPr>
              <w:t>Non-GAAP</w:t>
            </w:r>
          </w:p>
        </w:tc>
        <w:tc>
          <w:tcPr>
            <w:tcW w:w="5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9"/>
                <w:szCs w:val="9"/>
                <w:color w:val="auto"/>
              </w:rPr>
              <w:t>$</w:t>
            </w:r>
          </w:p>
        </w:tc>
        <w:tc>
          <w:tcPr>
            <w:tcW w:w="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70.6</w:t>
            </w:r>
          </w:p>
        </w:tc>
        <w:tc>
          <w:tcPr>
            <w:tcW w:w="80" w:type="dxa"/>
            <w:vAlign w:val="bottom"/>
          </w:tcPr>
          <w:p>
            <w:pPr>
              <w:spacing w:after="0"/>
              <w:rPr>
                <w:sz w:val="9"/>
                <w:szCs w:val="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76.7</w:t>
            </w:r>
          </w:p>
        </w:tc>
        <w:tc>
          <w:tcPr>
            <w:tcW w:w="100" w:type="dxa"/>
            <w:vAlign w:val="bottom"/>
          </w:tcPr>
          <w:p>
            <w:pPr>
              <w:spacing w:after="0"/>
              <w:rPr>
                <w:sz w:val="9"/>
                <w:szCs w:val="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87.8</w:t>
            </w:r>
          </w:p>
        </w:tc>
        <w:tc>
          <w:tcPr>
            <w:tcW w:w="80" w:type="dxa"/>
            <w:vAlign w:val="bottom"/>
          </w:tcPr>
          <w:p>
            <w:pPr>
              <w:spacing w:after="0"/>
              <w:rPr>
                <w:sz w:val="9"/>
                <w:szCs w:val="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106.9</w:t>
            </w:r>
          </w:p>
        </w:tc>
        <w:tc>
          <w:tcPr>
            <w:tcW w:w="100" w:type="dxa"/>
            <w:vAlign w:val="bottom"/>
          </w:tcPr>
          <w:p>
            <w:pPr>
              <w:spacing w:after="0"/>
              <w:rPr>
                <w:sz w:val="9"/>
                <w:szCs w:val="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342.0</w:t>
            </w:r>
          </w:p>
        </w:tc>
        <w:tc>
          <w:tcPr>
            <w:tcW w:w="10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74.7</w:t>
            </w:r>
          </w:p>
        </w:tc>
      </w:tr>
      <w:tr>
        <w:trPr>
          <w:trHeight w:val="254"/>
        </w:trPr>
        <w:tc>
          <w:tcPr>
            <w:tcW w:w="6140" w:type="dxa"/>
            <w:vAlign w:val="bottom"/>
          </w:tcPr>
          <w:p>
            <w:pPr>
              <w:spacing w:after="0"/>
              <w:rPr>
                <w:sz w:val="20"/>
                <w:szCs w:val="20"/>
                <w:color w:val="auto"/>
              </w:rPr>
            </w:pPr>
            <w:r>
              <w:rPr>
                <w:rFonts w:ascii="Arial" w:cs="Arial" w:eastAsia="Arial" w:hAnsi="Arial"/>
                <w:sz w:val="9"/>
                <w:szCs w:val="9"/>
                <w:b w:val="1"/>
                <w:bCs w:val="1"/>
                <w:color w:val="auto"/>
              </w:rPr>
              <w:t>Adjusted EBITDA:</w:t>
            </w: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122"/>
        </w:trPr>
        <w:tc>
          <w:tcPr>
            <w:tcW w:w="6140" w:type="dxa"/>
            <w:vAlign w:val="bottom"/>
          </w:tcPr>
          <w:p>
            <w:pPr>
              <w:ind w:left="80"/>
              <w:spacing w:after="0"/>
              <w:rPr>
                <w:sz w:val="20"/>
                <w:szCs w:val="20"/>
                <w:color w:val="auto"/>
              </w:rPr>
            </w:pPr>
            <w:r>
              <w:rPr>
                <w:rFonts w:ascii="Arial" w:cs="Arial" w:eastAsia="Arial" w:hAnsi="Arial"/>
                <w:sz w:val="9"/>
                <w:szCs w:val="9"/>
                <w:color w:val="auto"/>
              </w:rPr>
              <w:t>Net income attributable to Brink's</w:t>
            </w:r>
          </w:p>
        </w:tc>
        <w:tc>
          <w:tcPr>
            <w:tcW w:w="500" w:type="dxa"/>
            <w:vAlign w:val="bottom"/>
          </w:tcPr>
          <w:p>
            <w:pPr>
              <w:jc w:val="right"/>
              <w:ind w:right="375"/>
              <w:spacing w:after="0"/>
              <w:rPr>
                <w:sz w:val="20"/>
                <w:szCs w:val="20"/>
                <w:color w:val="auto"/>
              </w:rPr>
            </w:pPr>
            <w:r>
              <w:rPr>
                <w:rFonts w:ascii="Arial" w:cs="Arial" w:eastAsia="Arial" w:hAnsi="Arial"/>
                <w:sz w:val="9"/>
                <w:szCs w:val="9"/>
                <w:color w:val="auto"/>
              </w:rPr>
              <w:t>$</w:t>
            </w: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51.6</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43.7</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36.3</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68.1</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199.7</w:t>
            </w:r>
          </w:p>
        </w:tc>
        <w:tc>
          <w:tcPr>
            <w:tcW w:w="100" w:type="dxa"/>
            <w:vAlign w:val="bottom"/>
          </w:tcPr>
          <w:p>
            <w:pPr>
              <w:spacing w:after="0"/>
              <w:rPr>
                <w:sz w:val="10"/>
                <w:szCs w:val="10"/>
                <w:color w:val="auto"/>
              </w:rPr>
            </w:pPr>
          </w:p>
        </w:tc>
        <w:tc>
          <w:tcPr>
            <w:tcW w:w="160" w:type="dxa"/>
            <w:vAlign w:val="bottom"/>
          </w:tcPr>
          <w:p>
            <w:pPr>
              <w:jc w:val="right"/>
              <w:ind w:right="55"/>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32.1</w:t>
            </w:r>
          </w:p>
        </w:tc>
      </w:tr>
      <w:tr>
        <w:trPr>
          <w:trHeight w:val="144"/>
        </w:trPr>
        <w:tc>
          <w:tcPr>
            <w:tcW w:w="6140" w:type="dxa"/>
            <w:vAlign w:val="bottom"/>
          </w:tcPr>
          <w:p>
            <w:pPr>
              <w:ind w:left="80"/>
              <w:spacing w:after="0"/>
              <w:rPr>
                <w:sz w:val="20"/>
                <w:szCs w:val="20"/>
                <w:color w:val="auto"/>
              </w:rPr>
            </w:pPr>
            <w:r>
              <w:rPr>
                <w:rFonts w:ascii="Arial" w:cs="Arial" w:eastAsia="Arial" w:hAnsi="Arial"/>
                <w:sz w:val="9"/>
                <w:szCs w:val="9"/>
                <w:color w:val="auto"/>
              </w:rPr>
              <w:t>Interest expense</w:t>
            </w:r>
          </w:p>
        </w:tc>
        <w:tc>
          <w:tcPr>
            <w:tcW w:w="500" w:type="dxa"/>
            <w:vAlign w:val="bottom"/>
          </w:tcPr>
          <w:p>
            <w:pPr>
              <w:spacing w:after="0"/>
              <w:rPr>
                <w:sz w:val="12"/>
                <w:szCs w:val="12"/>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57.5</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60.9</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63.4</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63.7</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245.5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63.5</w:t>
            </w:r>
          </w:p>
        </w:tc>
      </w:tr>
      <w:tr>
        <w:trPr>
          <w:trHeight w:val="144"/>
        </w:trPr>
        <w:tc>
          <w:tcPr>
            <w:tcW w:w="6140" w:type="dxa"/>
            <w:vAlign w:val="bottom"/>
          </w:tcPr>
          <w:p>
            <w:pPr>
              <w:ind w:left="80"/>
              <w:spacing w:after="0"/>
              <w:rPr>
                <w:sz w:val="20"/>
                <w:szCs w:val="20"/>
                <w:color w:val="auto"/>
              </w:rPr>
            </w:pPr>
            <w:r>
              <w:rPr>
                <w:rFonts w:ascii="Arial" w:cs="Arial" w:eastAsia="Arial" w:hAnsi="Arial"/>
                <w:sz w:val="9"/>
                <w:szCs w:val="9"/>
                <w:color w:val="auto"/>
              </w:rPr>
              <w:t>Income tax provision</w:t>
            </w:r>
          </w:p>
        </w:tc>
        <w:tc>
          <w:tcPr>
            <w:tcW w:w="500" w:type="dxa"/>
            <w:vAlign w:val="bottom"/>
          </w:tcPr>
          <w:p>
            <w:pPr>
              <w:spacing w:after="0"/>
              <w:rPr>
                <w:sz w:val="12"/>
                <w:szCs w:val="12"/>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15.6</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27.2</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53.0</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47.5</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143.3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11.0</w:t>
            </w:r>
          </w:p>
        </w:tc>
      </w:tr>
      <w:tr>
        <w:trPr>
          <w:trHeight w:val="144"/>
        </w:trPr>
        <w:tc>
          <w:tcPr>
            <w:tcW w:w="6140" w:type="dxa"/>
            <w:vAlign w:val="bottom"/>
          </w:tcPr>
          <w:p>
            <w:pPr>
              <w:ind w:left="80"/>
              <w:spacing w:after="0"/>
              <w:rPr>
                <w:sz w:val="20"/>
                <w:szCs w:val="20"/>
                <w:color w:val="auto"/>
              </w:rPr>
            </w:pPr>
            <w:r>
              <w:rPr>
                <w:rFonts w:ascii="Arial" w:cs="Arial" w:eastAsia="Arial" w:hAnsi="Arial"/>
                <w:sz w:val="9"/>
                <w:szCs w:val="9"/>
                <w:color w:val="auto"/>
              </w:rPr>
              <w:t>Depreciation and amortization</w:t>
            </w: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70.7</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59.8</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78.2</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82.1</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290.8</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79.7</w:t>
            </w:r>
          </w:p>
        </w:tc>
      </w:tr>
      <w:tr>
        <w:trPr>
          <w:trHeight w:val="115"/>
        </w:trPr>
        <w:tc>
          <w:tcPr>
            <w:tcW w:w="6140" w:type="dxa"/>
            <w:vAlign w:val="bottom"/>
          </w:tcPr>
          <w:p>
            <w:pPr>
              <w:ind w:left="140"/>
              <w:spacing w:after="0"/>
              <w:rPr>
                <w:sz w:val="20"/>
                <w:szCs w:val="20"/>
                <w:color w:val="auto"/>
              </w:rPr>
            </w:pPr>
            <w:r>
              <w:rPr>
                <w:rFonts w:ascii="Arial" w:cs="Arial" w:eastAsia="Arial" w:hAnsi="Arial"/>
                <w:sz w:val="9"/>
                <w:szCs w:val="9"/>
                <w:color w:val="auto"/>
              </w:rPr>
              <w:t>EBITDA</w:t>
            </w:r>
          </w:p>
        </w:tc>
        <w:tc>
          <w:tcPr>
            <w:tcW w:w="500" w:type="dxa"/>
            <w:vAlign w:val="bottom"/>
            <w:tcBorders>
              <w:bottom w:val="single" w:sz="8" w:color="auto"/>
            </w:tcBorders>
          </w:tcPr>
          <w:p>
            <w:pPr>
              <w:jc w:val="right"/>
              <w:ind w:right="375"/>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w w:val="97"/>
              </w:rPr>
              <w:t>195.4</w:t>
            </w:r>
          </w:p>
        </w:tc>
        <w:tc>
          <w:tcPr>
            <w:tcW w:w="80" w:type="dxa"/>
            <w:vAlign w:val="bottom"/>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191.6</w:t>
            </w:r>
          </w:p>
        </w:tc>
        <w:tc>
          <w:tcPr>
            <w:tcW w:w="100" w:type="dxa"/>
            <w:vAlign w:val="bottom"/>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230.9</w:t>
            </w:r>
          </w:p>
        </w:tc>
        <w:tc>
          <w:tcPr>
            <w:tcW w:w="80" w:type="dxa"/>
            <w:vAlign w:val="bottom"/>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261.4</w:t>
            </w:r>
          </w:p>
        </w:tc>
        <w:tc>
          <w:tcPr>
            <w:tcW w:w="100" w:type="dxa"/>
            <w:vAlign w:val="bottom"/>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879.3</w:t>
            </w:r>
          </w:p>
        </w:tc>
        <w:tc>
          <w:tcPr>
            <w:tcW w:w="100" w:type="dxa"/>
            <w:vAlign w:val="bottom"/>
          </w:tcPr>
          <w:p>
            <w:pPr>
              <w:spacing w:after="0"/>
              <w:rPr>
                <w:sz w:val="10"/>
                <w:szCs w:val="10"/>
                <w:color w:val="auto"/>
              </w:rPr>
            </w:pPr>
          </w:p>
        </w:tc>
        <w:tc>
          <w:tcPr>
            <w:tcW w:w="16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186.3</w:t>
            </w:r>
          </w:p>
        </w:tc>
      </w:tr>
      <w:tr>
        <w:trPr>
          <w:trHeight w:val="115"/>
        </w:trPr>
        <w:tc>
          <w:tcPr>
            <w:tcW w:w="6140" w:type="dxa"/>
            <w:vAlign w:val="bottom"/>
          </w:tcPr>
          <w:p>
            <w:pPr>
              <w:ind w:left="220"/>
              <w:spacing w:after="0"/>
              <w:rPr>
                <w:sz w:val="20"/>
                <w:szCs w:val="20"/>
                <w:color w:val="auto"/>
              </w:rPr>
            </w:pPr>
            <w:r>
              <w:rPr>
                <w:rFonts w:ascii="Arial" w:cs="Arial" w:eastAsia="Arial" w:hAnsi="Arial"/>
                <w:sz w:val="9"/>
                <w:szCs w:val="9"/>
                <w:color w:val="auto"/>
              </w:rPr>
              <w:t>Discontinued operations</w:t>
            </w:r>
          </w:p>
        </w:tc>
        <w:tc>
          <w:tcPr>
            <w:tcW w:w="50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0.2</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(0.1)</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0.3</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58"/>
        </w:trPr>
        <w:tc>
          <w:tcPr>
            <w:tcW w:w="6140" w:type="dxa"/>
            <w:vAlign w:val="bottom"/>
          </w:tcPr>
          <w:p>
            <w:pPr>
              <w:ind w:left="220"/>
              <w:spacing w:after="0"/>
              <w:rPr>
                <w:sz w:val="20"/>
                <w:szCs w:val="20"/>
                <w:color w:val="auto"/>
              </w:rPr>
            </w:pPr>
            <w:r>
              <w:rPr>
                <w:rFonts w:ascii="Arial" w:cs="Arial" w:eastAsia="Arial" w:hAnsi="Arial"/>
                <w:sz w:val="9"/>
                <w:szCs w:val="9"/>
                <w:color w:val="auto"/>
              </w:rPr>
              <w:t>Reorganization and Restructuring</w:t>
            </w:r>
            <w:r>
              <w:rPr>
                <w:rFonts w:ascii="Arial" w:cs="Arial" w:eastAsia="Arial" w:hAnsi="Arial"/>
                <w:sz w:val="11"/>
                <w:szCs w:val="11"/>
                <w:color w:val="auto"/>
                <w:vertAlign w:val="superscript"/>
              </w:rPr>
              <w:t>(a)</w:t>
            </w:r>
          </w:p>
        </w:tc>
        <w:tc>
          <w:tcPr>
            <w:tcW w:w="500" w:type="dxa"/>
            <w:vAlign w:val="bottom"/>
          </w:tcPr>
          <w:p>
            <w:pPr>
              <w:spacing w:after="0"/>
              <w:rPr>
                <w:sz w:val="13"/>
                <w:szCs w:val="13"/>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0.5</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0.2</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0.3</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0.4</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35"/>
        </w:trPr>
        <w:tc>
          <w:tcPr>
            <w:tcW w:w="6140" w:type="dxa"/>
            <w:vAlign w:val="bottom"/>
          </w:tcPr>
          <w:p>
            <w:pPr>
              <w:ind w:left="220"/>
              <w:spacing w:after="0"/>
              <w:rPr>
                <w:sz w:val="20"/>
                <w:szCs w:val="20"/>
                <w:color w:val="auto"/>
              </w:rPr>
            </w:pPr>
            <w:r>
              <w:rPr>
                <w:rFonts w:ascii="Arial" w:cs="Arial" w:eastAsia="Arial" w:hAnsi="Arial"/>
                <w:sz w:val="9"/>
                <w:szCs w:val="9"/>
                <w:color w:val="auto"/>
              </w:rPr>
              <w:t>Acquisitions and dispositions</w:t>
            </w:r>
            <w:r>
              <w:rPr>
                <w:rFonts w:ascii="Arial" w:cs="Arial" w:eastAsia="Arial" w:hAnsi="Arial"/>
                <w:sz w:val="11"/>
                <w:szCs w:val="11"/>
                <w:color w:val="auto"/>
                <w:vertAlign w:val="superscript"/>
              </w:rPr>
              <w:t>(a)</w:t>
            </w:r>
          </w:p>
        </w:tc>
        <w:tc>
          <w:tcPr>
            <w:tcW w:w="500" w:type="dxa"/>
            <w:vAlign w:val="bottom"/>
          </w:tcPr>
          <w:p>
            <w:pPr>
              <w:spacing w:after="0"/>
              <w:rPr>
                <w:sz w:val="11"/>
                <w:szCs w:val="11"/>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4.5</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12.3</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2.3</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1.2</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20.3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0.1</w:t>
            </w:r>
          </w:p>
        </w:tc>
      </w:tr>
      <w:tr>
        <w:trPr>
          <w:trHeight w:val="126"/>
        </w:trPr>
        <w:tc>
          <w:tcPr>
            <w:tcW w:w="6140" w:type="dxa"/>
            <w:vAlign w:val="bottom"/>
          </w:tcPr>
          <w:p>
            <w:pPr>
              <w:ind w:left="220"/>
              <w:spacing w:after="0"/>
              <w:rPr>
                <w:sz w:val="20"/>
                <w:szCs w:val="20"/>
                <w:color w:val="auto"/>
              </w:rPr>
            </w:pPr>
            <w:r>
              <w:rPr>
                <w:rFonts w:ascii="Arial" w:cs="Arial" w:eastAsia="Arial" w:hAnsi="Arial"/>
                <w:sz w:val="9"/>
                <w:szCs w:val="9"/>
                <w:color w:val="auto"/>
              </w:rPr>
              <w:t>Argentina highly inflationary impact</w:t>
            </w:r>
            <w:r>
              <w:rPr>
                <w:rFonts w:ascii="Arial" w:cs="Arial" w:eastAsia="Arial" w:hAnsi="Arial"/>
                <w:sz w:val="11"/>
                <w:szCs w:val="11"/>
                <w:color w:val="auto"/>
                <w:vertAlign w:val="superscript"/>
              </w:rPr>
              <w:t>(a)</w:t>
            </w:r>
          </w:p>
        </w:tc>
        <w:tc>
          <w:tcPr>
            <w:tcW w:w="500" w:type="dxa"/>
            <w:vAlign w:val="bottom"/>
          </w:tcPr>
          <w:p>
            <w:pPr>
              <w:spacing w:after="0"/>
              <w:rPr>
                <w:sz w:val="10"/>
                <w:szCs w:val="10"/>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5.2</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14.4</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3.8</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7.1</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30.5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0.1</w:t>
            </w:r>
          </w:p>
        </w:tc>
      </w:tr>
      <w:tr>
        <w:trPr>
          <w:trHeight w:val="135"/>
        </w:trPr>
        <w:tc>
          <w:tcPr>
            <w:tcW w:w="6140" w:type="dxa"/>
            <w:vAlign w:val="bottom"/>
          </w:tcPr>
          <w:p>
            <w:pPr>
              <w:ind w:left="220"/>
              <w:spacing w:after="0"/>
              <w:rPr>
                <w:sz w:val="20"/>
                <w:szCs w:val="20"/>
                <w:color w:val="auto"/>
              </w:rPr>
            </w:pPr>
            <w:r>
              <w:rPr>
                <w:rFonts w:ascii="Arial" w:cs="Arial" w:eastAsia="Arial" w:hAnsi="Arial"/>
                <w:sz w:val="9"/>
                <w:szCs w:val="9"/>
                <w:color w:val="auto"/>
              </w:rPr>
              <w:t>NCR Atleos acquisition and transformation initiatives</w:t>
            </w:r>
            <w:r>
              <w:rPr>
                <w:rFonts w:ascii="Arial" w:cs="Arial" w:eastAsia="Arial" w:hAnsi="Arial"/>
                <w:sz w:val="11"/>
                <w:szCs w:val="11"/>
                <w:color w:val="auto"/>
                <w:vertAlign w:val="superscript"/>
              </w:rPr>
              <w:t>(a)</w:t>
            </w:r>
          </w:p>
        </w:tc>
        <w:tc>
          <w:tcPr>
            <w:tcW w:w="500" w:type="dxa"/>
            <w:vAlign w:val="bottom"/>
          </w:tcPr>
          <w:p>
            <w:pPr>
              <w:spacing w:after="0"/>
              <w:rPr>
                <w:sz w:val="11"/>
                <w:szCs w:val="11"/>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5.1</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5.4</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8.1</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7.4</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26.0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38.9</w:t>
            </w:r>
          </w:p>
        </w:tc>
      </w:tr>
      <w:tr>
        <w:trPr>
          <w:trHeight w:val="144"/>
        </w:trPr>
        <w:tc>
          <w:tcPr>
            <w:tcW w:w="6140" w:type="dxa"/>
            <w:vAlign w:val="bottom"/>
          </w:tcPr>
          <w:p>
            <w:pPr>
              <w:ind w:left="220"/>
              <w:spacing w:after="0"/>
              <w:rPr>
                <w:sz w:val="20"/>
                <w:szCs w:val="20"/>
                <w:color w:val="auto"/>
              </w:rPr>
            </w:pPr>
            <w:r>
              <w:rPr>
                <w:rFonts w:ascii="Arial" w:cs="Arial" w:eastAsia="Arial" w:hAnsi="Arial"/>
                <w:sz w:val="9"/>
                <w:szCs w:val="9"/>
                <w:color w:val="auto"/>
              </w:rPr>
              <w:t>Non-routine legal maters</w:t>
            </w:r>
            <w:r>
              <w:rPr>
                <w:rFonts w:ascii="Arial" w:cs="Arial" w:eastAsia="Arial" w:hAnsi="Arial"/>
                <w:sz w:val="11"/>
                <w:szCs w:val="11"/>
                <w:color w:val="auto"/>
                <w:vertAlign w:val="superscript"/>
              </w:rPr>
              <w:t>(a)</w:t>
            </w:r>
          </w:p>
        </w:tc>
        <w:tc>
          <w:tcPr>
            <w:tcW w:w="50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2.8</w:t>
            </w:r>
          </w:p>
        </w:tc>
      </w:tr>
      <w:tr>
        <w:trPr>
          <w:trHeight w:val="144"/>
        </w:trPr>
        <w:tc>
          <w:tcPr>
            <w:tcW w:w="6140" w:type="dxa"/>
            <w:vAlign w:val="bottom"/>
          </w:tcPr>
          <w:p>
            <w:pPr>
              <w:ind w:left="220"/>
              <w:spacing w:after="0"/>
              <w:rPr>
                <w:sz w:val="20"/>
                <w:szCs w:val="20"/>
                <w:color w:val="auto"/>
              </w:rPr>
            </w:pPr>
            <w:r>
              <w:rPr>
                <w:rFonts w:ascii="Arial" w:cs="Arial" w:eastAsia="Arial" w:hAnsi="Arial"/>
                <w:sz w:val="9"/>
                <w:szCs w:val="9"/>
                <w:color w:val="auto"/>
              </w:rPr>
              <w:t>DOJ/FinCEN investigations</w:t>
            </w:r>
            <w:r>
              <w:rPr>
                <w:rFonts w:ascii="Arial" w:cs="Arial" w:eastAsia="Arial" w:hAnsi="Arial"/>
                <w:sz w:val="11"/>
                <w:szCs w:val="11"/>
                <w:color w:val="auto"/>
                <w:vertAlign w:val="superscript"/>
              </w:rPr>
              <w:t>(a)</w:t>
            </w:r>
          </w:p>
        </w:tc>
        <w:tc>
          <w:tcPr>
            <w:tcW w:w="500" w:type="dxa"/>
            <w:vAlign w:val="bottom"/>
          </w:tcPr>
          <w:p>
            <w:pPr>
              <w:spacing w:after="0"/>
              <w:rPr>
                <w:sz w:val="12"/>
                <w:szCs w:val="12"/>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0.9</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0.9</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3.7</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1.0</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1.2</w:t>
            </w:r>
          </w:p>
        </w:tc>
      </w:tr>
      <w:tr>
        <w:trPr>
          <w:trHeight w:val="135"/>
        </w:trPr>
        <w:tc>
          <w:tcPr>
            <w:tcW w:w="6140" w:type="dxa"/>
            <w:vAlign w:val="bottom"/>
          </w:tcPr>
          <w:p>
            <w:pPr>
              <w:ind w:left="220"/>
              <w:spacing w:after="0"/>
              <w:rPr>
                <w:sz w:val="20"/>
                <w:szCs w:val="20"/>
                <w:color w:val="auto"/>
              </w:rPr>
            </w:pPr>
            <w:r>
              <w:rPr>
                <w:rFonts w:ascii="Arial" w:cs="Arial" w:eastAsia="Arial" w:hAnsi="Arial"/>
                <w:sz w:val="9"/>
                <w:szCs w:val="9"/>
                <w:color w:val="auto"/>
              </w:rPr>
              <w:t>Chile antitrust matter</w:t>
            </w:r>
            <w:r>
              <w:rPr>
                <w:rFonts w:ascii="Arial" w:cs="Arial" w:eastAsia="Arial" w:hAnsi="Arial"/>
                <w:sz w:val="11"/>
                <w:szCs w:val="11"/>
                <w:color w:val="auto"/>
                <w:vertAlign w:val="superscript"/>
              </w:rPr>
              <w:t>(a)</w:t>
            </w:r>
          </w:p>
        </w:tc>
        <w:tc>
          <w:tcPr>
            <w:tcW w:w="500" w:type="dxa"/>
            <w:vAlign w:val="bottom"/>
          </w:tcPr>
          <w:p>
            <w:pPr>
              <w:spacing w:after="0"/>
              <w:rPr>
                <w:sz w:val="11"/>
                <w:szCs w:val="11"/>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0.2</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0.2</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0.2</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0.2</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0.2</w:t>
            </w:r>
          </w:p>
        </w:tc>
      </w:tr>
      <w:tr>
        <w:trPr>
          <w:trHeight w:val="126"/>
        </w:trPr>
        <w:tc>
          <w:tcPr>
            <w:tcW w:w="6140" w:type="dxa"/>
            <w:vAlign w:val="bottom"/>
          </w:tcPr>
          <w:p>
            <w:pPr>
              <w:ind w:left="220"/>
              <w:spacing w:after="0"/>
              <w:rPr>
                <w:sz w:val="20"/>
                <w:szCs w:val="20"/>
                <w:color w:val="auto"/>
              </w:rPr>
            </w:pPr>
            <w:r>
              <w:rPr>
                <w:rFonts w:ascii="Arial" w:cs="Arial" w:eastAsia="Arial" w:hAnsi="Arial"/>
                <w:sz w:val="9"/>
                <w:szCs w:val="9"/>
                <w:color w:val="auto"/>
              </w:rPr>
              <w:t>Non-routine auto loss matter</w:t>
            </w:r>
            <w:r>
              <w:rPr>
                <w:rFonts w:ascii="Arial" w:cs="Arial" w:eastAsia="Arial" w:hAnsi="Arial"/>
                <w:sz w:val="11"/>
                <w:szCs w:val="11"/>
                <w:color w:val="auto"/>
                <w:vertAlign w:val="superscript"/>
              </w:rPr>
              <w:t>(a)</w:t>
            </w:r>
          </w:p>
        </w:tc>
        <w:tc>
          <w:tcPr>
            <w:tcW w:w="50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1.0</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1.0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6"/>
        </w:trPr>
        <w:tc>
          <w:tcPr>
            <w:tcW w:w="6140" w:type="dxa"/>
            <w:vAlign w:val="bottom"/>
          </w:tcPr>
          <w:p>
            <w:pPr>
              <w:ind w:left="220"/>
              <w:spacing w:after="0"/>
              <w:rPr>
                <w:sz w:val="20"/>
                <w:szCs w:val="20"/>
                <w:color w:val="auto"/>
              </w:rPr>
            </w:pPr>
            <w:r>
              <w:rPr>
                <w:rFonts w:ascii="Arial" w:cs="Arial" w:eastAsia="Arial" w:hAnsi="Arial"/>
                <w:sz w:val="9"/>
                <w:szCs w:val="9"/>
                <w:color w:val="auto"/>
              </w:rPr>
              <w:t>Argentina debt securities impairment</w:t>
            </w:r>
            <w:r>
              <w:rPr>
                <w:rFonts w:ascii="Arial" w:cs="Arial" w:eastAsia="Arial" w:hAnsi="Arial"/>
                <w:sz w:val="11"/>
                <w:szCs w:val="11"/>
                <w:color w:val="auto"/>
                <w:vertAlign w:val="superscript"/>
              </w:rPr>
              <w:t>(f)</w:t>
            </w:r>
          </w:p>
        </w:tc>
        <w:tc>
          <w:tcPr>
            <w:tcW w:w="50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1.5</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6"/>
        </w:trPr>
        <w:tc>
          <w:tcPr>
            <w:tcW w:w="6140" w:type="dxa"/>
            <w:vAlign w:val="bottom"/>
          </w:tcPr>
          <w:p>
            <w:pPr>
              <w:ind w:left="220"/>
              <w:spacing w:after="0"/>
              <w:rPr>
                <w:sz w:val="20"/>
                <w:szCs w:val="20"/>
                <w:color w:val="auto"/>
              </w:rPr>
            </w:pPr>
            <w:r>
              <w:rPr>
                <w:rFonts w:ascii="Arial" w:cs="Arial" w:eastAsia="Arial" w:hAnsi="Arial"/>
                <w:sz w:val="9"/>
                <w:szCs w:val="9"/>
                <w:color w:val="auto"/>
              </w:rPr>
              <w:t>Retirement plans</w:t>
            </w:r>
            <w:r>
              <w:rPr>
                <w:rFonts w:ascii="Arial" w:cs="Arial" w:eastAsia="Arial" w:hAnsi="Arial"/>
                <w:sz w:val="11"/>
                <w:szCs w:val="11"/>
                <w:color w:val="auto"/>
                <w:vertAlign w:val="superscript"/>
              </w:rPr>
              <w:t>(b)</w:t>
            </w:r>
          </w:p>
        </w:tc>
        <w:tc>
          <w:tcPr>
            <w:tcW w:w="5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(1.7)</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(1.4)</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(1.6)</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(1.7)</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1.5</w:t>
            </w:r>
          </w:p>
        </w:tc>
      </w:tr>
      <w:tr>
        <w:trPr>
          <w:trHeight w:val="126"/>
        </w:trPr>
        <w:tc>
          <w:tcPr>
            <w:tcW w:w="6140" w:type="dxa"/>
            <w:vAlign w:val="bottom"/>
          </w:tcPr>
          <w:p>
            <w:pPr>
              <w:ind w:left="220"/>
              <w:spacing w:after="0"/>
              <w:rPr>
                <w:sz w:val="20"/>
                <w:szCs w:val="20"/>
                <w:color w:val="auto"/>
              </w:rPr>
            </w:pPr>
            <w:r>
              <w:rPr>
                <w:rFonts w:ascii="Arial" w:cs="Arial" w:eastAsia="Arial" w:hAnsi="Arial"/>
                <w:sz w:val="9"/>
                <w:szCs w:val="9"/>
                <w:color w:val="auto"/>
              </w:rPr>
              <w:t>Income tax rate adjustment</w:t>
            </w:r>
            <w:r>
              <w:rPr>
                <w:rFonts w:ascii="Arial" w:cs="Arial" w:eastAsia="Arial" w:hAnsi="Arial"/>
                <w:sz w:val="11"/>
                <w:szCs w:val="11"/>
                <w:color w:val="auto"/>
                <w:vertAlign w:val="superscript"/>
              </w:rPr>
              <w:t>(c)</w:t>
            </w:r>
          </w:p>
        </w:tc>
        <w:tc>
          <w:tcPr>
            <w:tcW w:w="50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1.4</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(1.4)</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0.3</w:t>
            </w:r>
          </w:p>
        </w:tc>
      </w:tr>
      <w:tr>
        <w:trPr>
          <w:trHeight w:val="126"/>
        </w:trPr>
        <w:tc>
          <w:tcPr>
            <w:tcW w:w="6140" w:type="dxa"/>
            <w:vAlign w:val="bottom"/>
          </w:tcPr>
          <w:p>
            <w:pPr>
              <w:ind w:left="220"/>
              <w:spacing w:after="0"/>
              <w:rPr>
                <w:sz w:val="20"/>
                <w:szCs w:val="20"/>
                <w:color w:val="auto"/>
              </w:rPr>
            </w:pPr>
            <w:r>
              <w:rPr>
                <w:rFonts w:ascii="Arial" w:cs="Arial" w:eastAsia="Arial" w:hAnsi="Arial"/>
                <w:sz w:val="9"/>
                <w:szCs w:val="9"/>
                <w:color w:val="auto"/>
              </w:rPr>
              <w:t>Share-based compensation</w:t>
            </w:r>
            <w:r>
              <w:rPr>
                <w:rFonts w:ascii="Arial" w:cs="Arial" w:eastAsia="Arial" w:hAnsi="Arial"/>
                <w:sz w:val="11"/>
                <w:szCs w:val="11"/>
                <w:color w:val="auto"/>
                <w:vertAlign w:val="superscript"/>
              </w:rPr>
              <w:t>(d)</w:t>
            </w:r>
          </w:p>
        </w:tc>
        <w:tc>
          <w:tcPr>
            <w:tcW w:w="500" w:type="dxa"/>
            <w:vAlign w:val="bottom"/>
          </w:tcPr>
          <w:p>
            <w:pPr>
              <w:spacing w:after="0"/>
              <w:rPr>
                <w:sz w:val="10"/>
                <w:szCs w:val="10"/>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5.7</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8.1</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4.9</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7.3</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26.0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7.1</w:t>
            </w:r>
          </w:p>
        </w:tc>
      </w:tr>
      <w:tr>
        <w:trPr>
          <w:trHeight w:val="129"/>
        </w:trPr>
        <w:tc>
          <w:tcPr>
            <w:tcW w:w="6140" w:type="dxa"/>
            <w:vAlign w:val="bottom"/>
          </w:tcPr>
          <w:p>
            <w:pPr>
              <w:ind w:left="220"/>
              <w:spacing w:after="0"/>
              <w:rPr>
                <w:sz w:val="20"/>
                <w:szCs w:val="20"/>
                <w:color w:val="auto"/>
              </w:rPr>
            </w:pPr>
            <w:r>
              <w:rPr>
                <w:rFonts w:ascii="Arial" w:cs="Arial" w:eastAsia="Arial" w:hAnsi="Arial"/>
                <w:sz w:val="9"/>
                <w:szCs w:val="9"/>
                <w:color w:val="auto"/>
              </w:rPr>
              <w:t>Marketable securities (gain) loss</w:t>
            </w:r>
            <w:r>
              <w:rPr>
                <w:rFonts w:ascii="Arial" w:cs="Arial" w:eastAsia="Arial" w:hAnsi="Arial"/>
                <w:sz w:val="11"/>
                <w:szCs w:val="11"/>
                <w:color w:val="auto"/>
                <w:vertAlign w:val="superscript"/>
              </w:rPr>
              <w:t>(e)</w:t>
            </w: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(0.8)</w:t>
            </w:r>
          </w:p>
        </w:tc>
        <w:tc>
          <w:tcPr>
            <w:tcW w:w="8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(1.3)</w:t>
            </w:r>
          </w:p>
        </w:tc>
        <w:tc>
          <w:tcPr>
            <w:tcW w:w="10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w:t>
            </w:r>
          </w:p>
        </w:tc>
        <w:tc>
          <w:tcPr>
            <w:tcW w:w="8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(9.3)</w:t>
            </w:r>
          </w:p>
        </w:tc>
        <w:tc>
          <w:tcPr>
            <w:tcW w:w="10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(10.2)</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w:t>
            </w:r>
          </w:p>
        </w:tc>
      </w:tr>
      <w:tr>
        <w:trPr>
          <w:trHeight w:val="111"/>
        </w:trPr>
        <w:tc>
          <w:tcPr>
            <w:tcW w:w="6140" w:type="dxa"/>
            <w:vAlign w:val="bottom"/>
          </w:tcPr>
          <w:p>
            <w:pPr>
              <w:ind w:left="300"/>
              <w:spacing w:after="0"/>
              <w:rPr>
                <w:sz w:val="20"/>
                <w:szCs w:val="20"/>
                <w:color w:val="auto"/>
              </w:rPr>
            </w:pPr>
            <w:r>
              <w:rPr>
                <w:rFonts w:ascii="Arial" w:cs="Arial" w:eastAsia="Arial" w:hAnsi="Arial"/>
                <w:sz w:val="9"/>
                <w:szCs w:val="9"/>
                <w:color w:val="auto"/>
              </w:rPr>
              <w:t>Adjusted EBITDA</w:t>
            </w:r>
          </w:p>
        </w:tc>
        <w:tc>
          <w:tcPr>
            <w:tcW w:w="500" w:type="dxa"/>
            <w:vAlign w:val="bottom"/>
            <w:tcBorders>
              <w:bottom w:val="single" w:sz="8" w:color="auto"/>
            </w:tcBorders>
          </w:tcPr>
          <w:p>
            <w:pPr>
              <w:jc w:val="right"/>
              <w:ind w:right="375"/>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w w:val="97"/>
              </w:rPr>
              <w:t>215.0</w:t>
            </w:r>
          </w:p>
        </w:tc>
        <w:tc>
          <w:tcPr>
            <w:tcW w:w="80" w:type="dxa"/>
            <w:vAlign w:val="bottom"/>
          </w:tcPr>
          <w:p>
            <w:pPr>
              <w:spacing w:after="0"/>
              <w:rPr>
                <w:sz w:val="9"/>
                <w:szCs w:val="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232.0</w:t>
            </w:r>
          </w:p>
        </w:tc>
        <w:tc>
          <w:tcPr>
            <w:tcW w:w="100" w:type="dxa"/>
            <w:vAlign w:val="bottom"/>
          </w:tcPr>
          <w:p>
            <w:pPr>
              <w:spacing w:after="0"/>
              <w:rPr>
                <w:sz w:val="9"/>
                <w:szCs w:val="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253.3</w:t>
            </w:r>
          </w:p>
        </w:tc>
        <w:tc>
          <w:tcPr>
            <w:tcW w:w="80" w:type="dxa"/>
            <w:vAlign w:val="bottom"/>
          </w:tcPr>
          <w:p>
            <w:pPr>
              <w:spacing w:after="0"/>
              <w:rPr>
                <w:sz w:val="9"/>
                <w:szCs w:val="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276.8</w:t>
            </w:r>
          </w:p>
        </w:tc>
        <w:tc>
          <w:tcPr>
            <w:tcW w:w="100" w:type="dxa"/>
            <w:vAlign w:val="bottom"/>
          </w:tcPr>
          <w:p>
            <w:pPr>
              <w:spacing w:after="0"/>
              <w:rPr>
                <w:sz w:val="9"/>
                <w:szCs w:val="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977.1</w:t>
            </w:r>
          </w:p>
        </w:tc>
        <w:tc>
          <w:tcPr>
            <w:tcW w:w="100" w:type="dxa"/>
            <w:vAlign w:val="bottom"/>
          </w:tcPr>
          <w:p>
            <w:pPr>
              <w:spacing w:after="0"/>
              <w:rPr>
                <w:sz w:val="9"/>
                <w:szCs w:val="9"/>
                <w:color w:val="auto"/>
              </w:rPr>
            </w:pPr>
          </w:p>
        </w:tc>
        <w:tc>
          <w:tcPr>
            <w:tcW w:w="16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237.5</w:t>
            </w:r>
          </w:p>
        </w:tc>
      </w:tr>
      <w:tr>
        <w:trPr>
          <w:trHeight w:val="355"/>
        </w:trPr>
        <w:tc>
          <w:tcPr>
            <w:tcW w:w="6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w:t>
            </w:r>
          </w:p>
        </w:tc>
      </w:tr>
    </w:tbl>
    <w:p>
      <w:pPr>
        <w:sectPr>
          <w:pgSz w:w="11900" w:h="16838" w:orient="portrait"/>
          <w:cols w:equalWidth="0" w:num="1">
            <w:col w:w="11300"/>
          </w:cols>
          <w:pgMar w:left="300" w:top="721" w:right="29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6786245</wp:posOffset>
            </wp:positionH>
            <wp:positionV relativeFrom="page">
              <wp:posOffset>88900</wp:posOffset>
            </wp:positionV>
            <wp:extent cx="577215" cy="97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77215" cy="9715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6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255"/>
              <w:spacing w:after="0"/>
              <w:rPr>
                <w:sz w:val="20"/>
                <w:szCs w:val="20"/>
                <w:color w:val="auto"/>
              </w:rPr>
            </w:pPr>
            <w:r>
              <w:rPr>
                <w:rFonts w:ascii="Arial" w:cs="Arial" w:eastAsia="Arial" w:hAnsi="Arial"/>
                <w:sz w:val="9"/>
                <w:szCs w:val="9"/>
                <w:b w:val="1"/>
                <w:bCs w:val="1"/>
                <w:color w:val="auto"/>
              </w:rPr>
              <w:t>2025</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ind w:right="255"/>
              <w:spacing w:after="0"/>
              <w:rPr>
                <w:sz w:val="20"/>
                <w:szCs w:val="20"/>
                <w:color w:val="auto"/>
              </w:rPr>
            </w:pPr>
            <w:r>
              <w:rPr>
                <w:rFonts w:ascii="Arial" w:cs="Arial" w:eastAsia="Arial" w:hAnsi="Arial"/>
                <w:sz w:val="9"/>
                <w:szCs w:val="9"/>
                <w:b w:val="1"/>
                <w:bCs w:val="1"/>
                <w:color w:val="auto"/>
              </w:rPr>
              <w:t>2026</w:t>
            </w:r>
          </w:p>
        </w:tc>
      </w:tr>
      <w:tr>
        <w:trPr>
          <w:trHeight w:val="126"/>
        </w:trPr>
        <w:tc>
          <w:tcPr>
            <w:tcW w:w="6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b w:val="1"/>
                <w:bCs w:val="1"/>
                <w:color w:val="auto"/>
              </w:rPr>
              <w:t>1Q</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340"/>
              <w:spacing w:after="0"/>
              <w:rPr>
                <w:sz w:val="20"/>
                <w:szCs w:val="20"/>
                <w:color w:val="auto"/>
              </w:rPr>
            </w:pPr>
            <w:r>
              <w:rPr>
                <w:rFonts w:ascii="Arial" w:cs="Arial" w:eastAsia="Arial" w:hAnsi="Arial"/>
                <w:sz w:val="9"/>
                <w:szCs w:val="9"/>
                <w:b w:val="1"/>
                <w:bCs w:val="1"/>
                <w:color w:val="auto"/>
              </w:rPr>
              <w:t>2Q</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9"/>
              </w:rPr>
              <w:t>3Q</w:t>
            </w:r>
          </w:p>
        </w:tc>
        <w:tc>
          <w:tcPr>
            <w:tcW w:w="880" w:type="dxa"/>
            <w:vAlign w:val="bottom"/>
            <w:gridSpan w:val="2"/>
          </w:tcPr>
          <w:p>
            <w:pPr>
              <w:ind w:left="340"/>
              <w:spacing w:after="0"/>
              <w:rPr>
                <w:sz w:val="20"/>
                <w:szCs w:val="20"/>
                <w:color w:val="auto"/>
              </w:rPr>
            </w:pPr>
            <w:r>
              <w:rPr>
                <w:rFonts w:ascii="Arial" w:cs="Arial" w:eastAsia="Arial" w:hAnsi="Arial"/>
                <w:sz w:val="9"/>
                <w:szCs w:val="9"/>
                <w:b w:val="1"/>
                <w:bCs w:val="1"/>
                <w:color w:val="auto"/>
              </w:rPr>
              <w:t>4Q</w:t>
            </w:r>
          </w:p>
        </w:tc>
        <w:tc>
          <w:tcPr>
            <w:tcW w:w="880" w:type="dxa"/>
            <w:vAlign w:val="bottom"/>
            <w:gridSpan w:val="2"/>
          </w:tcPr>
          <w:p>
            <w:pPr>
              <w:ind w:left="200"/>
              <w:spacing w:after="0"/>
              <w:rPr>
                <w:sz w:val="20"/>
                <w:szCs w:val="20"/>
                <w:color w:val="auto"/>
              </w:rPr>
            </w:pPr>
            <w:r>
              <w:rPr>
                <w:rFonts w:ascii="Arial" w:cs="Arial" w:eastAsia="Arial" w:hAnsi="Arial"/>
                <w:sz w:val="9"/>
                <w:szCs w:val="9"/>
                <w:b w:val="1"/>
                <w:bCs w:val="1"/>
                <w:color w:val="auto"/>
              </w:rPr>
              <w:t>Full Year</w:t>
            </w:r>
          </w:p>
        </w:tc>
        <w:tc>
          <w:tcPr>
            <w:tcW w:w="160" w:type="dxa"/>
            <w:vAlign w:val="bottom"/>
          </w:tcPr>
          <w:p>
            <w:pPr>
              <w:spacing w:after="0"/>
              <w:rPr>
                <w:sz w:val="10"/>
                <w:szCs w:val="10"/>
                <w:color w:val="auto"/>
              </w:rPr>
            </w:pPr>
          </w:p>
        </w:tc>
        <w:tc>
          <w:tcPr>
            <w:tcW w:w="620" w:type="dxa"/>
            <w:vAlign w:val="bottom"/>
          </w:tcPr>
          <w:p>
            <w:pPr>
              <w:jc w:val="center"/>
              <w:ind w:right="135"/>
              <w:spacing w:after="0"/>
              <w:rPr>
                <w:sz w:val="20"/>
                <w:szCs w:val="20"/>
                <w:color w:val="auto"/>
              </w:rPr>
            </w:pPr>
            <w:r>
              <w:rPr>
                <w:rFonts w:ascii="Arial" w:cs="Arial" w:eastAsia="Arial" w:hAnsi="Arial"/>
                <w:sz w:val="9"/>
                <w:szCs w:val="9"/>
                <w:b w:val="1"/>
                <w:bCs w:val="1"/>
                <w:color w:val="auto"/>
                <w:w w:val="99"/>
              </w:rPr>
              <w:t>1Q</w:t>
            </w:r>
          </w:p>
        </w:tc>
      </w:tr>
      <w:tr>
        <w:trPr>
          <w:trHeight w:val="142"/>
        </w:trPr>
        <w:tc>
          <w:tcPr>
            <w:tcW w:w="6140" w:type="dxa"/>
            <w:vAlign w:val="bottom"/>
          </w:tcPr>
          <w:p>
            <w:pPr>
              <w:spacing w:after="0"/>
              <w:rPr>
                <w:sz w:val="20"/>
                <w:szCs w:val="20"/>
                <w:color w:val="auto"/>
              </w:rPr>
            </w:pPr>
            <w:r>
              <w:rPr>
                <w:rFonts w:ascii="Arial" w:cs="Arial" w:eastAsia="Arial" w:hAnsi="Arial"/>
                <w:sz w:val="9"/>
                <w:szCs w:val="9"/>
                <w:b w:val="1"/>
                <w:bCs w:val="1"/>
                <w:color w:val="auto"/>
              </w:rPr>
              <w:t>EPS:</w:t>
            </w: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r>
      <w:tr>
        <w:trPr>
          <w:trHeight w:val="122"/>
        </w:trPr>
        <w:tc>
          <w:tcPr>
            <w:tcW w:w="6140" w:type="dxa"/>
            <w:vAlign w:val="bottom"/>
          </w:tcPr>
          <w:p>
            <w:pPr>
              <w:spacing w:after="0"/>
              <w:rPr>
                <w:sz w:val="20"/>
                <w:szCs w:val="20"/>
                <w:color w:val="auto"/>
              </w:rPr>
            </w:pPr>
            <w:r>
              <w:rPr>
                <w:rFonts w:ascii="Arial" w:cs="Arial" w:eastAsia="Arial" w:hAnsi="Arial"/>
                <w:sz w:val="9"/>
                <w:szCs w:val="9"/>
                <w:color w:val="auto"/>
              </w:rPr>
              <w:t>GAAP</w:t>
            </w:r>
          </w:p>
        </w:tc>
        <w:tc>
          <w:tcPr>
            <w:tcW w:w="500" w:type="dxa"/>
            <w:vAlign w:val="bottom"/>
          </w:tcPr>
          <w:p>
            <w:pPr>
              <w:jc w:val="right"/>
              <w:ind w:right="375"/>
              <w:spacing w:after="0"/>
              <w:rPr>
                <w:sz w:val="20"/>
                <w:szCs w:val="20"/>
                <w:color w:val="auto"/>
              </w:rPr>
            </w:pPr>
            <w:r>
              <w:rPr>
                <w:rFonts w:ascii="Arial" w:cs="Arial" w:eastAsia="Arial" w:hAnsi="Arial"/>
                <w:sz w:val="9"/>
                <w:szCs w:val="9"/>
                <w:color w:val="auto"/>
              </w:rPr>
              <w:t>$</w:t>
            </w: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1.19</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1.03</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0.86</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1.62</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4.70</w:t>
            </w:r>
          </w:p>
        </w:tc>
        <w:tc>
          <w:tcPr>
            <w:tcW w:w="100" w:type="dxa"/>
            <w:vAlign w:val="bottom"/>
          </w:tcPr>
          <w:p>
            <w:pPr>
              <w:spacing w:after="0"/>
              <w:rPr>
                <w:sz w:val="10"/>
                <w:szCs w:val="10"/>
                <w:color w:val="auto"/>
              </w:rPr>
            </w:pPr>
          </w:p>
        </w:tc>
        <w:tc>
          <w:tcPr>
            <w:tcW w:w="160" w:type="dxa"/>
            <w:vAlign w:val="bottom"/>
          </w:tcPr>
          <w:p>
            <w:pPr>
              <w:jc w:val="right"/>
              <w:ind w:right="55"/>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0.77</w:t>
            </w:r>
          </w:p>
        </w:tc>
      </w:tr>
      <w:tr>
        <w:trPr>
          <w:trHeight w:val="131"/>
        </w:trPr>
        <w:tc>
          <w:tcPr>
            <w:tcW w:w="6140" w:type="dxa"/>
            <w:vAlign w:val="bottom"/>
          </w:tcPr>
          <w:p>
            <w:pPr>
              <w:ind w:left="80"/>
              <w:spacing w:after="0"/>
              <w:rPr>
                <w:sz w:val="20"/>
                <w:szCs w:val="20"/>
                <w:color w:val="auto"/>
              </w:rPr>
            </w:pPr>
            <w:r>
              <w:rPr>
                <w:rFonts w:ascii="Arial" w:cs="Arial" w:eastAsia="Arial" w:hAnsi="Arial"/>
                <w:sz w:val="9"/>
                <w:szCs w:val="9"/>
                <w:color w:val="auto"/>
              </w:rPr>
              <w:t>Reorganization and Restructuring costs</w:t>
            </w:r>
            <w:r>
              <w:rPr>
                <w:rFonts w:ascii="Arial" w:cs="Arial" w:eastAsia="Arial" w:hAnsi="Arial"/>
                <w:sz w:val="11"/>
                <w:szCs w:val="11"/>
                <w:color w:val="auto"/>
                <w:vertAlign w:val="superscript"/>
              </w:rPr>
              <w:t>(a)</w:t>
            </w:r>
          </w:p>
        </w:tc>
        <w:tc>
          <w:tcPr>
            <w:tcW w:w="500" w:type="dxa"/>
            <w:vAlign w:val="bottom"/>
          </w:tcPr>
          <w:p>
            <w:pPr>
              <w:spacing w:after="0"/>
              <w:rPr>
                <w:sz w:val="11"/>
                <w:szCs w:val="11"/>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0.01</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0.01</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0.01</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0.03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Acquisitions and dispositions</w:t>
            </w:r>
            <w:r>
              <w:rPr>
                <w:rFonts w:ascii="Arial" w:cs="Arial" w:eastAsia="Arial" w:hAnsi="Arial"/>
                <w:sz w:val="11"/>
                <w:szCs w:val="11"/>
                <w:color w:val="auto"/>
                <w:vertAlign w:val="superscript"/>
              </w:rPr>
              <w:t>(a)</w:t>
            </w:r>
          </w:p>
        </w:tc>
        <w:tc>
          <w:tcPr>
            <w:tcW w:w="500" w:type="dxa"/>
            <w:vAlign w:val="bottom"/>
          </w:tcPr>
          <w:p>
            <w:pPr>
              <w:spacing w:after="0"/>
              <w:rPr>
                <w:sz w:val="10"/>
                <w:szCs w:val="10"/>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0.40</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0.36</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0.37</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0.39</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1.52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0.28</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Argentina highly inflationary impact</w:t>
            </w:r>
            <w:r>
              <w:rPr>
                <w:rFonts w:ascii="Arial" w:cs="Arial" w:eastAsia="Arial" w:hAnsi="Arial"/>
                <w:sz w:val="11"/>
                <w:szCs w:val="11"/>
                <w:color w:val="auto"/>
                <w:vertAlign w:val="superscript"/>
              </w:rPr>
              <w:t>(a)</w:t>
            </w:r>
          </w:p>
        </w:tc>
        <w:tc>
          <w:tcPr>
            <w:tcW w:w="500" w:type="dxa"/>
            <w:vAlign w:val="bottom"/>
          </w:tcPr>
          <w:p>
            <w:pPr>
              <w:spacing w:after="0"/>
              <w:rPr>
                <w:sz w:val="10"/>
                <w:szCs w:val="10"/>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0.17</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0.05</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0.13</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0.29</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0.63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0.02</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NCR Atleos acquisition and transformation initiatives</w:t>
            </w:r>
            <w:r>
              <w:rPr>
                <w:rFonts w:ascii="Arial" w:cs="Arial" w:eastAsia="Arial" w:hAnsi="Arial"/>
                <w:sz w:val="11"/>
                <w:szCs w:val="11"/>
                <w:color w:val="auto"/>
                <w:vertAlign w:val="superscript"/>
              </w:rPr>
              <w:t>(a)</w:t>
            </w:r>
          </w:p>
        </w:tc>
        <w:tc>
          <w:tcPr>
            <w:tcW w:w="500" w:type="dxa"/>
            <w:vAlign w:val="bottom"/>
          </w:tcPr>
          <w:p>
            <w:pPr>
              <w:spacing w:after="0"/>
              <w:rPr>
                <w:sz w:val="10"/>
                <w:szCs w:val="10"/>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0.11</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0.13</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0.19</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0.17</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0.59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0.82</w:t>
            </w:r>
          </w:p>
        </w:tc>
      </w:tr>
      <w:tr>
        <w:trPr>
          <w:trHeight w:val="135"/>
        </w:trPr>
        <w:tc>
          <w:tcPr>
            <w:tcW w:w="6140" w:type="dxa"/>
            <w:vAlign w:val="bottom"/>
          </w:tcPr>
          <w:p>
            <w:pPr>
              <w:ind w:left="80"/>
              <w:spacing w:after="0"/>
              <w:rPr>
                <w:sz w:val="20"/>
                <w:szCs w:val="20"/>
                <w:color w:val="auto"/>
              </w:rPr>
            </w:pPr>
            <w:r>
              <w:rPr>
                <w:rFonts w:ascii="Arial" w:cs="Arial" w:eastAsia="Arial" w:hAnsi="Arial"/>
                <w:sz w:val="9"/>
                <w:szCs w:val="9"/>
                <w:color w:val="auto"/>
              </w:rPr>
              <w:t>Non-routine legal maters</w:t>
            </w:r>
            <w:r>
              <w:rPr>
                <w:rFonts w:ascii="Arial" w:cs="Arial" w:eastAsia="Arial" w:hAnsi="Arial"/>
                <w:sz w:val="11"/>
                <w:szCs w:val="11"/>
                <w:color w:val="auto"/>
                <w:vertAlign w:val="superscript"/>
              </w:rPr>
              <w:t>(a)</w:t>
            </w:r>
          </w:p>
        </w:tc>
        <w:tc>
          <w:tcPr>
            <w:tcW w:w="500" w:type="dxa"/>
            <w:vAlign w:val="bottom"/>
          </w:tcPr>
          <w:p>
            <w:pPr>
              <w:spacing w:after="0"/>
              <w:rPr>
                <w:sz w:val="11"/>
                <w:szCs w:val="11"/>
                <w:color w:val="auto"/>
              </w:rPr>
            </w:pPr>
          </w:p>
        </w:tc>
        <w:tc>
          <w:tcPr>
            <w:tcW w:w="880" w:type="dxa"/>
            <w:vAlign w:val="bottom"/>
            <w:gridSpan w:val="3"/>
          </w:tcPr>
          <w:p>
            <w:pPr>
              <w:jc w:val="right"/>
              <w:ind w:right="595"/>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0.05</w:t>
            </w:r>
          </w:p>
        </w:tc>
      </w:tr>
      <w:tr>
        <w:trPr>
          <w:trHeight w:val="144"/>
        </w:trPr>
        <w:tc>
          <w:tcPr>
            <w:tcW w:w="6140" w:type="dxa"/>
            <w:vAlign w:val="bottom"/>
          </w:tcPr>
          <w:p>
            <w:pPr>
              <w:ind w:left="80"/>
              <w:spacing w:after="0"/>
              <w:rPr>
                <w:sz w:val="20"/>
                <w:szCs w:val="20"/>
                <w:color w:val="auto"/>
              </w:rPr>
            </w:pPr>
            <w:r>
              <w:rPr>
                <w:rFonts w:ascii="Arial" w:cs="Arial" w:eastAsia="Arial" w:hAnsi="Arial"/>
                <w:sz w:val="9"/>
                <w:szCs w:val="9"/>
                <w:color w:val="auto"/>
              </w:rPr>
              <w:t>DOJ/FinCEN investigations</w:t>
            </w:r>
            <w:r>
              <w:rPr>
                <w:rFonts w:ascii="Arial" w:cs="Arial" w:eastAsia="Arial" w:hAnsi="Arial"/>
                <w:sz w:val="11"/>
                <w:szCs w:val="11"/>
                <w:color w:val="auto"/>
                <w:vertAlign w:val="superscript"/>
              </w:rPr>
              <w:t>(a)</w:t>
            </w:r>
          </w:p>
        </w:tc>
        <w:tc>
          <w:tcPr>
            <w:tcW w:w="500" w:type="dxa"/>
            <w:vAlign w:val="bottom"/>
          </w:tcPr>
          <w:p>
            <w:pPr>
              <w:spacing w:after="0"/>
              <w:rPr>
                <w:sz w:val="12"/>
                <w:szCs w:val="12"/>
                <w:color w:val="auto"/>
              </w:rPr>
            </w:pPr>
          </w:p>
        </w:tc>
        <w:tc>
          <w:tcPr>
            <w:tcW w:w="300" w:type="dxa"/>
            <w:vAlign w:val="bottom"/>
          </w:tcPr>
          <w:p>
            <w:pPr>
              <w:jc w:val="right"/>
              <w:ind w:right="15"/>
              <w:spacing w:after="0"/>
              <w:rPr>
                <w:sz w:val="20"/>
                <w:szCs w:val="20"/>
                <w:color w:val="auto"/>
              </w:rPr>
            </w:pPr>
            <w:r>
              <w:rPr>
                <w:rFonts w:ascii="Arial" w:cs="Arial" w:eastAsia="Arial" w:hAnsi="Arial"/>
                <w:sz w:val="9"/>
                <w:szCs w:val="9"/>
                <w:color w:val="auto"/>
              </w:rPr>
              <w:t>0.02</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0.02</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0.09</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0.02</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0.02</w:t>
            </w:r>
          </w:p>
        </w:tc>
      </w:tr>
      <w:tr>
        <w:trPr>
          <w:trHeight w:val="135"/>
        </w:trPr>
        <w:tc>
          <w:tcPr>
            <w:tcW w:w="6140" w:type="dxa"/>
            <w:vAlign w:val="bottom"/>
          </w:tcPr>
          <w:p>
            <w:pPr>
              <w:ind w:left="80"/>
              <w:spacing w:after="0"/>
              <w:rPr>
                <w:sz w:val="20"/>
                <w:szCs w:val="20"/>
                <w:color w:val="auto"/>
              </w:rPr>
            </w:pPr>
            <w:r>
              <w:rPr>
                <w:rFonts w:ascii="Arial" w:cs="Arial" w:eastAsia="Arial" w:hAnsi="Arial"/>
                <w:sz w:val="9"/>
                <w:szCs w:val="9"/>
                <w:color w:val="auto"/>
              </w:rPr>
              <w:t>Chile antitrust matter</w:t>
            </w:r>
            <w:r>
              <w:rPr>
                <w:rFonts w:ascii="Arial" w:cs="Arial" w:eastAsia="Arial" w:hAnsi="Arial"/>
                <w:sz w:val="11"/>
                <w:szCs w:val="11"/>
                <w:color w:val="auto"/>
                <w:vertAlign w:val="superscript"/>
              </w:rPr>
              <w:t>(a)</w:t>
            </w:r>
          </w:p>
        </w:tc>
        <w:tc>
          <w:tcPr>
            <w:tcW w:w="500" w:type="dxa"/>
            <w:vAlign w:val="bottom"/>
          </w:tcPr>
          <w:p>
            <w:pPr>
              <w:spacing w:after="0"/>
              <w:rPr>
                <w:sz w:val="11"/>
                <w:szCs w:val="11"/>
                <w:color w:val="auto"/>
              </w:rPr>
            </w:pPr>
          </w:p>
        </w:tc>
        <w:tc>
          <w:tcPr>
            <w:tcW w:w="880" w:type="dxa"/>
            <w:vAlign w:val="bottom"/>
            <w:gridSpan w:val="3"/>
          </w:tcPr>
          <w:p>
            <w:pPr>
              <w:jc w:val="right"/>
              <w:ind w:right="595"/>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0.01</w:t>
            </w:r>
          </w:p>
        </w:tc>
        <w:tc>
          <w:tcPr>
            <w:tcW w:w="8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0.01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Non-routine auto loss matter</w:t>
            </w:r>
            <w:r>
              <w:rPr>
                <w:rFonts w:ascii="Arial" w:cs="Arial" w:eastAsia="Arial" w:hAnsi="Arial"/>
                <w:sz w:val="11"/>
                <w:szCs w:val="11"/>
                <w:color w:val="auto"/>
                <w:vertAlign w:val="superscript"/>
              </w:rPr>
              <w:t>(a)</w:t>
            </w:r>
          </w:p>
        </w:tc>
        <w:tc>
          <w:tcPr>
            <w:tcW w:w="500" w:type="dxa"/>
            <w:vAlign w:val="bottom"/>
          </w:tcPr>
          <w:p>
            <w:pPr>
              <w:spacing w:after="0"/>
              <w:rPr>
                <w:sz w:val="10"/>
                <w:szCs w:val="10"/>
                <w:color w:val="auto"/>
              </w:rPr>
            </w:pPr>
          </w:p>
        </w:tc>
        <w:tc>
          <w:tcPr>
            <w:tcW w:w="880" w:type="dxa"/>
            <w:vAlign w:val="bottom"/>
            <w:gridSpan w:val="3"/>
          </w:tcPr>
          <w:p>
            <w:pPr>
              <w:jc w:val="right"/>
              <w:ind w:right="595"/>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0.02</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0.02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Argentina debt securities impairment</w:t>
            </w:r>
            <w:r>
              <w:rPr>
                <w:rFonts w:ascii="Arial" w:cs="Arial" w:eastAsia="Arial" w:hAnsi="Arial"/>
                <w:sz w:val="11"/>
                <w:szCs w:val="11"/>
                <w:color w:val="auto"/>
                <w:vertAlign w:val="superscript"/>
              </w:rPr>
              <w:t>(f)</w:t>
            </w:r>
          </w:p>
        </w:tc>
        <w:tc>
          <w:tcPr>
            <w:tcW w:w="500" w:type="dxa"/>
            <w:vAlign w:val="bottom"/>
          </w:tcPr>
          <w:p>
            <w:pPr>
              <w:spacing w:after="0"/>
              <w:rPr>
                <w:sz w:val="10"/>
                <w:szCs w:val="10"/>
                <w:color w:val="auto"/>
              </w:rPr>
            </w:pPr>
          </w:p>
        </w:tc>
        <w:tc>
          <w:tcPr>
            <w:tcW w:w="880" w:type="dxa"/>
            <w:vAlign w:val="bottom"/>
            <w:gridSpan w:val="3"/>
          </w:tcPr>
          <w:p>
            <w:pPr>
              <w:jc w:val="right"/>
              <w:ind w:right="595"/>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0.02</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0.02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Retirement plans</w:t>
            </w:r>
            <w:r>
              <w:rPr>
                <w:rFonts w:ascii="Arial" w:cs="Arial" w:eastAsia="Arial" w:hAnsi="Arial"/>
                <w:sz w:val="11"/>
                <w:szCs w:val="11"/>
                <w:color w:val="auto"/>
                <w:vertAlign w:val="superscript"/>
              </w:rPr>
              <w:t>(b)</w:t>
            </w:r>
          </w:p>
        </w:tc>
        <w:tc>
          <w:tcPr>
            <w:tcW w:w="5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(0.02)</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(0.03)</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(0.03)</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(0.03)</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(0.11)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0.03</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Tax on return of capital</w:t>
            </w:r>
            <w:r>
              <w:rPr>
                <w:rFonts w:ascii="Arial" w:cs="Arial" w:eastAsia="Arial" w:hAnsi="Arial"/>
                <w:sz w:val="11"/>
                <w:szCs w:val="11"/>
                <w:color w:val="auto"/>
                <w:vertAlign w:val="superscript"/>
              </w:rPr>
              <w:t>(b)</w:t>
            </w:r>
          </w:p>
        </w:tc>
        <w:tc>
          <w:tcPr>
            <w:tcW w:w="500" w:type="dxa"/>
            <w:vAlign w:val="bottom"/>
          </w:tcPr>
          <w:p>
            <w:pPr>
              <w:spacing w:after="0"/>
              <w:rPr>
                <w:sz w:val="10"/>
                <w:szCs w:val="10"/>
                <w:color w:val="auto"/>
              </w:rPr>
            </w:pPr>
          </w:p>
        </w:tc>
        <w:tc>
          <w:tcPr>
            <w:tcW w:w="880" w:type="dxa"/>
            <w:vAlign w:val="bottom"/>
            <w:gridSpan w:val="3"/>
          </w:tcPr>
          <w:p>
            <w:pPr>
              <w:jc w:val="right"/>
              <w:ind w:right="595"/>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0.13</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0.13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6"/>
        </w:trPr>
        <w:tc>
          <w:tcPr>
            <w:tcW w:w="6140" w:type="dxa"/>
            <w:vAlign w:val="bottom"/>
          </w:tcPr>
          <w:p>
            <w:pPr>
              <w:ind w:left="80"/>
              <w:spacing w:after="0"/>
              <w:rPr>
                <w:sz w:val="20"/>
                <w:szCs w:val="20"/>
                <w:color w:val="auto"/>
              </w:rPr>
            </w:pPr>
            <w:r>
              <w:rPr>
                <w:rFonts w:ascii="Arial" w:cs="Arial" w:eastAsia="Arial" w:hAnsi="Arial"/>
                <w:sz w:val="9"/>
                <w:szCs w:val="9"/>
                <w:color w:val="auto"/>
              </w:rPr>
              <w:t>Valuation allowance on tax credits</w:t>
            </w:r>
            <w:r>
              <w:rPr>
                <w:rFonts w:ascii="Arial" w:cs="Arial" w:eastAsia="Arial" w:hAnsi="Arial"/>
                <w:sz w:val="11"/>
                <w:szCs w:val="11"/>
                <w:color w:val="auto"/>
                <w:vertAlign w:val="superscript"/>
              </w:rPr>
              <w:t>(b)</w:t>
            </w:r>
          </w:p>
        </w:tc>
        <w:tc>
          <w:tcPr>
            <w:tcW w:w="500" w:type="dxa"/>
            <w:vAlign w:val="bottom"/>
          </w:tcPr>
          <w:p>
            <w:pPr>
              <w:spacing w:after="0"/>
              <w:rPr>
                <w:sz w:val="10"/>
                <w:szCs w:val="10"/>
                <w:color w:val="auto"/>
              </w:rPr>
            </w:pPr>
          </w:p>
        </w:tc>
        <w:tc>
          <w:tcPr>
            <w:tcW w:w="880" w:type="dxa"/>
            <w:vAlign w:val="bottom"/>
            <w:gridSpan w:val="3"/>
          </w:tcPr>
          <w:p>
            <w:pPr>
              <w:jc w:val="right"/>
              <w:ind w:right="595"/>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0.39</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(0.05)</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0.34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9"/>
        </w:trPr>
        <w:tc>
          <w:tcPr>
            <w:tcW w:w="6140" w:type="dxa"/>
            <w:vAlign w:val="bottom"/>
          </w:tcPr>
          <w:p>
            <w:pPr>
              <w:ind w:left="80"/>
              <w:spacing w:after="0"/>
              <w:rPr>
                <w:sz w:val="20"/>
                <w:szCs w:val="20"/>
                <w:color w:val="auto"/>
              </w:rPr>
            </w:pPr>
            <w:r>
              <w:rPr>
                <w:rFonts w:ascii="Arial" w:cs="Arial" w:eastAsia="Arial" w:hAnsi="Arial"/>
                <w:sz w:val="9"/>
                <w:szCs w:val="9"/>
                <w:color w:val="auto"/>
              </w:rPr>
              <w:t>Income tax rate adjustment</w:t>
            </w:r>
            <w:r>
              <w:rPr>
                <w:rFonts w:ascii="Arial" w:cs="Arial" w:eastAsia="Arial" w:hAnsi="Arial"/>
                <w:sz w:val="11"/>
                <w:szCs w:val="11"/>
                <w:color w:val="auto"/>
                <w:vertAlign w:val="superscript"/>
              </w:rPr>
              <w:t>(c)</w:t>
            </w:r>
          </w:p>
        </w:tc>
        <w:tc>
          <w:tcPr>
            <w:tcW w:w="5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(0.25)</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0.25</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0.05</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(0.04)</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(0.20)</w:t>
            </w:r>
          </w:p>
        </w:tc>
      </w:tr>
      <w:tr>
        <w:trPr>
          <w:trHeight w:val="111"/>
        </w:trPr>
        <w:tc>
          <w:tcPr>
            <w:tcW w:w="6140" w:type="dxa"/>
            <w:vAlign w:val="bottom"/>
          </w:tcPr>
          <w:p>
            <w:pPr>
              <w:spacing w:after="0"/>
              <w:rPr>
                <w:sz w:val="20"/>
                <w:szCs w:val="20"/>
                <w:color w:val="auto"/>
              </w:rPr>
            </w:pPr>
            <w:r>
              <w:rPr>
                <w:rFonts w:ascii="Arial" w:cs="Arial" w:eastAsia="Arial" w:hAnsi="Arial"/>
                <w:sz w:val="9"/>
                <w:szCs w:val="9"/>
                <w:color w:val="auto"/>
              </w:rPr>
              <w:t>Non-GAAP</w:t>
            </w:r>
          </w:p>
        </w:tc>
        <w:tc>
          <w:tcPr>
            <w:tcW w:w="5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9"/>
                <w:szCs w:val="9"/>
                <w:color w:val="auto"/>
              </w:rPr>
              <w:t>$</w:t>
            </w:r>
          </w:p>
        </w:tc>
        <w:tc>
          <w:tcPr>
            <w:tcW w:w="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1.62</w:t>
            </w: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1.81</w:t>
            </w:r>
          </w:p>
        </w:tc>
        <w:tc>
          <w:tcPr>
            <w:tcW w:w="100" w:type="dxa"/>
            <w:vAlign w:val="bottom"/>
          </w:tcPr>
          <w:p>
            <w:pPr>
              <w:spacing w:after="0"/>
              <w:rPr>
                <w:sz w:val="9"/>
                <w:szCs w:val="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2.09</w:t>
            </w:r>
          </w:p>
        </w:tc>
        <w:tc>
          <w:tcPr>
            <w:tcW w:w="80" w:type="dxa"/>
            <w:vAlign w:val="bottom"/>
          </w:tcPr>
          <w:p>
            <w:pPr>
              <w:spacing w:after="0"/>
              <w:rPr>
                <w:sz w:val="9"/>
                <w:szCs w:val="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2.54</w:t>
            </w:r>
          </w:p>
        </w:tc>
        <w:tc>
          <w:tcPr>
            <w:tcW w:w="100" w:type="dxa"/>
            <w:vAlign w:val="bottom"/>
          </w:tcPr>
          <w:p>
            <w:pPr>
              <w:spacing w:after="0"/>
              <w:rPr>
                <w:sz w:val="9"/>
                <w:szCs w:val="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8.05</w:t>
            </w:r>
          </w:p>
        </w:tc>
        <w:tc>
          <w:tcPr>
            <w:tcW w:w="10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1.80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8"/>
          <w:szCs w:val="8"/>
          <w:color w:val="auto"/>
        </w:rPr>
        <w:t>Amounts may not add due to rounding.</w:t>
      </w:r>
    </w:p>
    <w:p>
      <w:pPr>
        <w:spacing w:after="0" w:line="178" w:lineRule="exact"/>
        <w:rPr>
          <w:sz w:val="20"/>
          <w:szCs w:val="20"/>
          <w:color w:val="auto"/>
        </w:rPr>
      </w:pPr>
    </w:p>
    <w:p>
      <w:pPr>
        <w:ind w:left="420" w:hanging="212"/>
        <w:spacing w:after="0"/>
        <w:tabs>
          <w:tab w:leader="none" w:pos="420" w:val="left"/>
        </w:tabs>
        <w:numPr>
          <w:ilvl w:val="0"/>
          <w:numId w:val="11"/>
        </w:numPr>
        <w:rPr>
          <w:rFonts w:ascii="Arial" w:cs="Arial" w:eastAsia="Arial" w:hAnsi="Arial"/>
          <w:sz w:val="8"/>
          <w:szCs w:val="8"/>
          <w:color w:val="auto"/>
        </w:rPr>
      </w:pPr>
      <w:r>
        <w:rPr>
          <w:rFonts w:ascii="Arial" w:cs="Arial" w:eastAsia="Arial" w:hAnsi="Arial"/>
          <w:sz w:val="8"/>
          <w:szCs w:val="8"/>
          <w:color w:val="auto"/>
        </w:rPr>
        <w:t>See “Other Items Not Allocated To Segments” on pages 9-10 for details.</w:t>
      </w:r>
    </w:p>
    <w:p>
      <w:pPr>
        <w:spacing w:after="0" w:line="15" w:lineRule="exact"/>
        <w:rPr>
          <w:rFonts w:ascii="Arial" w:cs="Arial" w:eastAsia="Arial" w:hAnsi="Arial"/>
          <w:sz w:val="8"/>
          <w:szCs w:val="8"/>
          <w:color w:val="auto"/>
        </w:rPr>
      </w:pPr>
    </w:p>
    <w:p>
      <w:pPr>
        <w:ind w:left="420" w:hanging="212"/>
        <w:spacing w:after="0"/>
        <w:tabs>
          <w:tab w:leader="none" w:pos="420" w:val="left"/>
        </w:tabs>
        <w:numPr>
          <w:ilvl w:val="0"/>
          <w:numId w:val="11"/>
        </w:numPr>
        <w:rPr>
          <w:rFonts w:ascii="Arial" w:cs="Arial" w:eastAsia="Arial" w:hAnsi="Arial"/>
          <w:sz w:val="8"/>
          <w:szCs w:val="8"/>
          <w:color w:val="auto"/>
        </w:rPr>
      </w:pPr>
      <w:r>
        <w:rPr>
          <w:rFonts w:ascii="Arial" w:cs="Arial" w:eastAsia="Arial" w:hAnsi="Arial"/>
          <w:sz w:val="8"/>
          <w:szCs w:val="8"/>
          <w:color w:val="auto"/>
        </w:rPr>
        <w:t>See "Reconciliations of Non-GAAP to GAAP Measures" on page 12 for details.</w:t>
      </w:r>
    </w:p>
    <w:p>
      <w:pPr>
        <w:spacing w:after="0" w:line="7" w:lineRule="exact"/>
        <w:rPr>
          <w:rFonts w:ascii="Arial" w:cs="Arial" w:eastAsia="Arial" w:hAnsi="Arial"/>
          <w:sz w:val="8"/>
          <w:szCs w:val="8"/>
          <w:color w:val="auto"/>
        </w:rPr>
      </w:pPr>
    </w:p>
    <w:p>
      <w:pPr>
        <w:ind w:left="420" w:right="200" w:hanging="212"/>
        <w:spacing w:after="0" w:line="258" w:lineRule="auto"/>
        <w:tabs>
          <w:tab w:leader="none" w:pos="419" w:val="left"/>
        </w:tabs>
        <w:numPr>
          <w:ilvl w:val="0"/>
          <w:numId w:val="11"/>
        </w:numPr>
        <w:rPr>
          <w:rFonts w:ascii="Arial" w:cs="Arial" w:eastAsia="Arial" w:hAnsi="Arial"/>
          <w:sz w:val="8"/>
          <w:szCs w:val="8"/>
          <w:color w:val="auto"/>
        </w:rPr>
      </w:pPr>
      <w:r>
        <w:rPr>
          <w:rFonts w:ascii="Arial" w:cs="Arial" w:eastAsia="Arial" w:hAnsi="Arial"/>
          <w:sz w:val="8"/>
          <w:szCs w:val="8"/>
          <w:color w:val="auto"/>
        </w:rPr>
        <w:t>Non-GAAP income from continuing operations and non-GAAP EPS have been adjusted to reflect an effective income tax rate in each interim period equal to the full-year non-GAAP effective income tax rate. The full-year non-GAAP effective tax rate is estimated at 27.6% for 2026 and was 27.5% for 2025.</w:t>
      </w:r>
    </w:p>
    <w:p>
      <w:pPr>
        <w:ind w:left="420" w:hanging="212"/>
        <w:spacing w:after="0"/>
        <w:tabs>
          <w:tab w:leader="none" w:pos="420" w:val="left"/>
        </w:tabs>
        <w:numPr>
          <w:ilvl w:val="0"/>
          <w:numId w:val="11"/>
        </w:numPr>
        <w:rPr>
          <w:rFonts w:ascii="Arial" w:cs="Arial" w:eastAsia="Arial" w:hAnsi="Arial"/>
          <w:sz w:val="8"/>
          <w:szCs w:val="8"/>
          <w:color w:val="auto"/>
        </w:rPr>
      </w:pPr>
      <w:r>
        <w:rPr>
          <w:rFonts w:ascii="Arial" w:cs="Arial" w:eastAsia="Arial" w:hAnsi="Arial"/>
          <w:sz w:val="8"/>
          <w:szCs w:val="8"/>
          <w:color w:val="auto"/>
        </w:rPr>
        <w:t>There is no difference between GAAP and non-GAAP share-based compensation amounts for the periods presented.</w:t>
      </w:r>
    </w:p>
    <w:p>
      <w:pPr>
        <w:spacing w:after="0" w:line="7" w:lineRule="exact"/>
        <w:rPr>
          <w:rFonts w:ascii="Arial" w:cs="Arial" w:eastAsia="Arial" w:hAnsi="Arial"/>
          <w:sz w:val="8"/>
          <w:szCs w:val="8"/>
          <w:color w:val="auto"/>
        </w:rPr>
      </w:pPr>
    </w:p>
    <w:p>
      <w:pPr>
        <w:ind w:left="420" w:right="80" w:hanging="212"/>
        <w:spacing w:after="0" w:line="270" w:lineRule="auto"/>
        <w:tabs>
          <w:tab w:leader="none" w:pos="415" w:val="left"/>
        </w:tabs>
        <w:numPr>
          <w:ilvl w:val="0"/>
          <w:numId w:val="11"/>
        </w:numPr>
        <w:rPr>
          <w:rFonts w:ascii="Arial" w:cs="Arial" w:eastAsia="Arial" w:hAnsi="Arial"/>
          <w:sz w:val="8"/>
          <w:szCs w:val="8"/>
          <w:color w:val="auto"/>
        </w:rPr>
      </w:pPr>
      <w:r>
        <w:rPr>
          <w:rFonts w:ascii="Arial" w:cs="Arial" w:eastAsia="Arial" w:hAnsi="Arial"/>
          <w:sz w:val="8"/>
          <w:szCs w:val="8"/>
          <w:color w:val="auto"/>
        </w:rPr>
        <w:t>Due to the impact of Argentina highly inflationary accounting, there was a $1.0 million non-GAAP adjustment for a loss in the first quarter of 2025, a $3.7 million non-GAAP adjustment for a loss in the second quarter of 2025, a $0.9 million non-GAAP adjustment for a loss in the third quarter of 2025, a $6.9 million non-GAAP adjustment for a loss in the fourth quarter of 2025, and a $1.6 million non-GAAP adjustment for a loss in the first quarter of 2026.</w:t>
      </w:r>
    </w:p>
    <w:p>
      <w:pPr>
        <w:ind w:left="420" w:hanging="212"/>
        <w:spacing w:after="0"/>
        <w:tabs>
          <w:tab w:leader="none" w:pos="420" w:val="left"/>
        </w:tabs>
        <w:numPr>
          <w:ilvl w:val="0"/>
          <w:numId w:val="11"/>
        </w:numPr>
        <w:rPr>
          <w:rFonts w:ascii="Arial" w:cs="Arial" w:eastAsia="Arial" w:hAnsi="Arial"/>
          <w:sz w:val="8"/>
          <w:szCs w:val="8"/>
          <w:color w:val="auto"/>
        </w:rPr>
      </w:pPr>
      <w:r>
        <w:rPr>
          <w:rFonts w:ascii="Arial" w:cs="Arial" w:eastAsia="Arial" w:hAnsi="Arial"/>
          <w:sz w:val="8"/>
          <w:szCs w:val="8"/>
          <w:color w:val="auto"/>
        </w:rPr>
        <w:t>Related to the impairment of specific debt securities in Argentina in 2025.</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7380" w:type="dxa"/>
            <w:vAlign w:val="bottom"/>
          </w:tcPr>
          <w:p>
            <w:pPr>
              <w:spacing w:after="0"/>
              <w:rPr>
                <w:sz w:val="8"/>
                <w:szCs w:val="8"/>
                <w:color w:val="auto"/>
              </w:rPr>
            </w:pPr>
          </w:p>
        </w:tc>
        <w:tc>
          <w:tcPr>
            <w:tcW w:w="880" w:type="dxa"/>
            <w:vAlign w:val="bottom"/>
            <w:vMerge w:val="restart"/>
          </w:tcPr>
          <w:p>
            <w:pPr>
              <w:jc w:val="right"/>
              <w:ind w:right="15"/>
              <w:spacing w:after="0"/>
              <w:rPr>
                <w:sz w:val="20"/>
                <w:szCs w:val="20"/>
                <w:color w:val="auto"/>
              </w:rPr>
            </w:pPr>
            <w:r>
              <w:rPr>
                <w:rFonts w:ascii="Arial" w:cs="Arial" w:eastAsia="Arial" w:hAnsi="Arial"/>
                <w:sz w:val="9"/>
                <w:szCs w:val="9"/>
                <w:b w:val="1"/>
                <w:bCs w:val="1"/>
                <w:color w:val="auto"/>
              </w:rPr>
              <w:t>Full Year</w:t>
            </w: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3"/>
          </w:tcPr>
          <w:p>
            <w:pPr>
              <w:jc w:val="center"/>
              <w:ind w:left="495"/>
              <w:spacing w:after="0"/>
              <w:rPr>
                <w:sz w:val="20"/>
                <w:szCs w:val="20"/>
                <w:color w:val="auto"/>
              </w:rPr>
            </w:pPr>
            <w:r>
              <w:rPr>
                <w:rFonts w:ascii="Arial" w:cs="Arial" w:eastAsia="Arial" w:hAnsi="Arial"/>
                <w:sz w:val="9"/>
                <w:szCs w:val="9"/>
                <w:b w:val="1"/>
                <w:bCs w:val="1"/>
                <w:color w:val="auto"/>
              </w:rPr>
              <w:t>Three Months</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3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3"/>
          </w:tcPr>
          <w:p>
            <w:pPr>
              <w:jc w:val="center"/>
              <w:ind w:left="495"/>
              <w:spacing w:after="0"/>
              <w:rPr>
                <w:sz w:val="20"/>
                <w:szCs w:val="20"/>
                <w:color w:val="auto"/>
              </w:rPr>
            </w:pPr>
            <w:r>
              <w:rPr>
                <w:rFonts w:ascii="Arial" w:cs="Arial" w:eastAsia="Arial" w:hAnsi="Arial"/>
                <w:sz w:val="9"/>
                <w:szCs w:val="9"/>
                <w:b w:val="1"/>
                <w:bCs w:val="1"/>
                <w:color w:val="auto"/>
              </w:rPr>
              <w:t>Ended March 31,</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380" w:type="dxa"/>
            <w:vAlign w:val="bottom"/>
          </w:tcPr>
          <w:p>
            <w:pPr>
              <w:spacing w:after="0"/>
              <w:rPr>
                <w:sz w:val="11"/>
                <w:szCs w:val="11"/>
                <w:color w:val="auto"/>
              </w:rPr>
            </w:pPr>
          </w:p>
        </w:tc>
        <w:tc>
          <w:tcPr>
            <w:tcW w:w="88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b w:val="1"/>
                <w:bCs w:val="1"/>
                <w:color w:val="auto"/>
              </w:rPr>
              <w:t>2025</w:t>
            </w: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9"/>
                <w:szCs w:val="9"/>
                <w:b w:val="1"/>
                <w:bCs w:val="1"/>
                <w:color w:val="auto"/>
              </w:rPr>
              <w:t>2025</w:t>
            </w: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75"/>
              <w:spacing w:after="0"/>
              <w:rPr>
                <w:sz w:val="20"/>
                <w:szCs w:val="20"/>
                <w:color w:val="auto"/>
              </w:rPr>
            </w:pPr>
            <w:r>
              <w:rPr>
                <w:rFonts w:ascii="Arial" w:cs="Arial" w:eastAsia="Arial" w:hAnsi="Arial"/>
                <w:sz w:val="9"/>
                <w:szCs w:val="9"/>
                <w:b w:val="1"/>
                <w:bCs w:val="1"/>
                <w:color w:val="auto"/>
              </w:rPr>
              <w:t>2026</w:t>
            </w:r>
          </w:p>
        </w:tc>
        <w:tc>
          <w:tcPr>
            <w:tcW w:w="0" w:type="dxa"/>
            <w:vAlign w:val="bottom"/>
          </w:tcPr>
          <w:p>
            <w:pPr>
              <w:spacing w:after="0"/>
              <w:rPr>
                <w:sz w:val="1"/>
                <w:szCs w:val="1"/>
                <w:color w:val="auto"/>
              </w:rPr>
            </w:pPr>
          </w:p>
        </w:tc>
      </w:tr>
      <w:tr>
        <w:trPr>
          <w:trHeight w:val="140"/>
        </w:trPr>
        <w:tc>
          <w:tcPr>
            <w:tcW w:w="7380" w:type="dxa"/>
            <w:vAlign w:val="bottom"/>
          </w:tcPr>
          <w:p>
            <w:pPr>
              <w:spacing w:after="0"/>
              <w:rPr>
                <w:sz w:val="20"/>
                <w:szCs w:val="20"/>
                <w:color w:val="auto"/>
              </w:rPr>
            </w:pPr>
            <w:r>
              <w:rPr>
                <w:rFonts w:ascii="Arial" w:cs="Arial" w:eastAsia="Arial" w:hAnsi="Arial"/>
                <w:sz w:val="9"/>
                <w:szCs w:val="9"/>
                <w:b w:val="1"/>
                <w:bCs w:val="1"/>
                <w:color w:val="auto"/>
              </w:rPr>
              <w:t>Cash flows provided from operating activities - GAAP</w:t>
            </w:r>
          </w:p>
        </w:tc>
        <w:tc>
          <w:tcPr>
            <w:tcW w:w="880" w:type="dxa"/>
            <w:vAlign w:val="bottom"/>
          </w:tcPr>
          <w:p>
            <w:pPr>
              <w:jc w:val="right"/>
              <w:ind w:right="775"/>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ind w:right="15"/>
              <w:spacing w:after="0"/>
              <w:rPr>
                <w:sz w:val="20"/>
                <w:szCs w:val="20"/>
                <w:color w:val="auto"/>
              </w:rPr>
            </w:pPr>
            <w:r>
              <w:rPr>
                <w:rFonts w:ascii="Arial" w:cs="Arial" w:eastAsia="Arial" w:hAnsi="Arial"/>
                <w:sz w:val="9"/>
                <w:szCs w:val="9"/>
                <w:color w:val="auto"/>
              </w:rPr>
              <w:t>639.5</w:t>
            </w:r>
          </w:p>
        </w:tc>
        <w:tc>
          <w:tcPr>
            <w:tcW w:w="60" w:type="dxa"/>
            <w:vAlign w:val="bottom"/>
          </w:tcPr>
          <w:p>
            <w:pPr>
              <w:spacing w:after="0"/>
              <w:rPr>
                <w:sz w:val="12"/>
                <w:szCs w:val="12"/>
                <w:color w:val="auto"/>
              </w:rPr>
            </w:pPr>
          </w:p>
        </w:tc>
        <w:tc>
          <w:tcPr>
            <w:tcW w:w="300" w:type="dxa"/>
            <w:vAlign w:val="bottom"/>
          </w:tcPr>
          <w:p>
            <w:pPr>
              <w:jc w:val="right"/>
              <w:ind w:right="19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(60.2)</w:t>
            </w:r>
          </w:p>
        </w:tc>
        <w:tc>
          <w:tcPr>
            <w:tcW w:w="80" w:type="dxa"/>
            <w:vAlign w:val="bottom"/>
          </w:tcPr>
          <w:p>
            <w:pPr>
              <w:spacing w:after="0"/>
              <w:rPr>
                <w:sz w:val="12"/>
                <w:szCs w:val="12"/>
                <w:color w:val="auto"/>
              </w:rPr>
            </w:pPr>
          </w:p>
        </w:tc>
        <w:tc>
          <w:tcPr>
            <w:tcW w:w="420" w:type="dxa"/>
            <w:vAlign w:val="bottom"/>
          </w:tcPr>
          <w:p>
            <w:pPr>
              <w:jc w:val="right"/>
              <w:ind w:right="315"/>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9"/>
                <w:szCs w:val="9"/>
                <w:color w:val="auto"/>
              </w:rPr>
              <w:t>28.7</w:t>
            </w:r>
          </w:p>
        </w:tc>
        <w:tc>
          <w:tcPr>
            <w:tcW w:w="0" w:type="dxa"/>
            <w:vAlign w:val="bottom"/>
          </w:tcPr>
          <w:p>
            <w:pPr>
              <w:spacing w:after="0"/>
              <w:rPr>
                <w:sz w:val="1"/>
                <w:szCs w:val="1"/>
                <w:color w:val="auto"/>
              </w:rPr>
            </w:pPr>
          </w:p>
        </w:tc>
      </w:tr>
      <w:tr>
        <w:trPr>
          <w:trHeight w:val="131"/>
        </w:trPr>
        <w:tc>
          <w:tcPr>
            <w:tcW w:w="7380" w:type="dxa"/>
            <w:vAlign w:val="bottom"/>
          </w:tcPr>
          <w:p>
            <w:pPr>
              <w:ind w:left="220"/>
              <w:spacing w:after="0"/>
              <w:rPr>
                <w:sz w:val="20"/>
                <w:szCs w:val="20"/>
                <w:color w:val="auto"/>
              </w:rPr>
            </w:pPr>
            <w:r>
              <w:rPr>
                <w:rFonts w:ascii="Arial" w:cs="Arial" w:eastAsia="Arial" w:hAnsi="Arial"/>
                <w:sz w:val="9"/>
                <w:szCs w:val="9"/>
                <w:color w:val="auto"/>
              </w:rPr>
              <w:t>(Increase) decrease in restricted cash held for customers</w:t>
            </w:r>
            <w:r>
              <w:rPr>
                <w:rFonts w:ascii="Arial" w:cs="Arial" w:eastAsia="Arial" w:hAnsi="Arial"/>
                <w:sz w:val="11"/>
                <w:szCs w:val="11"/>
                <w:color w:val="auto"/>
                <w:vertAlign w:val="superscript"/>
              </w:rPr>
              <w:t>(a)</w:t>
            </w:r>
          </w:p>
        </w:tc>
        <w:tc>
          <w:tcPr>
            <w:tcW w:w="8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(46.1)</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9"/>
                <w:szCs w:val="9"/>
                <w:color w:val="auto"/>
              </w:rPr>
              <w:t>45.0</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(3.2)</w:t>
            </w:r>
          </w:p>
        </w:tc>
        <w:tc>
          <w:tcPr>
            <w:tcW w:w="0" w:type="dxa"/>
            <w:vAlign w:val="bottom"/>
          </w:tcPr>
          <w:p>
            <w:pPr>
              <w:spacing w:after="0"/>
              <w:rPr>
                <w:sz w:val="1"/>
                <w:szCs w:val="1"/>
                <w:color w:val="auto"/>
              </w:rPr>
            </w:pPr>
          </w:p>
        </w:tc>
      </w:tr>
      <w:tr>
        <w:trPr>
          <w:trHeight w:val="126"/>
        </w:trPr>
        <w:tc>
          <w:tcPr>
            <w:tcW w:w="7380" w:type="dxa"/>
            <w:vAlign w:val="bottom"/>
          </w:tcPr>
          <w:p>
            <w:pPr>
              <w:ind w:left="220"/>
              <w:spacing w:after="0"/>
              <w:rPr>
                <w:sz w:val="20"/>
                <w:szCs w:val="20"/>
                <w:color w:val="auto"/>
              </w:rPr>
            </w:pPr>
            <w:r>
              <w:rPr>
                <w:rFonts w:ascii="Arial" w:cs="Arial" w:eastAsia="Arial" w:hAnsi="Arial"/>
                <w:sz w:val="9"/>
                <w:szCs w:val="9"/>
                <w:color w:val="auto"/>
              </w:rPr>
              <w:t>(Increase) decrease in certain customer obligations</w:t>
            </w:r>
            <w:r>
              <w:rPr>
                <w:rFonts w:ascii="Arial" w:cs="Arial" w:eastAsia="Arial" w:hAnsi="Arial"/>
                <w:sz w:val="11"/>
                <w:szCs w:val="11"/>
                <w:color w:val="auto"/>
                <w:vertAlign w:val="superscript"/>
              </w:rPr>
              <w:t>(a)</w:t>
            </w:r>
          </w:p>
        </w:tc>
        <w:tc>
          <w:tcPr>
            <w:tcW w:w="8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(16.5)</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9"/>
                <w:szCs w:val="9"/>
                <w:color w:val="auto"/>
              </w:rPr>
              <w:t>(38.9)</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(30.0)</w:t>
            </w:r>
          </w:p>
        </w:tc>
        <w:tc>
          <w:tcPr>
            <w:tcW w:w="0" w:type="dxa"/>
            <w:vAlign w:val="bottom"/>
          </w:tcPr>
          <w:p>
            <w:pPr>
              <w:spacing w:after="0"/>
              <w:rPr>
                <w:sz w:val="1"/>
                <w:szCs w:val="1"/>
                <w:color w:val="auto"/>
              </w:rPr>
            </w:pPr>
          </w:p>
        </w:tc>
      </w:tr>
      <w:tr>
        <w:trPr>
          <w:trHeight w:val="117"/>
        </w:trPr>
        <w:tc>
          <w:tcPr>
            <w:tcW w:w="7380" w:type="dxa"/>
            <w:vAlign w:val="bottom"/>
          </w:tcPr>
          <w:p>
            <w:pPr>
              <w:ind w:left="220"/>
              <w:spacing w:after="0"/>
              <w:rPr>
                <w:sz w:val="20"/>
                <w:szCs w:val="20"/>
                <w:color w:val="auto"/>
              </w:rPr>
            </w:pPr>
            <w:r>
              <w:rPr>
                <w:rFonts w:ascii="Arial" w:cs="Arial" w:eastAsia="Arial" w:hAnsi="Arial"/>
                <w:sz w:val="9"/>
                <w:szCs w:val="9"/>
                <w:color w:val="auto"/>
              </w:rPr>
              <w:t>Capital expenditures</w:t>
            </w:r>
          </w:p>
        </w:tc>
        <w:tc>
          <w:tcPr>
            <w:tcW w:w="8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(203.1)</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9"/>
                <w:szCs w:val="9"/>
                <w:color w:val="auto"/>
              </w:rPr>
              <w:t>(58.9)</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(40.1)</w:t>
            </w:r>
          </w:p>
        </w:tc>
        <w:tc>
          <w:tcPr>
            <w:tcW w:w="0" w:type="dxa"/>
            <w:vAlign w:val="bottom"/>
          </w:tcPr>
          <w:p>
            <w:pPr>
              <w:spacing w:after="0"/>
              <w:rPr>
                <w:sz w:val="1"/>
                <w:szCs w:val="1"/>
                <w:color w:val="auto"/>
              </w:rPr>
            </w:pPr>
          </w:p>
        </w:tc>
      </w:tr>
      <w:tr>
        <w:trPr>
          <w:trHeight w:val="126"/>
        </w:trPr>
        <w:tc>
          <w:tcPr>
            <w:tcW w:w="7380" w:type="dxa"/>
            <w:vAlign w:val="bottom"/>
          </w:tcPr>
          <w:p>
            <w:pPr>
              <w:ind w:left="220"/>
              <w:spacing w:after="0"/>
              <w:rPr>
                <w:sz w:val="20"/>
                <w:szCs w:val="20"/>
                <w:color w:val="auto"/>
              </w:rPr>
            </w:pPr>
            <w:r>
              <w:rPr>
                <w:rFonts w:ascii="Arial" w:cs="Arial" w:eastAsia="Arial" w:hAnsi="Arial"/>
                <w:sz w:val="9"/>
                <w:szCs w:val="9"/>
                <w:color w:val="auto"/>
              </w:rPr>
              <w:t>Cash proceeds from sale of property and equipment</w:t>
            </w:r>
          </w:p>
        </w:tc>
        <w:tc>
          <w:tcPr>
            <w:tcW w:w="880" w:type="dxa"/>
            <w:vAlign w:val="bottom"/>
          </w:tcPr>
          <w:p>
            <w:pPr>
              <w:spacing w:after="0"/>
              <w:rPr>
                <w:sz w:val="10"/>
                <w:szCs w:val="10"/>
                <w:color w:val="auto"/>
              </w:rPr>
            </w:pPr>
          </w:p>
        </w:tc>
        <w:tc>
          <w:tcPr>
            <w:tcW w:w="380" w:type="dxa"/>
            <w:vAlign w:val="bottom"/>
          </w:tcPr>
          <w:p>
            <w:pPr>
              <w:jc w:val="right"/>
              <w:ind w:right="15"/>
              <w:spacing w:after="0"/>
              <w:rPr>
                <w:sz w:val="20"/>
                <w:szCs w:val="20"/>
                <w:color w:val="auto"/>
              </w:rPr>
            </w:pPr>
            <w:r>
              <w:rPr>
                <w:rFonts w:ascii="Arial" w:cs="Arial" w:eastAsia="Arial" w:hAnsi="Arial"/>
                <w:sz w:val="9"/>
                <w:szCs w:val="9"/>
                <w:color w:val="auto"/>
              </w:rPr>
              <w:t>18.5</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9"/>
                <w:szCs w:val="9"/>
                <w:color w:val="auto"/>
              </w:rPr>
              <w:t>2.6</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3.3</w:t>
            </w:r>
          </w:p>
        </w:tc>
        <w:tc>
          <w:tcPr>
            <w:tcW w:w="0" w:type="dxa"/>
            <w:vAlign w:val="bottom"/>
          </w:tcPr>
          <w:p>
            <w:pPr>
              <w:spacing w:after="0"/>
              <w:rPr>
                <w:sz w:val="1"/>
                <w:szCs w:val="1"/>
                <w:color w:val="auto"/>
              </w:rPr>
            </w:pPr>
          </w:p>
        </w:tc>
      </w:tr>
      <w:tr>
        <w:trPr>
          <w:trHeight w:val="126"/>
        </w:trPr>
        <w:tc>
          <w:tcPr>
            <w:tcW w:w="7380" w:type="dxa"/>
            <w:vAlign w:val="bottom"/>
          </w:tcPr>
          <w:p>
            <w:pPr>
              <w:ind w:left="220"/>
              <w:spacing w:after="0"/>
              <w:rPr>
                <w:sz w:val="20"/>
                <w:szCs w:val="20"/>
                <w:color w:val="auto"/>
              </w:rPr>
            </w:pPr>
            <w:r>
              <w:rPr>
                <w:rFonts w:ascii="Arial" w:cs="Arial" w:eastAsia="Arial" w:hAnsi="Arial"/>
                <w:sz w:val="9"/>
                <w:szCs w:val="9"/>
                <w:color w:val="auto"/>
              </w:rPr>
              <w:t>Proceeds from lessor debt financing</w:t>
            </w:r>
          </w:p>
        </w:tc>
        <w:tc>
          <w:tcPr>
            <w:tcW w:w="8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43.2</w:t>
            </w:r>
          </w:p>
        </w:tc>
        <w:tc>
          <w:tcPr>
            <w:tcW w:w="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8.1</w:t>
            </w: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3.2</w:t>
            </w:r>
          </w:p>
        </w:tc>
        <w:tc>
          <w:tcPr>
            <w:tcW w:w="0" w:type="dxa"/>
            <w:vAlign w:val="bottom"/>
          </w:tcPr>
          <w:p>
            <w:pPr>
              <w:spacing w:after="0"/>
              <w:rPr>
                <w:sz w:val="1"/>
                <w:szCs w:val="1"/>
                <w:color w:val="auto"/>
              </w:rPr>
            </w:pPr>
          </w:p>
        </w:tc>
      </w:tr>
      <w:tr>
        <w:trPr>
          <w:trHeight w:val="115"/>
        </w:trPr>
        <w:tc>
          <w:tcPr>
            <w:tcW w:w="7380" w:type="dxa"/>
            <w:vAlign w:val="bottom"/>
          </w:tcPr>
          <w:p>
            <w:pPr>
              <w:ind w:left="80"/>
              <w:spacing w:after="0"/>
              <w:rPr>
                <w:sz w:val="20"/>
                <w:szCs w:val="20"/>
                <w:color w:val="auto"/>
              </w:rPr>
            </w:pPr>
            <w:r>
              <w:rPr>
                <w:rFonts w:ascii="Arial" w:cs="Arial" w:eastAsia="Arial" w:hAnsi="Arial"/>
                <w:sz w:val="9"/>
                <w:szCs w:val="9"/>
                <w:color w:val="auto"/>
              </w:rPr>
              <w:t>Subtotal</w:t>
            </w:r>
          </w:p>
        </w:tc>
        <w:tc>
          <w:tcPr>
            <w:tcW w:w="880" w:type="dxa"/>
            <w:vAlign w:val="bottom"/>
          </w:tcPr>
          <w:p>
            <w:pPr>
              <w:jc w:val="right"/>
              <w:ind w:right="775"/>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ind w:right="15"/>
              <w:spacing w:after="0"/>
              <w:rPr>
                <w:sz w:val="20"/>
                <w:szCs w:val="20"/>
                <w:color w:val="auto"/>
              </w:rPr>
            </w:pPr>
            <w:r>
              <w:rPr>
                <w:rFonts w:ascii="Arial" w:cs="Arial" w:eastAsia="Arial" w:hAnsi="Arial"/>
                <w:sz w:val="9"/>
                <w:szCs w:val="9"/>
                <w:color w:val="auto"/>
              </w:rPr>
              <w:t>435.5</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9"/>
                <w:szCs w:val="9"/>
                <w:color w:val="auto"/>
              </w:rPr>
              <w:t>(102.3)</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(38.1)</w:t>
            </w:r>
          </w:p>
        </w:tc>
        <w:tc>
          <w:tcPr>
            <w:tcW w:w="0" w:type="dxa"/>
            <w:vAlign w:val="bottom"/>
          </w:tcPr>
          <w:p>
            <w:pPr>
              <w:spacing w:after="0"/>
              <w:rPr>
                <w:sz w:val="1"/>
                <w:szCs w:val="1"/>
                <w:color w:val="auto"/>
              </w:rPr>
            </w:pPr>
          </w:p>
        </w:tc>
      </w:tr>
      <w:tr>
        <w:trPr>
          <w:trHeight w:val="134"/>
        </w:trPr>
        <w:tc>
          <w:tcPr>
            <w:tcW w:w="7380" w:type="dxa"/>
            <w:vAlign w:val="bottom"/>
          </w:tcPr>
          <w:p>
            <w:pPr>
              <w:ind w:left="80"/>
              <w:spacing w:after="0"/>
              <w:rPr>
                <w:sz w:val="20"/>
                <w:szCs w:val="20"/>
                <w:color w:val="auto"/>
              </w:rPr>
            </w:pPr>
            <w:r>
              <w:rPr>
                <w:rFonts w:ascii="Arial" w:cs="Arial" w:eastAsia="Arial" w:hAnsi="Arial"/>
                <w:sz w:val="9"/>
                <w:szCs w:val="9"/>
                <w:color w:val="auto"/>
              </w:rPr>
              <w:t>NCR Atleos acquisition cash flows</w:t>
            </w:r>
            <w:r>
              <w:rPr>
                <w:rFonts w:ascii="Arial" w:cs="Arial" w:eastAsia="Arial" w:hAnsi="Arial"/>
                <w:sz w:val="11"/>
                <w:szCs w:val="11"/>
                <w:color w:val="auto"/>
                <w:vertAlign w:val="superscript"/>
              </w:rPr>
              <w:t>(a)</w:t>
            </w:r>
          </w:p>
        </w:tc>
        <w:tc>
          <w:tcPr>
            <w:tcW w:w="88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2.1</w:t>
            </w:r>
          </w:p>
        </w:tc>
        <w:tc>
          <w:tcPr>
            <w:tcW w:w="0" w:type="dxa"/>
            <w:vAlign w:val="bottom"/>
          </w:tcPr>
          <w:p>
            <w:pPr>
              <w:spacing w:after="0"/>
              <w:rPr>
                <w:sz w:val="1"/>
                <w:szCs w:val="1"/>
                <w:color w:val="auto"/>
              </w:rPr>
            </w:pPr>
          </w:p>
        </w:tc>
      </w:tr>
      <w:tr>
        <w:trPr>
          <w:trHeight w:val="115"/>
        </w:trPr>
        <w:tc>
          <w:tcPr>
            <w:tcW w:w="7380" w:type="dxa"/>
            <w:vAlign w:val="bottom"/>
          </w:tcPr>
          <w:p>
            <w:pPr>
              <w:spacing w:after="0" w:line="115" w:lineRule="exact"/>
              <w:rPr>
                <w:sz w:val="20"/>
                <w:szCs w:val="20"/>
                <w:color w:val="auto"/>
              </w:rPr>
            </w:pPr>
            <w:r>
              <w:rPr>
                <w:rFonts w:ascii="Arial" w:cs="Arial" w:eastAsia="Arial" w:hAnsi="Arial"/>
                <w:sz w:val="9"/>
                <w:szCs w:val="9"/>
                <w:color w:val="auto"/>
              </w:rPr>
              <w:t>Free cash flow before dividends</w:t>
            </w:r>
            <w:r>
              <w:rPr>
                <w:rFonts w:ascii="Arial" w:cs="Arial" w:eastAsia="Arial" w:hAnsi="Arial"/>
                <w:sz w:val="11"/>
                <w:szCs w:val="11"/>
                <w:color w:val="auto"/>
                <w:vertAlign w:val="superscript"/>
              </w:rPr>
              <w:t>(a)</w:t>
            </w:r>
          </w:p>
        </w:tc>
        <w:tc>
          <w:tcPr>
            <w:tcW w:w="88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435.5</w:t>
            </w:r>
          </w:p>
        </w:tc>
        <w:tc>
          <w:tcPr>
            <w:tcW w:w="60" w:type="dxa"/>
            <w:vAlign w:val="bottom"/>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(102.3)</w:t>
            </w:r>
          </w:p>
        </w:tc>
        <w:tc>
          <w:tcPr>
            <w:tcW w:w="80" w:type="dxa"/>
            <w:vAlign w:val="bottom"/>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(36.0)</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8"/>
          <w:szCs w:val="8"/>
          <w:color w:val="auto"/>
        </w:rPr>
      </w:pPr>
      <w:r>
        <w:rPr>
          <w:rFonts w:ascii="Arial" w:cs="Arial" w:eastAsia="Arial" w:hAnsi="Arial"/>
          <w:sz w:val="8"/>
          <w:szCs w:val="8"/>
          <w:color w:val="auto"/>
        </w:rPr>
        <w:t>Free cash flow before dividends is a supplemental financial measure that is not required by, or presented in accordance with, GAAP. See page 11 for further information on this non-GAAP measure, and see page 12 for descriptions of the adjustments.</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0"/>
          </w:cols>
          <w:pgMar w:left="300" w:top="815" w:right="299" w:bottom="1440"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614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61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2026-05-06T06:07:58Z</dcterms:created>
  <dcterms:modified xsi:type="dcterms:W3CDTF">2026-05-06T06:07:58Z</dcterms:modified>
</cp:coreProperties>
</file>