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7"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2"/>
        </w:trPr>
        <w:tc>
          <w:tcPr>
            <w:tcW w:w="6280" w:type="dxa"/>
            <w:vAlign w:val="bottom"/>
          </w:tcPr>
          <w:p>
            <w:pPr>
              <w:jc w:val="center"/>
              <w:ind w:right="13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8"/>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3981450</wp:posOffset>
            </wp:positionH>
            <wp:positionV relativeFrom="paragraph">
              <wp:posOffset>-627380</wp:posOffset>
            </wp:positionV>
            <wp:extent cx="58420" cy="640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745490</wp:posOffset>
            </wp:positionV>
            <wp:extent cx="6993255" cy="4441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441190"/>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40" w:space="240"/>
            <w:col w:w="8500"/>
          </w:cols>
          <w:pgMar w:left="460" w:top="218"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Button Adrian</w:t>
        </w:r>
      </w:hyperlink>
    </w:p>
    <w:p>
      <w:pPr>
        <w:spacing w:after="0" w:line="29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BRINKS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BCO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06/01/2026</w:t>
      </w:r>
    </w:p>
    <w:p>
      <w:pPr>
        <w:spacing w:after="0" w:line="20" w:lineRule="exact"/>
        <w:rPr>
          <w:sz w:val="24"/>
          <w:szCs w:val="24"/>
          <w:color w:val="auto"/>
        </w:rPr>
      </w:pPr>
      <w:r>
        <w:rPr>
          <w:sz w:val="24"/>
          <w:szCs w:val="24"/>
          <w:color w:val="auto"/>
        </w:rPr>
        <w:br w:type="column"/>
      </w:r>
    </w:p>
    <w:p>
      <w:pPr>
        <w:ind w:left="8" w:right="620" w:hanging="8"/>
        <w:spacing w:after="0" w:line="259" w:lineRule="auto"/>
        <w:tabs>
          <w:tab w:leader="none" w:pos="15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8"/>
        <w:spacing w:after="0"/>
        <w:tabs>
          <w:tab w:leader="none" w:pos="206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28"/>
        <w:spacing w:after="0"/>
        <w:tabs>
          <w:tab w:leader="none" w:pos="20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428"/>
        <w:spacing w:after="0"/>
        <w:rPr>
          <w:sz w:val="20"/>
          <w:szCs w:val="20"/>
          <w:color w:val="auto"/>
        </w:rPr>
      </w:pPr>
      <w:r>
        <w:rPr>
          <w:rFonts w:ascii="Times New Roman" w:cs="Times New Roman" w:eastAsia="Times New Roman" w:hAnsi="Times New Roman"/>
          <w:sz w:val="17"/>
          <w:szCs w:val="17"/>
          <w:color w:val="0000FF"/>
        </w:rPr>
        <w:t>EVP</w:t>
      </w:r>
    </w:p>
    <w:p>
      <w:pPr>
        <w:spacing w:after="0" w:line="314" w:lineRule="exact"/>
        <w:rPr>
          <w:sz w:val="24"/>
          <w:szCs w:val="24"/>
          <w:color w:val="auto"/>
        </w:rPr>
      </w:pPr>
    </w:p>
    <w:p>
      <w:pPr>
        <w:sectPr>
          <w:pgSz w:w="11900" w:h="16838" w:orient="portrait"/>
          <w:cols w:equalWidth="0" w:num="3">
            <w:col w:w="3180" w:space="720"/>
            <w:col w:w="3112" w:space="720"/>
            <w:col w:w="3348"/>
          </w:cols>
          <w:pgMar w:left="460" w:top="218"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ind w:right="6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300"/>
              <w:spacing w:after="0"/>
              <w:rPr>
                <w:sz w:val="20"/>
                <w:szCs w:val="20"/>
                <w:color w:val="auto"/>
              </w:rPr>
            </w:pPr>
            <w:r>
              <w:rPr>
                <w:rFonts w:ascii="Arial" w:cs="Arial" w:eastAsia="Arial" w:hAnsi="Arial"/>
                <w:sz w:val="13"/>
                <w:szCs w:val="13"/>
                <w:color w:val="auto"/>
                <w:w w:val="89"/>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7"/>
          </w:tcPr>
          <w:p>
            <w:pPr>
              <w:ind w:left="16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00" w:type="dxa"/>
            <w:vAlign w:val="bottom"/>
          </w:tcPr>
          <w:p>
            <w:pPr>
              <w:spacing w:after="0"/>
              <w:rPr>
                <w:sz w:val="11"/>
                <w:szCs w:val="11"/>
                <w:color w:val="auto"/>
              </w:rPr>
            </w:pPr>
          </w:p>
        </w:tc>
        <w:tc>
          <w:tcPr>
            <w:tcW w:w="2620" w:type="dxa"/>
            <w:vAlign w:val="bottom"/>
            <w:gridSpan w:val="5"/>
          </w:tcPr>
          <w:p>
            <w:pPr>
              <w:ind w:left="80"/>
              <w:spacing w:after="0" w:line="129" w:lineRule="exact"/>
              <w:rPr>
                <w:sz w:val="20"/>
                <w:szCs w:val="20"/>
                <w:color w:val="auto"/>
              </w:rPr>
            </w:pPr>
            <w:r>
              <w:rPr>
                <w:rFonts w:ascii="Arial" w:cs="Arial" w:eastAsia="Arial" w:hAnsi="Arial"/>
                <w:sz w:val="12"/>
                <w:szCs w:val="12"/>
                <w:b w:val="1"/>
                <w:bCs w:val="1"/>
                <w:color w:val="auto"/>
              </w:rPr>
              <w:t>Transaction  Disposed Of (D) (Instr. 3, 4 and</w:t>
            </w:r>
          </w:p>
        </w:tc>
        <w:tc>
          <w:tcPr>
            <w:tcW w:w="8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0"/>
              </w:rPr>
              <w:t>Securities</w:t>
            </w:r>
          </w:p>
        </w:tc>
        <w:tc>
          <w:tcPr>
            <w:tcW w:w="600" w:type="dxa"/>
            <w:vAlign w:val="bottom"/>
          </w:tcPr>
          <w:p>
            <w:pPr>
              <w:spacing w:after="0"/>
              <w:rPr>
                <w:sz w:val="11"/>
                <w:szCs w:val="11"/>
                <w:color w:val="auto"/>
              </w:rPr>
            </w:pP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(Month/Day/Year)  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jc w:val="right"/>
              <w:ind w:right="161"/>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88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1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06/01/2026</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0.13</w:t>
            </w:r>
            <w:r>
              <w:rPr>
                <w:rFonts w:ascii="Times New Roman" w:cs="Times New Roman" w:eastAsia="Times New Roman" w:hAnsi="Times New Roman"/>
                <w:sz w:val="21"/>
                <w:szCs w:val="21"/>
                <w:color w:val="008000"/>
                <w:vertAlign w:val="superscript"/>
              </w:rPr>
              <w:t>(2)</w:t>
            </w:r>
          </w:p>
        </w:tc>
        <w:tc>
          <w:tcPr>
            <w:tcW w:w="3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0.13</w:t>
            </w:r>
          </w:p>
        </w:tc>
        <w:tc>
          <w:tcPr>
            <w:tcW w:w="60" w:type="dxa"/>
            <w:vAlign w:val="bottom"/>
          </w:tcPr>
          <w:p>
            <w:pPr>
              <w:spacing w:after="0"/>
              <w:rPr>
                <w:sz w:val="15"/>
                <w:szCs w:val="15"/>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103.02</w:t>
            </w:r>
            <w:r>
              <w:rPr>
                <w:rFonts w:ascii="Times New Roman" w:cs="Times New Roman" w:eastAsia="Times New Roman" w:hAnsi="Times New Roman"/>
                <w:sz w:val="21"/>
                <w:szCs w:val="21"/>
                <w:color w:val="008000"/>
                <w:vertAlign w:val="superscript"/>
              </w:rPr>
              <w:t>(3)</w:t>
            </w:r>
          </w:p>
        </w:tc>
        <w:tc>
          <w:tcPr>
            <w:tcW w:w="60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w w:val="94"/>
              </w:rPr>
              <w:t>102.94</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jc w:val="right"/>
              <w:ind w:right="161"/>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-1924050</wp:posOffset>
            </wp:positionV>
            <wp:extent cx="29210" cy="1929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976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59" w:lineRule="auto"/>
        <w:tabs>
          <w:tab w:leader="none" w:pos="169"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Program Units (each of which is the economic equivalent of one share of The Brink's Company ("BCO") common stock) credited to the Reporting Person's stock incentive account under the terms of the Key Employees' Deferred Compensation Program (the "Program") will settle in BCO common stock on a one-for-one basis and shall be distributed in accordance with the Reporting Person's deferral election either</w:t>
      </w:r>
    </w:p>
    <w:p>
      <w:pPr>
        <w:ind w:left="40"/>
        <w:spacing w:after="0"/>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(1) following the Reporting Person's termination of employment with BCO or (2) on a future date selected by the Reporting Person at the time of his or her deferral election.</w:t>
      </w:r>
    </w:p>
    <w:p>
      <w:pPr>
        <w:spacing w:after="0" w:line="30" w:lineRule="exact"/>
        <w:rPr>
          <w:rFonts w:ascii="Times New Roman" w:cs="Times New Roman" w:eastAsia="Times New Roman" w:hAnsi="Times New Roman"/>
          <w:sz w:val="12"/>
          <w:szCs w:val="12"/>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Program Units were credited to the Reporting Person's account as a result of a dividend payment with respect to BCO common stock.</w:t>
      </w:r>
    </w:p>
    <w:p>
      <w:pPr>
        <w:spacing w:after="0" w:line="44"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$103.02, which was the closing price of BCO common stock on June 1, 2026, calculated in accordance with the terms of the Program.</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Linda M. MacNally,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06/03/2026</w:t>
            </w:r>
          </w:p>
        </w:tc>
        <w:tc>
          <w:tcPr>
            <w:tcW w:w="0" w:type="dxa"/>
            <w:vAlign w:val="bottom"/>
          </w:tcPr>
          <w:p>
            <w:pPr>
              <w:spacing w:after="0"/>
              <w:rPr>
                <w:sz w:val="1"/>
                <w:szCs w:val="1"/>
                <w:color w:val="auto"/>
              </w:rPr>
            </w:pPr>
          </w:p>
        </w:tc>
      </w:tr>
      <w:tr>
        <w:trPr>
          <w:trHeight w:val="88"/>
        </w:trPr>
        <w:tc>
          <w:tcPr>
            <w:tcW w:w="156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6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00"/>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7"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8"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29263"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2026-06-03T18:09:40Z</dcterms:created>
  <dcterms:modified xsi:type="dcterms:W3CDTF">2026-06-03T18:09:40Z</dcterms:modified>
</cp:coreProperties>
</file>