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BRINK’S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480" w:type="dxa"/>
            <w:vAlign w:val="bottom"/>
            <w:gridSpan w:val="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3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001-09148</w:t>
            </w:r>
          </w:p>
        </w:tc>
        <w:tc>
          <w:tcPr>
            <w:tcW w:w="32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54-1317776</w:t>
            </w:r>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7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2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1801 Bayberry Court</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 O. Box 18100</w:t>
            </w:r>
          </w:p>
        </w:tc>
        <w:tc>
          <w:tcPr>
            <w:tcW w:w="1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0"/>
        </w:trPr>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Richmond, VA 23226-8100</w:t>
            </w: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(Address and zip code of</w:t>
            </w:r>
          </w:p>
        </w:tc>
        <w:tc>
          <w:tcPr>
            <w:tcW w:w="1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principal executive offices)</w:t>
            </w: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(804) 289-9600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80" w:type="dxa"/>
            <w:vAlign w:val="bottom"/>
            <w:tcBorders>
              <w:top w:val="single" w:sz="8" w:color="auto"/>
              <w:left w:val="single" w:sz="8" w:color="auto"/>
              <w:bottom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Title of each class</w:t>
            </w:r>
          </w:p>
        </w:tc>
        <w:tc>
          <w:tcPr>
            <w:tcW w:w="2080" w:type="dxa"/>
            <w:vAlign w:val="bottom"/>
            <w:tcBorders>
              <w:top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Trading Symbol(s)</w:t>
            </w:r>
          </w:p>
        </w:tc>
        <w:tc>
          <w:tcPr>
            <w:tcW w:w="468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BCO</w:t>
            </w: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405 of the Securities Act of 1933 (§230.405 of this chapter) or Rule 12b-2 of the Securities Exchange Act of 1934 (§240.12b-2 of this chapter).</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70" w:lineRule="exact"/>
        <w:rPr>
          <w:sz w:val="24"/>
          <w:szCs w:val="24"/>
          <w:color w:val="auto"/>
        </w:rPr>
      </w:pP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2026, The Brink’s Company, a Virginia corporation (“</w:t>
      </w:r>
      <w:r>
        <w:rPr>
          <w:rFonts w:ascii="Times New Roman" w:cs="Times New Roman" w:eastAsia="Times New Roman" w:hAnsi="Times New Roman"/>
          <w:sz w:val="18"/>
          <w:szCs w:val="18"/>
          <w:u w:val="single" w:color="auto"/>
          <w:color w:val="auto"/>
        </w:rPr>
        <w:t>Brink’s</w:t>
      </w:r>
      <w:r>
        <w:rPr>
          <w:rFonts w:ascii="Times New Roman" w:cs="Times New Roman" w:eastAsia="Times New Roman" w:hAnsi="Times New Roman"/>
          <w:sz w:val="18"/>
          <w:szCs w:val="18"/>
          <w:color w:val="auto"/>
        </w:rPr>
        <w:t>”), held a special meeting of shareholders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to consider certain proposals related to the Agreement and Plan of Merger, dated as of February 26, 2026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Brink’s, NCR Atleos Corporation, a Maryland corporation (“</w:t>
      </w:r>
      <w:r>
        <w:rPr>
          <w:rFonts w:ascii="Times New Roman" w:cs="Times New Roman" w:eastAsia="Times New Roman" w:hAnsi="Times New Roman"/>
          <w:sz w:val="18"/>
          <w:szCs w:val="18"/>
          <w:u w:val="single" w:color="auto"/>
          <w:color w:val="auto"/>
        </w:rPr>
        <w:t>NCR Atleos</w:t>
      </w:r>
      <w:r>
        <w:rPr>
          <w:rFonts w:ascii="Times New Roman" w:cs="Times New Roman" w:eastAsia="Times New Roman" w:hAnsi="Times New Roman"/>
          <w:sz w:val="18"/>
          <w:szCs w:val="18"/>
          <w:color w:val="auto"/>
        </w:rPr>
        <w:t>”), Novus Merger Sub, Inc., a Maryland corporation and wholly owned subsidiary of Brink’s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and Novus Merger Sub II, LLC, a Maryland limited liability company and wholly owned subsidiary of Brink’s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pursuant to which (i) Merger Sub I will merge with and into NCR Atleos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NCR Atleos surviving the First Merger as a direct wholly owned subsidiary of Brink’s, and (ii) immediately following the First Merger, NCR Atleos will merge with and into Merger Sub II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II surviving the Second Merger as a wholly owned subsidiary of Brink’s.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close of business on May 11, 2026, the record date for the Special Meeting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there were 41,181,028 shares of the common stock, par value $1.00 per share, of Brink’s (“</w:t>
      </w:r>
      <w:r>
        <w:rPr>
          <w:rFonts w:ascii="Times New Roman" w:cs="Times New Roman" w:eastAsia="Times New Roman" w:hAnsi="Times New Roman"/>
          <w:sz w:val="18"/>
          <w:szCs w:val="18"/>
          <w:u w:val="single" w:color="auto"/>
          <w:color w:val="auto"/>
        </w:rPr>
        <w:t>Brink’s Common Stock</w:t>
      </w:r>
      <w:r>
        <w:rPr>
          <w:rFonts w:ascii="Times New Roman" w:cs="Times New Roman" w:eastAsia="Times New Roman" w:hAnsi="Times New Roman"/>
          <w:sz w:val="18"/>
          <w:szCs w:val="18"/>
          <w:color w:val="auto"/>
        </w:rPr>
        <w:t>”) outstanding, each of which was entitled to one vote for each proposal at the Special Meeting. At the Special Meeting, the holders of 91.63% of the votes entitled to be cast by the outstanding shares of Brink’s Common Stock as of the Record Date were represented in person (virtually) or by proxy, constituting a quorum to conduct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Special Meeting, the following proposals were considered:</w:t>
      </w:r>
    </w:p>
    <w:p>
      <w:pPr>
        <w:spacing w:after="0" w:line="223" w:lineRule="exact"/>
        <w:rPr>
          <w:sz w:val="20"/>
          <w:szCs w:val="20"/>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Brink’s Share Issuance Proposal</w:t>
      </w:r>
      <w:r>
        <w:rPr>
          <w:rFonts w:ascii="Times New Roman" w:cs="Times New Roman" w:eastAsia="Times New Roman" w:hAnsi="Times New Roman"/>
          <w:sz w:val="18"/>
          <w:szCs w:val="18"/>
          <w:color w:val="auto"/>
        </w:rPr>
        <w:t>. Proposal to approve the issuance of Brink’s Common Stock to holders of the common stock, par value $0.01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NCR Atleos (“</w:t>
      </w:r>
      <w:r>
        <w:rPr>
          <w:rFonts w:ascii="Times New Roman" w:cs="Times New Roman" w:eastAsia="Times New Roman" w:hAnsi="Times New Roman"/>
          <w:sz w:val="18"/>
          <w:szCs w:val="18"/>
          <w:u w:val="single" w:color="auto"/>
          <w:color w:val="auto"/>
        </w:rPr>
        <w:t>NCR Atleos Common Stock</w:t>
      </w:r>
      <w:r>
        <w:rPr>
          <w:rFonts w:ascii="Times New Roman" w:cs="Times New Roman" w:eastAsia="Times New Roman" w:hAnsi="Times New Roman"/>
          <w:sz w:val="18"/>
          <w:szCs w:val="18"/>
          <w:color w:val="auto"/>
        </w:rPr>
        <w:t>”) pursuant to the Merger Agreement (including for purposes of complying with NYSE Listing Rule 312.03, which requires approval of the issuance of shares of Brink’s Common Stock in an amount that exceeds 20% of the currently outstanding shares of Brink’s Common Stock) (the “</w:t>
      </w:r>
      <w:r>
        <w:rPr>
          <w:rFonts w:ascii="Times New Roman" w:cs="Times New Roman" w:eastAsia="Times New Roman" w:hAnsi="Times New Roman"/>
          <w:sz w:val="18"/>
          <w:szCs w:val="18"/>
          <w:u w:val="single" w:color="auto"/>
          <w:color w:val="auto"/>
        </w:rPr>
        <w:t>Brink’s Share Issuance Proposal</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Brink’s Adjournment Proposal</w:t>
      </w:r>
      <w:r>
        <w:rPr>
          <w:rFonts w:ascii="Times New Roman" w:cs="Times New Roman" w:eastAsia="Times New Roman" w:hAnsi="Times New Roman"/>
          <w:sz w:val="18"/>
          <w:szCs w:val="18"/>
          <w:color w:val="auto"/>
        </w:rPr>
        <w:t>. Proposal to adjourn the Special Meeting, if necessary or appropriate, to solicit additional proxies if,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such adjournment, there is not a quorum or there are not sufficient votes to approve the Brink’s Share Issuance Proposal or to ensure that any supplement or amendment to the proxy statement/prospectus (as defined below) is timely provided to holders of Brink’s Common Stock (the “</w:t>
      </w:r>
      <w:r>
        <w:rPr>
          <w:rFonts w:ascii="Times New Roman" w:cs="Times New Roman" w:eastAsia="Times New Roman" w:hAnsi="Times New Roman"/>
          <w:sz w:val="18"/>
          <w:szCs w:val="18"/>
          <w:u w:val="single" w:color="auto"/>
          <w:color w:val="auto"/>
        </w:rPr>
        <w:t>Brink’s Adjournment Proposal</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final voting results for the Brink’s Share Issuance Proposal are described below. The Brink’s Adjournment Proposal was not submitted to Brink’s shareholders for approval at the Special Meeting because there was a quorum present at the Special Meeting and there were sufficient votes to approve the Brink’s Share Issuance Proposal. For more information on each of these proposals, see the definitive proxy statement/prospectus filed by Brink’s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May 27, 2026 (such filing,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Brink’s Share Issuance Proposal:</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Abstaining</w:t>
            </w: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38"/>
        </w:trPr>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37,690,024</w:t>
            </w:r>
          </w:p>
        </w:tc>
        <w:tc>
          <w:tcPr>
            <w:tcW w:w="100" w:type="dxa"/>
            <w:vAlign w:val="bottom"/>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18,697</w:t>
            </w:r>
          </w:p>
        </w:tc>
        <w:tc>
          <w:tcPr>
            <w:tcW w:w="80" w:type="dxa"/>
            <w:vAlign w:val="bottom"/>
          </w:tcPr>
          <w:p>
            <w:pPr>
              <w:spacing w:after="0"/>
              <w:rPr>
                <w:sz w:val="20"/>
                <w:szCs w:val="20"/>
                <w:color w:val="auto"/>
              </w:rPr>
            </w:pP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26,874</w:t>
            </w:r>
          </w:p>
        </w:tc>
        <w:tc>
          <w:tcPr>
            <w:tcW w:w="80" w:type="dxa"/>
            <w:vAlign w:val="bottom"/>
          </w:tcPr>
          <w:p>
            <w:pPr>
              <w:spacing w:after="0"/>
              <w:rPr>
                <w:sz w:val="20"/>
                <w:szCs w:val="20"/>
                <w:color w:val="auto"/>
              </w:rPr>
            </w:pPr>
          </w:p>
        </w:tc>
        <w:tc>
          <w:tcPr>
            <w:tcW w:w="3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376"/>
        </w:trPr>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2026, Brink’s and NCR Atleos issued a joint press release announcing Brink’s shareholders’ approval of the Brink’s Share Issuance Proposal and NCR Atleos’ stockholders’ approval of the NCR Atleos Merger Proposal (as defined in the proxy statement/prospectus). A copy of the joint press release is attached to this Current Report on Form 8-K as Exhibit 99.1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Item 7.01 of this Current Report on Form 8-K, including Exhibit 99.1, is being furnished and is not deemed to be “filed” with the SEC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is not incorporated by reference into any filing of Brink’s under the Securities Act of 1933, as amended, or the Exchange Act, whether made before or after the date hereof, except as shall be expressly set forth by specific reference to this Current Report on Form 8-K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9"/>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4"/>
                <w:szCs w:val="24"/>
                <w:color w:val="auto"/>
              </w:rPr>
            </w:pPr>
          </w:p>
        </w:tc>
        <w:tc>
          <w:tcPr>
            <w:tcW w:w="10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15"/>
                <w:szCs w:val="15"/>
                <w:color w:val="auto"/>
              </w:rPr>
            </w:pPr>
          </w:p>
        </w:tc>
        <w:tc>
          <w:tcPr>
            <w:tcW w:w="10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Joint Press Release, dated June 30,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Words such as “anticipate,” “assume,” “could,” “estimate,” “expect,” “target,” “possible,” “project,” “predict,” “intend,” “plan,” “believe,” “potential,” “may,” “should”, “will” and similar expressions are based on current expectations and assumptions and are subject to risks, uncertainties and contingencies, many of which are beyond our control and difficult to predict or quantify, and which could cause actual results to differ materially from those that are anticipated.</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Factors that could cause actual results to differ include, but are not limited to: Brink’s ability to consummate the Mergers; the occurrence of any event, change or other circumstance that could give rise to the termination of the Merger Agreement; Brink’s ability to finance the Mergers; Brink’s indebtedness, including the substantial indebtedness Brink’s will incur in connection with the Mergers and the need to generate sufficient cash flows to service and repay such debt; failure to consummate any anticipated repayment of the combined company’s indebtedness or make any returns to shareholders in the expected timeframe or at all; failure to obtain applicable regulatory approvals in a timely manner or otherwise; failure to satisfy any other conditions to closing of the Mergers; failure to realize the anticipated benefits and synergies of the Mergers in the expected timeframe or at all, including as a result of a delay in consummating the Mergers; the success of integration plans and the time required to successfully integrate NCR Atleos’ operations with those of Brink’s; the focus of management’s time and attention on the Mergers and other potential disruptions arising from the Mergers; the effects of the announcement of the Mergers on Brink’s or NCR Atleos’ businesses; that operating costs, customer loss and business disruption (including, without limitation, difficulties in maintaining relationships with banks, employees, customers or suppliers) may be greater than expected following the public announcement of the Mergers; Brink’s or NCR Atleos’ ability to retain certain key employees following the public announcement of the Mergers; litigation related to the Mergers; Brink’s or NCR Atleos’ ability to obtain certain third party or governmental regulatory consents, approvals or clearances; potential undisclosed liabilities of NCR Atleos not identified during the due diligence process; the impact of the Mergers on the market price of Brink’s Common Stock or NCR Atleos Common Stock and/or Brink’s or NCR Atleos’ operating results; and general economic conditions that are less favorable than expected.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concerning other risk factors is also contained in Part I, Item 1A “Risk Factors” of (i) Brink’s Annual Report on Form 10-K for the year ended December 31, 2025, filed with the SEC on February 26, 2026, and (ii) NCR Atleos’ Annual Report on Form 10-K for the year ended December 31, 2025, filed with the SEC on February 27, 2026 and, in each case, in subsequent filings with the SEC.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information included in this Current Report on Form 8-K is representative only as of the date of the communications included in this Current Report on Form 8-K and Brink’s and NCR Atleos undertake no obligation to update, revise or clarify any information contained in this Current Report on Form 8-K or forward-looking statements that may be made from time to time on either of their behalf,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THE BRINK’S COMPANY</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Kurt B. McMaken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Kurt B. McMaken</w:t>
      </w:r>
    </w:p>
    <w:p>
      <w:pPr>
        <w:spacing w:after="0" w:line="27"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OVERWHELMINGLY VOTE TO APPROVE BRINK’S ACQUISITION OF NCR ATLEOS</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Richmond, Va. and Atlanta, Ga., June 30, 2026 – </w:t>
      </w:r>
      <w:r>
        <w:rPr>
          <w:rFonts w:ascii="Times New Roman" w:cs="Times New Roman" w:eastAsia="Times New Roman" w:hAnsi="Times New Roman"/>
          <w:sz w:val="18"/>
          <w:szCs w:val="18"/>
          <w:color w:val="auto"/>
        </w:rPr>
        <w:t>The Brink’s Company (NYSE: BCO) and NCR Atleos Corporation (NYSE: NATL) announced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Brink’s shareholders and NCR Atleos’ stockholders overwhelmingly voted to approve Brink’s </w:t>
      </w:r>
      <w:r>
        <w:rPr>
          <w:rFonts w:ascii="Times New Roman" w:cs="Times New Roman" w:eastAsia="Times New Roman" w:hAnsi="Times New Roman"/>
          <w:sz w:val="18"/>
          <w:szCs w:val="18"/>
          <w:u w:val="single" w:color="auto"/>
          <w:color w:val="auto"/>
        </w:rPr>
        <w:t>previously announced</w:t>
      </w:r>
      <w:r>
        <w:rPr>
          <w:rFonts w:ascii="Times New Roman" w:cs="Times New Roman" w:eastAsia="Times New Roman" w:hAnsi="Times New Roman"/>
          <w:sz w:val="18"/>
          <w:szCs w:val="18"/>
          <w:color w:val="auto"/>
        </w:rPr>
        <w:t xml:space="preserve"> acquisition of NCR Atleos at special meetings held earlier today. These approvals represent a significant milestone toward the completion of the transaction, whereby Brink’s will acquire NCR Atleos and bring together the two companies’ complementary products, services and software to provide an even broader set of solutions for financial institutions and retail customers.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“Today’s votes mark a significant step forward in bringing together our two great companies and reflect strong shareholder support for the future of the combined business and the value it can create,” said Mark Eubanks, President and Chief Executive Officer of The Brink’s Company. “This combination will expand our presence in ATM managed services and digital retail solutions, enabling us to deliver a broader and more innovative set of offerings to our customers. With these expanded capabilities, we will be well positioned to serve customers more effectively and pursue attractive growth opportunities in large markets in the U.S. and abroad.”</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Tim Oliver, President and Chief Executive Officer of NCR Atleos, said, “We thank our stockholders for their support, which reaffirms their confidence in the future value creation potential of the combined company. With Brink’s, we have the unique opportunity to accelerate the outstanding work the NCR Atleos team has accomplished and deliver enhanced offerings and more value to our customers.”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transaction has also received clearance under the Hart-Scott-Rodino Antitrust Improvements Act and is expected to close by the end of the first quarter of 2027, subject to satisfaction of the remaining regulatory approvals and other customary closing conditions.</w:t>
      </w:r>
    </w:p>
    <w:p>
      <w:pPr>
        <w:spacing w:after="0" w:line="162"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 xml:space="preserve">Additional information regarding the transaction is available in the </w:t>
      </w:r>
      <w:r>
        <w:rPr>
          <w:rFonts w:ascii="Times New Roman" w:cs="Times New Roman" w:eastAsia="Times New Roman" w:hAnsi="Times New Roman"/>
          <w:sz w:val="18"/>
          <w:szCs w:val="18"/>
          <w:u w:val="single" w:color="auto"/>
          <w:color w:val="auto"/>
        </w:rPr>
        <w:t>joint proxy statement/prospectus</w:t>
      </w:r>
      <w:r>
        <w:rPr>
          <w:rFonts w:ascii="Times New Roman" w:cs="Times New Roman" w:eastAsia="Times New Roman" w:hAnsi="Times New Roman"/>
          <w:sz w:val="18"/>
          <w:szCs w:val="18"/>
          <w:color w:val="auto"/>
        </w:rPr>
        <w:t xml:space="preserve"> filed with the U.S. Securities and Exchange Commission (the “SEC”). Detailed voting results will be disclosed in Form 8-K filings with the SEC by each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Brink’s Company</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Brink’s Company (NYSE: BCO) is a leading global provider of cash and valuables management, digital retail solutions, and ATM managed services. Our customers include financial institutions, retailers, government agencies, mints, jewelers and other commercial operations. Our network of operations in 51 countries serves customers in more than 100 countries. For more information, please visit our website at www.brinks.com.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NCR Atleos</w:t>
      </w:r>
    </w:p>
    <w:p>
      <w:pPr>
        <w:spacing w:after="0" w:line="3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NCR Atleos (NYSE: NATL) is a leader in expanding self-service financial access, with industry-leading ATM expertise and experience, unrivalled operational scale including the largest independently-owned ATM network, always-on global services and constant innovation. NCR Atleos improves operational efficiency for financial institutions, drives footfall for retailers and enables digital-first financial self-service experiences for consumers. For more information, visit www.ncratleos.com.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Words such as “anticipate,” “assume,” “can,” “could,” “estimate,” “expect,” “target,” “possible,” “project,” “predict,” “intend,” “plan,” “believe,” “potential,” “may,” “should”, “will” and similar expressions are based on current expectations and assumptions and are subject to risks, uncertainties and contingencies, many of which are beyond our control and difficult to predict or quantify, and which could cause actual results to differ materially from those that are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right="20"/>
        <w:spacing w:after="0" w:line="252" w:lineRule="auto"/>
        <w:rPr>
          <w:sz w:val="20"/>
          <w:szCs w:val="20"/>
          <w:color w:val="auto"/>
        </w:rPr>
      </w:pPr>
      <w:r>
        <w:rPr>
          <w:rFonts w:ascii="Times New Roman" w:cs="Times New Roman" w:eastAsia="Times New Roman" w:hAnsi="Times New Roman"/>
          <w:sz w:val="18"/>
          <w:szCs w:val="18"/>
          <w:color w:val="auto"/>
        </w:rPr>
        <w:t>Factors that could cause actual results to differ include, but are not limited to: Brink’s ability to consummate the acquisition of NCR Atleos (the “Transaction”); the occurrence of any event, change or other circumstance that could give rise to the termination of the definitive agreement with respect to the Transaction; Brink’s ability to finance the Transaction; Brink’s indebtedness, including the substantial indebtedness Brink’s will incur in connection with the Transaction and the need to generate sufficient cash flows to service and repay such indebtedness; failure to consummate any anticipated repayment of the combined company’s indebtedness or make any returns to shareholders in the expected timeframe or at all; failure to obtain applicable regulatory approvals in a timely manner or otherwise; failure to satisfy any other conditions to closing of the Transaction; failure to realize the anticipated benefits and synergies of the Transaction in the expected timeframe or at all, including as a result of a delay in consummating the Transaction; the success of integration plans and the time required to successfully integrate NCR Atleos’ operations with those of Brink’s; the focus of management’s time and attention on the Transaction and other potential disruptions arising from the Transaction; the effects of the announcement of the Transaction on Brink’s or NCR Atleos’ businesses; that operating costs, customer loss and business disruption (including, without limitation, difficulties in maintaining relationships with banks, employees, customers or suppliers) may be greater than expected following the public announcement of the Transaction; Brink’s or NCR Atleos’ ability to retain certain key employees following the public announcement of the Transaction; litigation related to the Transaction; Brink’s or NCR Atleos’ ability to obtain certain third party or governmental regulatory consents, approvals or clearances; potential undisclosed liabilities of NCR Atleos not identified during the due diligence process; the impact of the Transaction on the market price of Brink’s or NCR Atleos’ common stock and/or operating results; and general economic conditions that are less favorable than expected.</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 information concerning other risk factors is also contained in Part I, Item 1A “Risk Factors” of (i) Brink’s Annual Report on Form 10-K for the year ended December 31, 2025, filed with the SEC on February 26, 2026, and (ii) NCR Atleos’ Annual Report on Form 10-K for the year ended December 31, 2025, filed with the SEC on February 27, 2026 and, in each case, in subsequent filings with the SEC.</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information included in this press release is representative only as of the date of the communications included in this press release and Brink’s and NCR Atleos undertake no obligation to update, revise or clarify any information contained in this press release or forward-looking statements that may be made from time to time on either of their behalf, whether as a result of new information, future events or otherwise, except as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Brink’s: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Inquiries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Jesse Jenkins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jesse.jenkins@brinksinc.com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 Inquiries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Kelly McNeff</w:t>
      </w:r>
    </w:p>
    <w:p>
      <w:pPr>
        <w:spacing w:after="0" w:line="9" w:lineRule="exact"/>
        <w:rPr>
          <w:sz w:val="20"/>
          <w:szCs w:val="20"/>
          <w:color w:val="auto"/>
        </w:rPr>
      </w:pPr>
    </w:p>
    <w:p>
      <w:pPr>
        <w:ind w:right="936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549-6555 brinksmedia@brinks.com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FGS Global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brinks@fgsglobal.com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NCR Atleos: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 Inquiries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Sykes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scott.sykes@ncratleos.com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Jim Golden, Jude Gorman, Tali Epstein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Collected Strategies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NATL-CS@collectedstrategies.com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6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2026-06-30T15:42:57Z</dcterms:created>
  <dcterms:modified xsi:type="dcterms:W3CDTF">2026-06-30T15:42:57Z</dcterms:modified>
</cp:coreProperties>
</file>