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w:t>
        <w:b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24, 2026 </w:t>
      </w:r>
    </w:p>
    <w:tbl>
      <w:tblPr>
        <w:tblW w:w="4298" w:type="dxa"/>
        <w:jc w:val="left"/>
        <w:tblInd w:w="0" w:type="dxa"/>
        <w:tblLayout w:type="fixed"/>
        <w:tblCellMar>
          <w:top w:w="28" w:type="dxa"/>
          <w:left w:w="28" w:type="dxa"/>
          <w:bottom w:w="28" w:type="dxa"/>
          <w:right w:w="28" w:type="dxa"/>
        </w:tblCellMar>
      </w:tblPr>
      <w:tblGrid>
        <w:gridCol w:w="124"/>
        <w:gridCol w:w="109"/>
        <w:gridCol w:w="109"/>
        <w:gridCol w:w="1194"/>
        <w:gridCol w:w="1194"/>
        <w:gridCol w:w="11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BRINK’S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25"/>
        <w:gridCol w:w="1170"/>
        <w:gridCol w:w="1179"/>
        <w:gridCol w:w="762"/>
        <w:gridCol w:w="762"/>
        <w:gridCol w:w="770"/>
        <w:gridCol w:w="845"/>
        <w:gridCol w:w="845"/>
        <w:gridCol w:w="1205"/>
      </w:tblGrid>
      <w:tr>
        <w:trPr/>
        <w:tc>
          <w:tcPr>
            <w:tcW w:w="13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Virginia</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001-09148</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54-1317776</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1801 Bayberry Court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 O. Box 18100 </w:t>
      </w:r>
    </w:p>
    <w:p>
      <w:pPr>
        <w:pStyle w:val="TextBody"/>
        <w:bidi w:val="0"/>
        <w:spacing w:lineRule="auto" w:line="288" w:before="0" w:after="0"/>
        <w:jc w:val="center"/>
        <w:rPr/>
      </w:pPr>
      <w:r>
        <w:rPr>
          <w:rFonts w:ascii="Times New Roman;serif" w:hAnsi="Times New Roman;serif"/>
          <w:b/>
          <w:color w:val="000000"/>
          <w:sz w:val="20"/>
        </w:rPr>
        <w:t>Richmond, VA 23226-8100</w:t>
      </w:r>
      <w:r>
        <w:rPr>
          <w:color w:val="000000"/>
        </w:rPr>
        <w:t xml:space="preserve"> </w:t>
      </w:r>
      <w:r>
        <w:rPr>
          <w:rFonts w:ascii="Times New Roman;serif" w:hAnsi="Times New Roman;serif"/>
          <w:b w:val="false"/>
          <w:color w:val="000000"/>
          <w:sz w:val="20"/>
        </w:rPr>
        <w:br/>
        <w:t xml:space="preserve">(Address and zip code of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(804) 289-9600</w:t>
      </w:r>
      <w:r>
        <w:rPr>
          <w:color w:val="000000"/>
        </w:rPr>
        <w:t xml:space="preserve"> </w:t>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Written communications pursuant to Rule 425 under the Securities Act (17 CFR 230.425)</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Soliciting material pursuant to Rule 14a-12 under the Exchange Act (17 CFR 240.14a-12)</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14d-2(b) under the Exchange Act (17 CFR 240.14d-2(b))</w:t>
      </w:r>
    </w:p>
    <w:p>
      <w:pPr>
        <w:pStyle w:val="TextBody"/>
        <w:bidi w:val="0"/>
        <w:spacing w:before="0" w:after="0"/>
        <w:jc w:val="both"/>
        <w:rPr/>
      </w:pPr>
      <w:r>
        <w:rPr/>
      </w:r>
    </w:p>
    <w:p>
      <w:pPr>
        <w:pStyle w:val="TextBody"/>
        <w:bidi w:val="0"/>
        <w:spacing w:lineRule="auto" w:line="312" w:before="0" w:after="0"/>
        <w:jc w:val="both"/>
        <w:rPr/>
      </w:pPr>
      <w:r>
        <w:rPr>
          <w:color w:val="000000"/>
        </w:rPr>
        <w:t>    ☐    </w:t>
      </w:r>
      <w:r>
        <w:rPr>
          <w:rFonts w:ascii="Times New Roman;serif" w:hAnsi="Times New Roman;serif"/>
          <w:b w:val="false"/>
          <w:color w:val="000000"/>
          <w:sz w:val="22"/>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BCO</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Indicate by check mark whether the registrant is an emerging growth company as defined in Rule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val="false"/>
          <w:color w:val="000000"/>
          <w:sz w:val="24"/>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ind w:left="0" w:right="0" w:firstLine="720"/>
        <w:jc w:val="both"/>
        <w:rPr/>
      </w:pPr>
      <w:r>
        <w:rPr/>
      </w:r>
    </w:p>
    <w:p>
      <w:pPr>
        <w:pStyle w:val="TextBody"/>
        <w:bidi w:val="0"/>
        <w:spacing w:before="0" w:after="0"/>
        <w:jc w:val="both"/>
        <w:rPr/>
      </w:pPr>
      <w:r>
        <w:rPr/>
      </w:r>
    </w:p>
    <w:tbl>
      <w:tblPr>
        <w:tblW w:w="4211" w:type="dxa"/>
        <w:jc w:val="center"/>
        <w:tblInd w:w="0" w:type="dxa"/>
        <w:tblLayout w:type="fixed"/>
        <w:tblCellMar>
          <w:top w:w="28" w:type="dxa"/>
          <w:left w:w="28" w:type="dxa"/>
          <w:bottom w:w="28" w:type="dxa"/>
          <w:right w:w="28" w:type="dxa"/>
        </w:tblCellMar>
      </w:tblPr>
      <w:tblGrid>
        <w:gridCol w:w="124"/>
        <w:gridCol w:w="109"/>
        <w:gridCol w:w="109"/>
        <w:gridCol w:w="349"/>
        <w:gridCol w:w="349"/>
        <w:gridCol w:w="351"/>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7.01</w:t>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Regulation FD Disclosure.</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Brink's Company (the “Company”) anticipates a change in the accounting treatment with respect to its Malaysia business (the “Malaysia Business”). Following a change in the Company's involvement in the Malaysia Business, the Company expects to account for its investment under a method other than consolidation, and the Malaysia Business’s results would therefore no longer be reflected on a consolidated basis in the Company's financial statements.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currently expects this change to reduce reported revenue by approximately $100 million and Adjusted EBITDA by approximately $10 million to $15 million, in each case, over the next four quarters. The Company does not expect this change will have an impact on its full-year 2026 organic revenue growth and Adjusted EBITDA margin expansion framework. </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 xml:space="preserve">These expectations are preliminary, reflect the Company’s management’s current estimates, and are subject to change as the Company completes its financial close and review procedures for the quarter. Adjusted EBITDA is a non-GAAP financial measure. The Company is unable to provide a quantitative reconciliation of the anticipated Adjusted EBITDA impact to the most directly comparable GAAP measure without unreasonable effort because the Company has not yet completed its financial close and review procedures for the quarter, and certain items necessary to complete the reconciliation depend on the outcome of that process and on future events that cannot be reasonably estimated at this time.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color w:val="000000"/>
          <w:sz w:val="24"/>
        </w:rPr>
      </w:pPr>
      <w:r>
        <w:rPr>
          <w:rFonts w:ascii="Times New Roman;serif" w:hAnsi="Times New Roman;serif"/>
          <w:b/>
          <w:color w:val="000000"/>
          <w:sz w:val="24"/>
        </w:rPr>
        <w:t>Cautionary Note Regarding Forward Looking Statements</w:t>
      </w:r>
    </w:p>
    <w:p>
      <w:pPr>
        <w:pStyle w:val="TextBody"/>
        <w:bidi w:val="0"/>
        <w:spacing w:before="0" w:after="0"/>
        <w:jc w:val="left"/>
        <w:rPr/>
      </w:pPr>
      <w:r>
        <w:rPr/>
      </w:r>
    </w:p>
    <w:p>
      <w:pPr>
        <w:pStyle w:val="TextBody"/>
        <w:bidi w:val="0"/>
        <w:spacing w:lineRule="auto" w:line="288" w:before="0" w:after="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This Current Report on Form 8-K contains forward-looking statements within the meaning of the Private Securities Litigation Reform Act of 1995, including statements regarding the anticipated change in accounting treatment for the Company's Malaysia Business and the estimated annualized impact of that change on the Company's revenue, Adjusted EBITDA, organic revenue growth, and acquisition/disposition reporting. These statements are based on preliminary estimates and the Company’s management’s current expectations and are not a guarantee of final results. Actual results may differ materially due to factors including the timing and occurrence of events giving rise to the change in accounting treatment, the final determination of accounting treatment under U.S. GAAP, the completion of the Company’s financial close and review procedures, and the risks described in the Company's most recent Annual Report on Form 10-K and subsequent filings with the Securities and Exchange Commission. The Company undertakes no obligation to update any forward-looking statement, except as required by law.</w:t>
      </w:r>
    </w:p>
    <w:p>
      <w:pPr>
        <w:pStyle w:val="TextBody"/>
        <w:bidi w:val="0"/>
        <w:spacing w:before="0" w:after="0"/>
        <w:jc w:val="center"/>
        <w:rPr/>
      </w:pPr>
      <w:r>
        <w:rPr/>
      </w:r>
    </w:p>
    <w:p>
      <w:pPr>
        <w:pStyle w:val="TextBody"/>
        <w:bidi w:val="0"/>
        <w:spacing w:before="0" w:after="0"/>
        <w:jc w:val="center"/>
        <w:rPr/>
      </w:pPr>
      <w:r>
        <w:rPr/>
      </w:r>
    </w:p>
    <w:tbl>
      <w:tblPr>
        <w:tblW w:w="8799" w:type="dxa"/>
        <w:jc w:val="center"/>
        <w:tblInd w:w="0" w:type="dxa"/>
        <w:tblLayout w:type="fixed"/>
        <w:tblCellMar>
          <w:top w:w="28" w:type="dxa"/>
          <w:left w:w="28" w:type="dxa"/>
          <w:bottom w:w="28" w:type="dxa"/>
          <w:right w:w="28" w:type="dxa"/>
        </w:tblCellMar>
      </w:tblPr>
      <w:tblGrid>
        <w:gridCol w:w="197"/>
        <w:gridCol w:w="173"/>
        <w:gridCol w:w="173"/>
        <w:gridCol w:w="173"/>
        <w:gridCol w:w="173"/>
        <w:gridCol w:w="173"/>
        <w:gridCol w:w="2338"/>
        <w:gridCol w:w="2338"/>
        <w:gridCol w:w="2344"/>
        <w:gridCol w:w="210"/>
        <w:gridCol w:w="210"/>
        <w:gridCol w:w="297"/>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0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9.01</w:t>
            </w:r>
          </w:p>
        </w:tc>
        <w:tc>
          <w:tcPr>
            <w:tcW w:w="7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Financial Statements and 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75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before="0" w:after="16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480"/>
        <w:jc w:val="left"/>
        <w:rPr/>
      </w:pPr>
      <w:r>
        <w:rPr>
          <w:color w:val="000000"/>
        </w:rPr>
        <w:t>    </w:t>
      </w: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160"/>
        <w:jc w:val="both"/>
        <w:rPr>
          <w:color w:val="000000"/>
        </w:rPr>
      </w:pPr>
      <w:r>
        <w:rPr>
          <w:color w:val="000000"/>
        </w:rPr>
        <w:t>                        </w:t>
      </w:r>
    </w:p>
    <w:tbl>
      <w:tblPr>
        <w:tblW w:w="6347" w:type="dxa"/>
        <w:jc w:val="center"/>
        <w:tblInd w:w="0" w:type="dxa"/>
        <w:tblLayout w:type="fixed"/>
        <w:tblCellMar>
          <w:top w:w="28" w:type="dxa"/>
          <w:left w:w="28" w:type="dxa"/>
          <w:bottom w:w="28" w:type="dxa"/>
          <w:right w:w="28" w:type="dxa"/>
        </w:tblCellMar>
      </w:tblPr>
      <w:tblGrid>
        <w:gridCol w:w="715"/>
        <w:gridCol w:w="631"/>
        <w:gridCol w:w="634"/>
        <w:gridCol w:w="476"/>
        <w:gridCol w:w="476"/>
        <w:gridCol w:w="476"/>
        <w:gridCol w:w="858"/>
        <w:gridCol w:w="858"/>
        <w:gridCol w:w="1223"/>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color w:val="000000"/>
                <w:sz w:val="24"/>
              </w:rPr>
            </w:pPr>
            <w:r>
              <w:rPr>
                <w:rFonts w:ascii="Times New Roman;serif" w:hAnsi="Times New Roman;serif"/>
                <w:b/>
                <w:color w:val="000000"/>
                <w:sz w:val="24"/>
              </w:rPr>
              <w:t>THE BRINK’S COMPANY</w:t>
            </w:r>
          </w:p>
          <w:p>
            <w:pPr>
              <w:pStyle w:val="TableContents"/>
              <w:bidi w:val="0"/>
              <w:spacing w:lineRule="auto" w:line="288" w:before="0" w:after="160"/>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24, 2026</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Kurt B. McMaken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Kurt B. McMaken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Executive Vice President and</w:t>
              <w:br/>
              <w:t>Chief Financial Officer</w:t>
            </w:r>
          </w:p>
        </w:tc>
      </w:tr>
    </w:tbl>
    <w:p>
      <w:pPr>
        <w:pStyle w:val="TextBody"/>
        <w:bidi w:val="0"/>
        <w:spacing w:before="0" w:after="160"/>
        <w:jc w:val="both"/>
        <w:rPr/>
      </w:pPr>
      <w:r>
        <w:rPr/>
      </w:r>
    </w:p>
    <w:p>
      <w:pPr>
        <w:pStyle w:val="TextBody"/>
        <w:bidi w:val="0"/>
        <w:spacing w:before="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4323</Characters>
  <CharactersWithSpaces>5095</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