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7045960" cy="467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70425"/>
                    </a:xfrm>
                    <a:prstGeom prst="rect">
                      <a:avLst/>
                    </a:prstGeom>
                    <a:noFill/>
                  </pic:spPr>
                </pic:pic>
              </a:graphicData>
            </a:graphic>
          </wp:anchor>
        </w:drawing>
      </w:r>
    </w:p>
    <w:p>
      <w:pPr>
        <w:spacing w:after="0" w:line="1190"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BOYNTON PAUL G</w:t>
              </w:r>
            </w:hyperlink>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3"/>
          </w:tcPr>
          <w:p>
            <w:pPr>
              <w:ind w:left="60"/>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BRINKS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180" w:type="dxa"/>
            <w:vAlign w:val="bottom"/>
            <w:gridSpan w:val="4"/>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98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07/01/2026</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1801 BAYBERRY COURT</w:t>
            </w:r>
          </w:p>
        </w:tc>
        <w:tc>
          <w:tcPr>
            <w:tcW w:w="14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gridSpan w:val="4"/>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P.O. BOX 18100</w:t>
            </w: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VA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23226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1"/>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46"/>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Plan Units</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07/01/2026</w:t>
            </w:r>
          </w:p>
        </w:tc>
        <w:tc>
          <w:tcPr>
            <w:tcW w:w="110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158</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21"/>
                <w:szCs w:val="21"/>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158</w:t>
            </w:r>
            <w:r>
              <w:rPr>
                <w:rFonts w:ascii="Times New Roman" w:cs="Times New Roman" w:eastAsia="Times New Roman" w:hAnsi="Times New Roman"/>
                <w:sz w:val="21"/>
                <w:szCs w:val="21"/>
                <w:color w:val="008000"/>
                <w:vertAlign w:val="superscript"/>
              </w:rPr>
              <w:t>(2)</w:t>
            </w:r>
          </w:p>
        </w:tc>
        <w:tc>
          <w:tcPr>
            <w:tcW w:w="6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94.49</w:t>
            </w:r>
            <w:r>
              <w:rPr>
                <w:rFonts w:ascii="Times New Roman" w:cs="Times New Roman" w:eastAsia="Times New Roman" w:hAnsi="Times New Roman"/>
                <w:sz w:val="21"/>
                <w:szCs w:val="21"/>
                <w:color w:val="008000"/>
                <w:vertAlign w:val="superscript"/>
              </w:rPr>
              <w:t>(3)</w:t>
            </w:r>
          </w:p>
        </w:tc>
        <w:tc>
          <w:tcPr>
            <w:tcW w:w="94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10,998.54</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(each of which is the economic equivalent of one share of The Brink's Company ("BCO") common stock) credited to the Reporting Person's equity account under the Plan for Deferral of Directors' Fees (the "Plan") will settle in BCO common stock on a one-for-one basis and shall be distributed in accordance with the Reporting Person's deferral election either (1) following the Reporting Person's termination of service from the Board of Directors or (2) on a future date selected by the Reporting Person at the time of his or her deferral election.</w:t>
      </w:r>
    </w:p>
    <w:p>
      <w:pPr>
        <w:spacing w:after="0" w:line="25"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elected to receive shares of BCO common stock as part of his quarterly compensation for service on the Company's Board and Committees and has elected to defer those shares under the Plan.</w:t>
      </w:r>
    </w:p>
    <w:p>
      <w:pPr>
        <w:spacing w:after="0" w:line="15" w:lineRule="exact"/>
        <w:rPr>
          <w:rFonts w:ascii="Times New Roman" w:cs="Times New Roman" w:eastAsia="Times New Roman" w:hAnsi="Times New Roman"/>
          <w:sz w:val="13"/>
          <w:szCs w:val="13"/>
          <w:color w:val="008000"/>
        </w:rPr>
      </w:pPr>
    </w:p>
    <w:p>
      <w:pPr>
        <w:ind w:left="40" w:right="1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Units credited to the Reporting Person's equity account on the Transaction Date is based upon a share price of $94.49 which is the closing price of BCO common stock on the final trading day of the quarter, calculated in accordance with the terms of the Plan.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M. MacNally,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9"/>
        </w:trPr>
        <w:tc>
          <w:tcPr>
            <w:tcW w:w="156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3985"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2026-07-02T17:41:39Z</dcterms:created>
  <dcterms:modified xsi:type="dcterms:W3CDTF">2026-07-02T17:41:39Z</dcterms:modified>
</cp:coreProperties>
</file>