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6993890" cy="42525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890" cy="4252595"/>
                    </a:xfrm>
                    <a:prstGeom prst="rect">
                      <a:avLst/>
                    </a:prstGeom>
                    <a:noFill/>
                  </pic:spPr>
                </pic:pic>
              </a:graphicData>
            </a:graphic>
          </wp:anchor>
        </w:drawing>
      </w:r>
    </w:p>
    <w:p>
      <w:pPr>
        <w:spacing w:after="0" w:line="1176"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4"/>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60" w:type="dxa"/>
            <w:vAlign w:val="bottom"/>
            <w:gridSpan w:val="5"/>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Peschard Mijares Guillermo Eduardo</w:t>
              </w:r>
            </w:hyperlink>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3"/>
          </w:tcPr>
          <w:p>
            <w:pPr>
              <w:spacing w:after="0" w:line="18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BRINKS CO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BCO</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3660" w:type="dxa"/>
            <w:vAlign w:val="bottom"/>
            <w:gridSpan w:val="5"/>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960" w:type="dxa"/>
            <w:vAlign w:val="bottom"/>
            <w:tcBorders>
              <w:top w:val="single" w:sz="8" w:color="0000EE"/>
            </w:tcBorders>
          </w:tcPr>
          <w:p>
            <w:pPr>
              <w:spacing w:after="0"/>
              <w:rPr>
                <w:sz w:val="4"/>
                <w:szCs w:val="4"/>
                <w:color w:val="auto"/>
              </w:rPr>
            </w:pPr>
          </w:p>
        </w:tc>
        <w:tc>
          <w:tcPr>
            <w:tcW w:w="2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1660" w:type="dxa"/>
            <w:vAlign w:val="bottom"/>
            <w:tcBorders>
              <w:top w:val="single" w:sz="8" w:color="0000EE"/>
              <w:bottom w:val="single" w:sz="8" w:color="9A9A9A"/>
            </w:tcBorders>
          </w:tcPr>
          <w:p>
            <w:pPr>
              <w:spacing w:after="0"/>
              <w:rPr>
                <w:sz w:val="17"/>
                <w:szCs w:val="17"/>
                <w:color w:val="auto"/>
              </w:rPr>
            </w:pPr>
          </w:p>
        </w:tc>
        <w:tc>
          <w:tcPr>
            <w:tcW w:w="620" w:type="dxa"/>
            <w:vAlign w:val="bottom"/>
            <w:tcBorders>
              <w:top w:val="single" w:sz="8" w:color="0000EE"/>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3"/>
                <w:szCs w:val="13"/>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240" w:type="dxa"/>
            <w:vAlign w:val="bottom"/>
            <w:gridSpan w:val="4"/>
            <w:vMerge w:val="restart"/>
          </w:tcPr>
          <w:p>
            <w:pPr>
              <w:ind w:left="140"/>
              <w:spacing w:after="0" w:line="172" w:lineRule="exact"/>
              <w:rPr>
                <w:sz w:val="20"/>
                <w:szCs w:val="20"/>
                <w:color w:val="auto"/>
              </w:rPr>
            </w:pPr>
            <w:r>
              <w:rPr>
                <w:rFonts w:ascii="Times New Roman" w:cs="Times New Roman" w:eastAsia="Times New Roman" w:hAnsi="Times New Roman"/>
                <w:sz w:val="17"/>
                <w:szCs w:val="17"/>
                <w:color w:val="0000FF"/>
              </w:rPr>
              <w:t>06/30/2026</w:t>
            </w:r>
          </w:p>
        </w:tc>
        <w:tc>
          <w:tcPr>
            <w:tcW w:w="2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68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555 DIVIDEND DRIVE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7"/>
          <w:szCs w:val="17"/>
          <w:color w:val="0000FF"/>
        </w:rPr>
        <w:t>EVP</w:t>
      </w:r>
    </w:p>
    <w:p>
      <w:pPr>
        <w:spacing w:after="0" w:line="310" w:lineRule="exact"/>
        <w:rPr>
          <w:sz w:val="20"/>
          <w:szCs w:val="20"/>
          <w:color w:val="auto"/>
        </w:rPr>
      </w:pPr>
    </w:p>
    <w:p>
      <w:pPr>
        <w:sectPr>
          <w:pgSz w:w="11900" w:h="16838" w:orient="portrait"/>
          <w:cols w:equalWidth="0" w:num="2">
            <w:col w:w="7680" w:space="59"/>
            <w:col w:w="3341"/>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2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3700" w:type="dxa"/>
            <w:vAlign w:val="bottom"/>
            <w:gridSpan w:val="7"/>
            <w:vMerge w:val="restart"/>
          </w:tcPr>
          <w:p>
            <w:pPr>
              <w:jc w:val="center"/>
              <w:ind w:right="101"/>
              <w:spacing w:after="0"/>
              <w:rPr>
                <w:sz w:val="20"/>
                <w:szCs w:val="20"/>
                <w:color w:val="auto"/>
              </w:rPr>
            </w:pPr>
            <w:r>
              <w:rPr>
                <w:rFonts w:ascii="Arial" w:cs="Arial" w:eastAsia="Arial" w:hAnsi="Arial"/>
                <w:sz w:val="13"/>
                <w:szCs w:val="13"/>
                <w:color w:val="auto"/>
                <w:w w:val="98"/>
              </w:rPr>
              <w:t>4. If Amendment, Date of Original Filed (Month/Day/Year)</w:t>
            </w:r>
          </w:p>
        </w:tc>
        <w:tc>
          <w:tcPr>
            <w:tcW w:w="362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700" w:type="dxa"/>
            <w:vAlign w:val="bottom"/>
            <w:gridSpan w:val="7"/>
            <w:vMerge w:val="continue"/>
          </w:tcPr>
          <w:p>
            <w:pPr>
              <w:spacing w:after="0"/>
              <w:rPr>
                <w:sz w:val="7"/>
                <w:szCs w:val="7"/>
                <w:color w:val="auto"/>
              </w:rPr>
            </w:pPr>
          </w:p>
        </w:tc>
        <w:tc>
          <w:tcPr>
            <w:tcW w:w="362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COPPELL</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TX</w:t>
            </w:r>
          </w:p>
        </w:tc>
        <w:tc>
          <w:tcPr>
            <w:tcW w:w="112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75019</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960" w:type="dxa"/>
            <w:vAlign w:val="bottom"/>
            <w:gridSpan w:val="7"/>
          </w:tcPr>
          <w:p>
            <w:pPr>
              <w:ind w:left="14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4"/>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4"/>
                <w:szCs w:val="14"/>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00" w:type="dxa"/>
            <w:vAlign w:val="bottom"/>
            <w:gridSpan w:val="4"/>
          </w:tcPr>
          <w:p>
            <w:pPr>
              <w:ind w:left="10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6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8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4"/>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jc w:val="center"/>
              <w:ind w:right="120"/>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jc w:val="center"/>
              <w:ind w:left="455"/>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Derivative</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14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Program</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06/30/2026</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A</w:t>
            </w: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60.21</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60.21</w:t>
            </w:r>
          </w:p>
        </w:tc>
        <w:tc>
          <w:tcPr>
            <w:tcW w:w="6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94.49</w:t>
            </w:r>
            <w:r>
              <w:rPr>
                <w:rFonts w:ascii="Times New Roman" w:cs="Times New Roman" w:eastAsia="Times New Roman" w:hAnsi="Times New Roman"/>
                <w:sz w:val="21"/>
                <w:szCs w:val="21"/>
                <w:color w:val="008000"/>
                <w:vertAlign w:val="superscript"/>
              </w:rPr>
              <w:t>(3)</w:t>
            </w:r>
          </w:p>
        </w:tc>
        <w:tc>
          <w:tcPr>
            <w:tcW w:w="580" w:type="dxa"/>
            <w:vAlign w:val="bottom"/>
            <w:vMerge w:val="restart"/>
          </w:tcPr>
          <w:p>
            <w:pPr>
              <w:ind w:left="220"/>
              <w:spacing w:after="0"/>
              <w:rPr>
                <w:sz w:val="20"/>
                <w:szCs w:val="20"/>
                <w:color w:val="auto"/>
              </w:rPr>
            </w:pPr>
            <w:r>
              <w:rPr>
                <w:rFonts w:ascii="Times New Roman" w:cs="Times New Roman" w:eastAsia="Times New Roman" w:hAnsi="Times New Roman"/>
                <w:sz w:val="13"/>
                <w:szCs w:val="13"/>
                <w:color w:val="0000FF"/>
                <w:w w:val="94"/>
              </w:rPr>
              <w:t>970.05</w:t>
            </w:r>
          </w:p>
        </w:tc>
        <w:tc>
          <w:tcPr>
            <w:tcW w:w="280" w:type="dxa"/>
            <w:vAlign w:val="bottom"/>
          </w:tcPr>
          <w:p>
            <w:pPr>
              <w:spacing w:after="0"/>
              <w:rPr>
                <w:sz w:val="15"/>
                <w:szCs w:val="15"/>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-1750060</wp:posOffset>
            </wp:positionV>
            <wp:extent cx="29210" cy="17551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75514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right="160" w:firstLine="1"/>
        <w:spacing w:after="0"/>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Program Units (each of which is the economic equivalent of one share of The Brink's Company ("BCO") common stock) credited to the Reporting Person's stock incentive account under the terms of the Key Employees' Deferral Compensation Program (the "Program") will settle in BCO common stock on a one-for-one basis and shall be distributed in accordance with the Reporting Person's deferral election either (1) following the Reporting Person's termination of employment with BCO or (2) on a future date selected by the Reporting Person at the time of his or her deferral election.</w:t>
      </w:r>
    </w:p>
    <w:p>
      <w:pPr>
        <w:spacing w:after="0" w:line="27" w:lineRule="exact"/>
        <w:rPr>
          <w:rFonts w:ascii="Times New Roman" w:cs="Times New Roman" w:eastAsia="Times New Roman" w:hAnsi="Times New Roman"/>
          <w:sz w:val="13"/>
          <w:szCs w:val="13"/>
          <w:color w:val="008000"/>
        </w:rPr>
      </w:pPr>
    </w:p>
    <w:p>
      <w:pPr>
        <w:ind w:left="40" w:right="60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accordance with the terms of the Program, on the last business day of each month, compensation deferred by the Reporting Person during that month and/or any matching amounts are converted into Program Units and credited to the Reporting Person's stock incentive account.</w:t>
      </w:r>
    </w:p>
    <w:p>
      <w:pPr>
        <w:spacing w:after="0" w:line="17" w:lineRule="exact"/>
        <w:rPr>
          <w:rFonts w:ascii="Times New Roman" w:cs="Times New Roman" w:eastAsia="Times New Roman" w:hAnsi="Times New Roman"/>
          <w:sz w:val="13"/>
          <w:szCs w:val="13"/>
          <w:color w:val="008000"/>
        </w:rPr>
      </w:pPr>
    </w:p>
    <w:p>
      <w:pPr>
        <w:ind w:left="40" w:right="200" w:firstLine="1"/>
        <w:spacing w:after="0" w:line="25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Program Units credited to the Reporting Person's account on the transaction date is based upon a share price of $94.49, which is the closing price of BCO common stock on the final trading day of the month in which the deferred compensation would have been payable, calculated in accordance with the terms of the Program.</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Linda M. MacNally,</w:t>
            </w:r>
          </w:p>
        </w:tc>
        <w:tc>
          <w:tcPr>
            <w:tcW w:w="6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07/02/2026</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3620" w:firstLine="1"/>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46824" TargetMode="External"/><Relationship Id="rId14" Type="http://schemas.openxmlformats.org/officeDocument/2006/relationships/hyperlink" Target="http://www.sec.gov/cgi-bin/browse-edgar?action=getcompany&amp;CIK=00000788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2026-07-02T17:42:06Z</dcterms:created>
  <dcterms:modified xsi:type="dcterms:W3CDTF">2026-07-02T17:42:06Z</dcterms:modified>
</cp:coreProperties>
</file>